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Microsoft_Visio___1.vsdx" ContentType="application/vnd.ms-visio.drawing"/>
  <Override PartName="/word/embeddings/Microsoft_Visio___2.vsdx" ContentType="application/vnd.ms-visio.drawing"/>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740535">
      <w:pPr>
        <w:spacing w:line="360" w:lineRule="auto"/>
        <w:ind w:firstLine="560"/>
        <w:rPr>
          <w:rFonts w:eastAsia="仿宋_GB2312" w:cs="Times New Roman"/>
          <w:color w:val="auto"/>
          <w:sz w:val="28"/>
        </w:rPr>
      </w:pPr>
    </w:p>
    <w:p w14:paraId="7BF87D72">
      <w:pPr>
        <w:spacing w:line="360" w:lineRule="auto"/>
        <w:ind w:firstLine="0" w:firstLineChars="0"/>
        <w:jc w:val="center"/>
        <w:rPr>
          <w:rFonts w:eastAsia="仿宋_GB2312" w:cs="Times New Roman"/>
          <w:color w:val="auto"/>
          <w:sz w:val="28"/>
        </w:rPr>
      </w:pPr>
    </w:p>
    <w:p w14:paraId="06F16B4A">
      <w:pPr>
        <w:spacing w:line="360" w:lineRule="auto"/>
        <w:ind w:firstLine="0" w:firstLineChars="0"/>
        <w:jc w:val="center"/>
        <w:rPr>
          <w:rFonts w:eastAsia="仿宋_GB2312" w:cs="Times New Roman"/>
          <w:color w:val="auto"/>
          <w:sz w:val="28"/>
        </w:rPr>
      </w:pPr>
    </w:p>
    <w:p w14:paraId="0367BA44">
      <w:pPr>
        <w:spacing w:line="360" w:lineRule="auto"/>
        <w:ind w:firstLine="0" w:firstLineChars="0"/>
        <w:jc w:val="center"/>
        <w:rPr>
          <w:rFonts w:eastAsia="华文新魏" w:cs="Times New Roman"/>
          <w:b/>
          <w:color w:val="auto"/>
          <w:sz w:val="44"/>
          <w:szCs w:val="36"/>
        </w:rPr>
      </w:pPr>
      <w:r>
        <w:rPr>
          <w:rFonts w:hint="eastAsia" w:eastAsia="华文新魏" w:cs="Times New Roman"/>
          <w:b/>
          <w:color w:val="auto"/>
          <w:sz w:val="44"/>
          <w:szCs w:val="36"/>
        </w:rPr>
        <w:t>新乡市万宝科技有限公司</w:t>
      </w:r>
      <w:r>
        <w:rPr>
          <w:rFonts w:hint="eastAsia" w:eastAsia="华文新魏" w:cs="Times New Roman"/>
          <w:b/>
          <w:color w:val="auto"/>
          <w:sz w:val="44"/>
          <w:szCs w:val="36"/>
          <w:lang w:eastAsia="zh-CN"/>
        </w:rPr>
        <w:t>年产2万吨五金件、2万吨汽车配件、800吨钢带、5亿只电池钢壳项目</w:t>
      </w:r>
      <w:r>
        <w:rPr>
          <w:rFonts w:hint="eastAsia" w:eastAsia="华文新魏" w:cs="Times New Roman"/>
          <w:b/>
          <w:color w:val="auto"/>
          <w:sz w:val="44"/>
          <w:szCs w:val="36"/>
        </w:rPr>
        <w:t>（一期）</w:t>
      </w:r>
      <w:r>
        <w:rPr>
          <w:rFonts w:eastAsia="华文新魏" w:cs="Times New Roman"/>
          <w:b/>
          <w:color w:val="auto"/>
          <w:sz w:val="44"/>
          <w:szCs w:val="36"/>
        </w:rPr>
        <w:t>竣工环境保护验收报告</w:t>
      </w:r>
    </w:p>
    <w:p w14:paraId="579290E0">
      <w:pPr>
        <w:spacing w:line="360" w:lineRule="auto"/>
        <w:ind w:firstLine="0" w:firstLineChars="0"/>
        <w:jc w:val="center"/>
        <w:rPr>
          <w:rFonts w:eastAsia="华文新魏" w:cs="Times New Roman"/>
          <w:color w:val="auto"/>
          <w:sz w:val="48"/>
          <w:szCs w:val="48"/>
        </w:rPr>
      </w:pPr>
    </w:p>
    <w:p w14:paraId="3D6182C4">
      <w:pPr>
        <w:spacing w:line="360" w:lineRule="auto"/>
        <w:ind w:firstLine="560"/>
        <w:jc w:val="center"/>
        <w:rPr>
          <w:rFonts w:eastAsia="仿宋_GB2312" w:cs="Times New Roman"/>
          <w:color w:val="auto"/>
          <w:sz w:val="28"/>
        </w:rPr>
      </w:pPr>
    </w:p>
    <w:p w14:paraId="60E27EA8">
      <w:pPr>
        <w:ind w:firstLine="560"/>
        <w:jc w:val="center"/>
        <w:rPr>
          <w:rFonts w:eastAsia="仿宋_GB2312" w:cs="Times New Roman"/>
          <w:color w:val="auto"/>
          <w:sz w:val="28"/>
        </w:rPr>
      </w:pPr>
    </w:p>
    <w:p w14:paraId="6C21CA9F">
      <w:pPr>
        <w:ind w:firstLine="560"/>
        <w:jc w:val="center"/>
        <w:rPr>
          <w:rFonts w:eastAsia="仿宋_GB2312" w:cs="Times New Roman"/>
          <w:color w:val="auto"/>
          <w:sz w:val="28"/>
        </w:rPr>
      </w:pPr>
    </w:p>
    <w:p w14:paraId="67671C90">
      <w:pPr>
        <w:ind w:firstLine="560"/>
        <w:jc w:val="center"/>
        <w:rPr>
          <w:rFonts w:eastAsia="仿宋_GB2312" w:cs="Times New Roman"/>
          <w:color w:val="auto"/>
          <w:sz w:val="28"/>
        </w:rPr>
      </w:pPr>
    </w:p>
    <w:p w14:paraId="79BFA23E">
      <w:pPr>
        <w:ind w:firstLine="560"/>
        <w:jc w:val="center"/>
        <w:rPr>
          <w:rFonts w:eastAsia="仿宋_GB2312" w:cs="Times New Roman"/>
          <w:color w:val="auto"/>
          <w:sz w:val="28"/>
        </w:rPr>
      </w:pPr>
    </w:p>
    <w:p w14:paraId="47C00DDF">
      <w:pPr>
        <w:ind w:firstLine="560"/>
        <w:jc w:val="center"/>
        <w:rPr>
          <w:rFonts w:eastAsia="仿宋_GB2312" w:cs="Times New Roman"/>
          <w:color w:val="auto"/>
          <w:sz w:val="28"/>
        </w:rPr>
      </w:pPr>
    </w:p>
    <w:p w14:paraId="2DE10CD6">
      <w:pPr>
        <w:ind w:firstLine="560"/>
        <w:jc w:val="center"/>
        <w:rPr>
          <w:rFonts w:eastAsia="仿宋_GB2312" w:cs="Times New Roman"/>
          <w:color w:val="auto"/>
          <w:sz w:val="28"/>
        </w:rPr>
      </w:pPr>
    </w:p>
    <w:p w14:paraId="2DB64C01">
      <w:pPr>
        <w:ind w:firstLine="560"/>
        <w:jc w:val="center"/>
        <w:rPr>
          <w:rFonts w:eastAsia="仿宋_GB2312" w:cs="Times New Roman"/>
          <w:color w:val="auto"/>
          <w:sz w:val="28"/>
        </w:rPr>
      </w:pPr>
    </w:p>
    <w:p w14:paraId="458E892C">
      <w:pPr>
        <w:ind w:firstLine="560"/>
        <w:jc w:val="center"/>
        <w:rPr>
          <w:rFonts w:eastAsia="仿宋_GB2312" w:cs="Times New Roman"/>
          <w:color w:val="auto"/>
          <w:sz w:val="28"/>
        </w:rPr>
      </w:pPr>
    </w:p>
    <w:p w14:paraId="0831296A">
      <w:pPr>
        <w:ind w:firstLine="560"/>
        <w:rPr>
          <w:rFonts w:eastAsia="仿宋_GB2312" w:cs="Times New Roman"/>
          <w:color w:val="auto"/>
          <w:sz w:val="28"/>
        </w:rPr>
      </w:pPr>
    </w:p>
    <w:p w14:paraId="610E8579">
      <w:pPr>
        <w:ind w:firstLine="560"/>
        <w:rPr>
          <w:rFonts w:eastAsia="仿宋_GB2312" w:cs="Times New Roman"/>
          <w:color w:val="auto"/>
          <w:sz w:val="28"/>
        </w:rPr>
      </w:pPr>
    </w:p>
    <w:p w14:paraId="0523551E">
      <w:pPr>
        <w:spacing w:line="360" w:lineRule="auto"/>
        <w:ind w:firstLine="560"/>
        <w:jc w:val="center"/>
        <w:rPr>
          <w:rFonts w:eastAsia="华文新魏" w:cs="Times New Roman"/>
          <w:color w:val="auto"/>
          <w:sz w:val="28"/>
        </w:rPr>
      </w:pPr>
      <w:r>
        <w:rPr>
          <w:rFonts w:eastAsia="华文新魏" w:cs="Times New Roman"/>
          <w:color w:val="auto"/>
          <w:sz w:val="28"/>
        </w:rPr>
        <w:t>建设单位：</w:t>
      </w:r>
      <w:r>
        <w:rPr>
          <w:rFonts w:hint="eastAsia" w:eastAsia="华文新魏" w:cs="Times New Roman"/>
          <w:color w:val="auto"/>
          <w:sz w:val="28"/>
        </w:rPr>
        <w:t>新乡市万宝科技有限公司</w:t>
      </w:r>
    </w:p>
    <w:p w14:paraId="3785116D">
      <w:pPr>
        <w:spacing w:line="360" w:lineRule="auto"/>
        <w:ind w:firstLine="560"/>
        <w:jc w:val="center"/>
        <w:rPr>
          <w:rFonts w:eastAsia="华文新魏" w:cs="Times New Roman"/>
          <w:color w:val="auto"/>
          <w:sz w:val="28"/>
        </w:rPr>
      </w:pPr>
      <w:r>
        <w:rPr>
          <w:rFonts w:eastAsia="华文新魏" w:cs="Times New Roman"/>
          <w:color w:val="auto"/>
          <w:sz w:val="28"/>
        </w:rPr>
        <w:t>编制单位：</w:t>
      </w:r>
      <w:r>
        <w:rPr>
          <w:rFonts w:hint="eastAsia" w:eastAsia="华文新魏" w:cs="Times New Roman"/>
          <w:color w:val="auto"/>
          <w:sz w:val="28"/>
        </w:rPr>
        <w:t>新乡市万宝科技有限公司</w:t>
      </w:r>
    </w:p>
    <w:p w14:paraId="06FA5EEA">
      <w:pPr>
        <w:ind w:firstLine="560"/>
        <w:rPr>
          <w:rFonts w:eastAsia="仿宋_GB2312" w:cs="Times New Roman"/>
          <w:color w:val="auto"/>
          <w:sz w:val="28"/>
        </w:rPr>
      </w:pPr>
    </w:p>
    <w:p w14:paraId="4E17E217">
      <w:pPr>
        <w:ind w:firstLine="0" w:firstLineChars="0"/>
        <w:jc w:val="center"/>
        <w:rPr>
          <w:rFonts w:eastAsia="华文新魏" w:cs="Times New Roman"/>
          <w:color w:val="auto"/>
          <w:sz w:val="28"/>
        </w:rPr>
        <w:sectPr>
          <w:headerReference r:id="rId7" w:type="first"/>
          <w:footerReference r:id="rId10" w:type="first"/>
          <w:headerReference r:id="rId5" w:type="default"/>
          <w:footerReference r:id="rId8" w:type="default"/>
          <w:headerReference r:id="rId6" w:type="even"/>
          <w:footerReference r:id="rId9" w:type="even"/>
          <w:pgSz w:w="11907" w:h="16840"/>
          <w:pgMar w:top="1417" w:right="1417" w:bottom="1417" w:left="1417" w:header="284" w:footer="851" w:gutter="0"/>
          <w:pgNumType w:start="2"/>
          <w:cols w:space="720" w:num="1"/>
          <w:docGrid w:linePitch="299" w:charSpace="0"/>
        </w:sectPr>
      </w:pPr>
      <w:r>
        <w:rPr>
          <w:rFonts w:eastAsia="华文新魏" w:cs="Times New Roman"/>
          <w:color w:val="auto"/>
          <w:sz w:val="28"/>
        </w:rPr>
        <w:t>202</w:t>
      </w:r>
      <w:r>
        <w:rPr>
          <w:rFonts w:hint="eastAsia" w:eastAsia="华文新魏" w:cs="Times New Roman"/>
          <w:color w:val="auto"/>
          <w:sz w:val="28"/>
          <w:lang w:val="en-US" w:eastAsia="zh-CN"/>
        </w:rPr>
        <w:t>6</w:t>
      </w:r>
      <w:r>
        <w:rPr>
          <w:rFonts w:eastAsia="华文新魏" w:cs="Times New Roman"/>
          <w:color w:val="auto"/>
          <w:sz w:val="28"/>
        </w:rPr>
        <w:t>年</w:t>
      </w:r>
      <w:r>
        <w:rPr>
          <w:rFonts w:hint="eastAsia" w:eastAsia="华文新魏" w:cs="Times New Roman"/>
          <w:color w:val="auto"/>
          <w:sz w:val="28"/>
          <w:lang w:val="en-US" w:eastAsia="zh-CN"/>
        </w:rPr>
        <w:t>8</w:t>
      </w:r>
      <w:r>
        <w:rPr>
          <w:rFonts w:eastAsia="华文新魏" w:cs="Times New Roman"/>
          <w:color w:val="auto"/>
          <w:sz w:val="28"/>
        </w:rPr>
        <w:t>月</w:t>
      </w:r>
    </w:p>
    <w:p w14:paraId="67220FD6">
      <w:pPr>
        <w:spacing w:line="480" w:lineRule="auto"/>
        <w:ind w:firstLine="208" w:firstLineChars="86"/>
        <w:rPr>
          <w:rFonts w:eastAsia="仿宋_GB2312" w:cs="Times New Roman"/>
          <w:b/>
          <w:color w:val="auto"/>
          <w:spacing w:val="10"/>
          <w:w w:val="79"/>
          <w:sz w:val="28"/>
        </w:rPr>
      </w:pPr>
      <w:r>
        <w:rPr>
          <w:rFonts w:eastAsia="仿宋_GB2312" w:cs="Times New Roman"/>
          <w:b/>
          <w:color w:val="auto"/>
          <w:spacing w:val="10"/>
          <w:w w:val="79"/>
          <w:sz w:val="28"/>
        </w:rPr>
        <w:t>建设单位法人代表</w:t>
      </w:r>
      <w:r>
        <w:rPr>
          <w:rFonts w:hint="eastAsia" w:eastAsia="仿宋_GB2312" w:cs="Times New Roman"/>
          <w:b/>
          <w:color w:val="auto"/>
          <w:spacing w:val="10"/>
          <w:w w:val="79"/>
          <w:sz w:val="28"/>
          <w:lang w:eastAsia="zh-CN"/>
        </w:rPr>
        <w:t>：</w:t>
      </w:r>
      <w:r>
        <w:rPr>
          <w:rFonts w:eastAsia="仿宋_GB2312" w:cs="Times New Roman"/>
          <w:b/>
          <w:color w:val="auto"/>
          <w:spacing w:val="10"/>
          <w:w w:val="79"/>
          <w:sz w:val="28"/>
        </w:rPr>
        <w:t xml:space="preserve">      </w:t>
      </w:r>
      <w:r>
        <w:rPr>
          <w:rFonts w:hint="eastAsia" w:eastAsia="仿宋_GB2312" w:cs="Times New Roman"/>
          <w:b/>
          <w:color w:val="auto"/>
          <w:spacing w:val="10"/>
          <w:w w:val="79"/>
          <w:sz w:val="28"/>
        </w:rPr>
        <w:t xml:space="preserve">       </w:t>
      </w:r>
      <w:r>
        <w:rPr>
          <w:rFonts w:eastAsia="仿宋_GB2312" w:cs="Times New Roman"/>
          <w:b/>
          <w:color w:val="auto"/>
          <w:spacing w:val="10"/>
          <w:w w:val="79"/>
          <w:sz w:val="28"/>
        </w:rPr>
        <w:t xml:space="preserve">    （签字）</w:t>
      </w:r>
    </w:p>
    <w:p w14:paraId="79155E89">
      <w:pPr>
        <w:spacing w:line="480" w:lineRule="auto"/>
        <w:ind w:firstLine="208" w:firstLineChars="86"/>
        <w:rPr>
          <w:rFonts w:eastAsia="仿宋_GB2312" w:cs="Times New Roman"/>
          <w:b/>
          <w:color w:val="auto"/>
          <w:spacing w:val="10"/>
          <w:w w:val="79"/>
          <w:sz w:val="28"/>
        </w:rPr>
      </w:pPr>
      <w:r>
        <w:rPr>
          <w:rFonts w:eastAsia="仿宋_GB2312" w:cs="Times New Roman"/>
          <w:b/>
          <w:color w:val="auto"/>
          <w:spacing w:val="10"/>
          <w:w w:val="79"/>
          <w:sz w:val="28"/>
        </w:rPr>
        <w:t>编制单位法人代表</w:t>
      </w:r>
      <w:r>
        <w:rPr>
          <w:rFonts w:hint="eastAsia" w:eastAsia="仿宋_GB2312" w:cs="Times New Roman"/>
          <w:b/>
          <w:color w:val="auto"/>
          <w:spacing w:val="10"/>
          <w:w w:val="79"/>
          <w:sz w:val="28"/>
          <w:lang w:eastAsia="zh-CN"/>
        </w:rPr>
        <w:t>：</w:t>
      </w:r>
      <w:r>
        <w:rPr>
          <w:rFonts w:eastAsia="仿宋_GB2312" w:cs="Times New Roman"/>
          <w:b/>
          <w:color w:val="auto"/>
          <w:spacing w:val="10"/>
          <w:w w:val="79"/>
          <w:sz w:val="28"/>
        </w:rPr>
        <w:t xml:space="preserve">      </w:t>
      </w:r>
      <w:r>
        <w:rPr>
          <w:rFonts w:hint="eastAsia" w:eastAsia="仿宋_GB2312" w:cs="Times New Roman"/>
          <w:b/>
          <w:color w:val="auto"/>
          <w:spacing w:val="10"/>
          <w:w w:val="79"/>
          <w:sz w:val="28"/>
        </w:rPr>
        <w:t xml:space="preserve">       </w:t>
      </w:r>
      <w:r>
        <w:rPr>
          <w:rFonts w:eastAsia="仿宋_GB2312" w:cs="Times New Roman"/>
          <w:b/>
          <w:color w:val="auto"/>
          <w:spacing w:val="10"/>
          <w:w w:val="79"/>
          <w:sz w:val="28"/>
        </w:rPr>
        <w:t xml:space="preserve">    （签字）</w:t>
      </w:r>
    </w:p>
    <w:p w14:paraId="693DD447">
      <w:pPr>
        <w:spacing w:line="480" w:lineRule="auto"/>
        <w:ind w:firstLine="208" w:firstLineChars="86"/>
        <w:rPr>
          <w:rFonts w:eastAsia="仿宋_GB2312" w:cs="Times New Roman"/>
          <w:b/>
          <w:color w:val="auto"/>
          <w:spacing w:val="10"/>
          <w:w w:val="79"/>
          <w:sz w:val="28"/>
        </w:rPr>
      </w:pPr>
      <w:r>
        <w:rPr>
          <w:rFonts w:eastAsia="仿宋_GB2312" w:cs="Times New Roman"/>
          <w:b/>
          <w:color w:val="auto"/>
          <w:spacing w:val="10"/>
          <w:w w:val="79"/>
          <w:sz w:val="28"/>
        </w:rPr>
        <w:t>项  目  负  责  人：</w:t>
      </w:r>
      <w:r>
        <w:rPr>
          <w:rFonts w:hint="eastAsia" w:eastAsia="仿宋_GB2312" w:cs="Times New Roman"/>
          <w:b/>
          <w:color w:val="auto"/>
          <w:spacing w:val="10"/>
          <w:w w:val="79"/>
          <w:sz w:val="28"/>
        </w:rPr>
        <w:t>范玉强</w:t>
      </w:r>
    </w:p>
    <w:p w14:paraId="66670630">
      <w:pPr>
        <w:spacing w:line="480" w:lineRule="auto"/>
        <w:ind w:firstLine="208" w:firstLineChars="86"/>
        <w:rPr>
          <w:rFonts w:eastAsia="仿宋_GB2312" w:cs="Times New Roman"/>
          <w:b/>
          <w:color w:val="auto"/>
          <w:spacing w:val="10"/>
          <w:w w:val="79"/>
          <w:sz w:val="28"/>
        </w:rPr>
      </w:pPr>
      <w:r>
        <w:rPr>
          <w:rFonts w:hint="eastAsia" w:eastAsia="仿宋_GB2312" w:cs="Times New Roman"/>
          <w:b/>
          <w:color w:val="auto"/>
          <w:spacing w:val="10"/>
          <w:w w:val="79"/>
          <w:sz w:val="28"/>
          <w:lang w:val="en-US" w:eastAsia="zh-CN"/>
        </w:rPr>
        <w:t>报  告  编  写</w:t>
      </w:r>
      <w:r>
        <w:rPr>
          <w:rFonts w:eastAsia="仿宋_GB2312" w:cs="Times New Roman"/>
          <w:b/>
          <w:color w:val="auto"/>
          <w:spacing w:val="10"/>
          <w:w w:val="79"/>
          <w:sz w:val="28"/>
        </w:rPr>
        <w:t xml:space="preserve"> </w:t>
      </w:r>
      <w:r>
        <w:rPr>
          <w:rFonts w:hint="eastAsia" w:eastAsia="仿宋_GB2312" w:cs="Times New Roman"/>
          <w:b/>
          <w:color w:val="auto"/>
          <w:spacing w:val="10"/>
          <w:w w:val="79"/>
          <w:sz w:val="28"/>
          <w:lang w:val="en-US" w:eastAsia="zh-CN"/>
        </w:rPr>
        <w:t xml:space="preserve"> </w:t>
      </w:r>
      <w:r>
        <w:rPr>
          <w:rFonts w:eastAsia="仿宋_GB2312" w:cs="Times New Roman"/>
          <w:b/>
          <w:color w:val="auto"/>
          <w:spacing w:val="10"/>
          <w:w w:val="79"/>
          <w:sz w:val="28"/>
        </w:rPr>
        <w:t>人：</w:t>
      </w:r>
      <w:r>
        <w:rPr>
          <w:rFonts w:hint="eastAsia" w:eastAsia="仿宋_GB2312" w:cs="Times New Roman"/>
          <w:b/>
          <w:color w:val="auto"/>
          <w:spacing w:val="10"/>
          <w:w w:val="79"/>
          <w:sz w:val="28"/>
        </w:rPr>
        <w:t>范玉强</w:t>
      </w:r>
    </w:p>
    <w:p w14:paraId="1965530E">
      <w:pPr>
        <w:spacing w:line="360" w:lineRule="auto"/>
        <w:ind w:firstLine="462"/>
        <w:rPr>
          <w:rFonts w:eastAsia="仿宋_GB2312" w:cs="Times New Roman"/>
          <w:b/>
          <w:color w:val="auto"/>
          <w:spacing w:val="10"/>
          <w:w w:val="79"/>
          <w:sz w:val="28"/>
        </w:rPr>
      </w:pPr>
    </w:p>
    <w:p w14:paraId="0C07807A">
      <w:pPr>
        <w:spacing w:line="640" w:lineRule="exact"/>
        <w:ind w:firstLine="560"/>
        <w:rPr>
          <w:rFonts w:eastAsia="仿宋_GB2312" w:cs="Times New Roman"/>
          <w:color w:val="auto"/>
          <w:sz w:val="28"/>
        </w:rPr>
      </w:pPr>
    </w:p>
    <w:p w14:paraId="761C4924">
      <w:pPr>
        <w:spacing w:line="640" w:lineRule="exact"/>
        <w:ind w:firstLine="560"/>
        <w:rPr>
          <w:rFonts w:eastAsia="仿宋_GB2312" w:cs="Times New Roman"/>
          <w:color w:val="auto"/>
          <w:sz w:val="28"/>
        </w:rPr>
      </w:pPr>
    </w:p>
    <w:p w14:paraId="7BB2F53E">
      <w:pPr>
        <w:spacing w:line="640" w:lineRule="exact"/>
        <w:ind w:firstLine="560"/>
        <w:rPr>
          <w:rFonts w:eastAsia="仿宋_GB2312" w:cs="Times New Roman"/>
          <w:color w:val="auto"/>
          <w:sz w:val="28"/>
        </w:rPr>
      </w:pPr>
    </w:p>
    <w:p w14:paraId="6BB16E5F">
      <w:pPr>
        <w:spacing w:line="640" w:lineRule="exact"/>
        <w:ind w:firstLine="560"/>
        <w:rPr>
          <w:rFonts w:eastAsia="仿宋_GB2312" w:cs="Times New Roman"/>
          <w:color w:val="auto"/>
          <w:sz w:val="28"/>
        </w:rPr>
      </w:pPr>
    </w:p>
    <w:p w14:paraId="1354F6F7">
      <w:pPr>
        <w:spacing w:line="640" w:lineRule="exact"/>
        <w:ind w:firstLine="560"/>
        <w:rPr>
          <w:rFonts w:eastAsia="仿宋_GB2312" w:cs="Times New Roman"/>
          <w:color w:val="auto"/>
          <w:sz w:val="28"/>
        </w:rPr>
      </w:pPr>
    </w:p>
    <w:p w14:paraId="53C071C2">
      <w:pPr>
        <w:spacing w:line="640" w:lineRule="exact"/>
        <w:ind w:firstLine="560"/>
        <w:rPr>
          <w:rFonts w:eastAsia="仿宋_GB2312" w:cs="Times New Roman"/>
          <w:color w:val="auto"/>
          <w:sz w:val="28"/>
        </w:rPr>
      </w:pPr>
    </w:p>
    <w:p w14:paraId="162178B6">
      <w:pPr>
        <w:spacing w:line="640" w:lineRule="exact"/>
        <w:ind w:firstLine="560"/>
        <w:rPr>
          <w:rFonts w:eastAsia="仿宋_GB2312" w:cs="Times New Roman"/>
          <w:color w:val="auto"/>
          <w:sz w:val="28"/>
        </w:rPr>
      </w:pPr>
    </w:p>
    <w:p w14:paraId="379C9789">
      <w:pPr>
        <w:spacing w:line="640" w:lineRule="exact"/>
        <w:ind w:firstLine="560"/>
        <w:rPr>
          <w:rFonts w:eastAsia="仿宋_GB2312" w:cs="Times New Roman"/>
          <w:color w:val="auto"/>
          <w:sz w:val="28"/>
        </w:rPr>
      </w:pPr>
    </w:p>
    <w:p w14:paraId="639C6714">
      <w:pPr>
        <w:spacing w:line="640" w:lineRule="exact"/>
        <w:ind w:firstLine="560"/>
        <w:rPr>
          <w:rFonts w:eastAsia="仿宋_GB2312" w:cs="Times New Roman"/>
          <w:color w:val="auto"/>
          <w:sz w:val="28"/>
        </w:rPr>
      </w:pPr>
    </w:p>
    <w:p w14:paraId="65D60FB9">
      <w:pPr>
        <w:spacing w:line="640" w:lineRule="exact"/>
        <w:ind w:firstLine="560"/>
        <w:rPr>
          <w:rFonts w:eastAsia="仿宋_GB2312" w:cs="Times New Roman"/>
          <w:color w:val="auto"/>
          <w:sz w:val="28"/>
        </w:rPr>
      </w:pPr>
    </w:p>
    <w:tbl>
      <w:tblPr>
        <w:tblStyle w:val="27"/>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650"/>
        <w:gridCol w:w="4636"/>
      </w:tblGrid>
      <w:tr w14:paraId="0E98C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504" w:type="pct"/>
            <w:vAlign w:val="center"/>
          </w:tcPr>
          <w:p w14:paraId="0FAD7605">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left"/>
              <w:textAlignment w:val="auto"/>
              <w:rPr>
                <w:rFonts w:hint="eastAsia" w:eastAsia="仿宋_GB2312" w:cs="Times New Roman"/>
                <w:b/>
                <w:bCs/>
                <w:color w:val="auto"/>
                <w:sz w:val="24"/>
                <w:szCs w:val="24"/>
                <w:vertAlign w:val="baseline"/>
                <w:lang w:eastAsia="zh-CN"/>
              </w:rPr>
            </w:pPr>
            <w:r>
              <w:rPr>
                <w:rFonts w:hint="eastAsia" w:ascii="仿宋_GB2312" w:eastAsia="仿宋_GB2312"/>
                <w:b/>
                <w:bCs/>
                <w:color w:val="auto"/>
                <w:sz w:val="24"/>
                <w:szCs w:val="24"/>
              </w:rPr>
              <w:t>建设单位</w:t>
            </w:r>
            <w:r>
              <w:rPr>
                <w:rFonts w:hint="eastAsia" w:ascii="仿宋_GB2312" w:eastAsia="仿宋_GB2312"/>
                <w:b/>
                <w:bCs/>
                <w:color w:val="auto"/>
                <w:sz w:val="24"/>
                <w:szCs w:val="24"/>
                <w:lang w:eastAsia="zh-CN"/>
              </w:rPr>
              <w:t>：</w:t>
            </w:r>
            <w:r>
              <w:rPr>
                <w:rFonts w:hint="eastAsia" w:ascii="仿宋_GB2312" w:eastAsia="仿宋_GB2312"/>
                <w:b/>
                <w:bCs/>
                <w:color w:val="auto"/>
                <w:sz w:val="24"/>
                <w:szCs w:val="24"/>
              </w:rPr>
              <w:t>新乡市万宝科技有限公司</w:t>
            </w:r>
            <w:r>
              <w:rPr>
                <w:rFonts w:eastAsia="仿宋_GB2312" w:cs="Times New Roman"/>
                <w:b/>
                <w:bCs/>
                <w:color w:val="auto"/>
                <w:sz w:val="24"/>
                <w:szCs w:val="24"/>
              </w:rPr>
              <w:t>（盖章）</w:t>
            </w:r>
          </w:p>
        </w:tc>
        <w:tc>
          <w:tcPr>
            <w:tcW w:w="4294" w:type="dxa"/>
            <w:vAlign w:val="center"/>
          </w:tcPr>
          <w:p w14:paraId="74096EA3">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left"/>
              <w:textAlignment w:val="auto"/>
              <w:rPr>
                <w:rFonts w:eastAsia="仿宋_GB2312" w:cs="Times New Roman"/>
                <w:b/>
                <w:bCs/>
                <w:color w:val="auto"/>
                <w:sz w:val="24"/>
                <w:szCs w:val="24"/>
                <w:vertAlign w:val="baseline"/>
              </w:rPr>
            </w:pPr>
            <w:r>
              <w:rPr>
                <w:rFonts w:hint="eastAsia" w:ascii="仿宋_GB2312" w:eastAsia="仿宋_GB2312"/>
                <w:b/>
                <w:bCs/>
                <w:color w:val="auto"/>
                <w:sz w:val="24"/>
                <w:szCs w:val="24"/>
                <w:lang w:val="en-US" w:eastAsia="zh-CN"/>
              </w:rPr>
              <w:t>编制</w:t>
            </w:r>
            <w:r>
              <w:rPr>
                <w:rFonts w:hint="eastAsia" w:ascii="仿宋_GB2312" w:eastAsia="仿宋_GB2312"/>
                <w:b/>
                <w:bCs/>
                <w:color w:val="auto"/>
                <w:sz w:val="24"/>
                <w:szCs w:val="24"/>
              </w:rPr>
              <w:t>单位</w:t>
            </w:r>
            <w:r>
              <w:rPr>
                <w:rFonts w:hint="eastAsia" w:ascii="仿宋_GB2312" w:eastAsia="仿宋_GB2312"/>
                <w:b/>
                <w:bCs/>
                <w:color w:val="auto"/>
                <w:sz w:val="24"/>
                <w:szCs w:val="24"/>
                <w:lang w:eastAsia="zh-CN"/>
              </w:rPr>
              <w:t>：</w:t>
            </w:r>
            <w:r>
              <w:rPr>
                <w:rFonts w:hint="eastAsia" w:ascii="仿宋_GB2312" w:eastAsia="仿宋_GB2312"/>
                <w:b/>
                <w:bCs/>
                <w:color w:val="auto"/>
                <w:sz w:val="24"/>
                <w:szCs w:val="24"/>
              </w:rPr>
              <w:t>新乡市万宝科技有限公司</w:t>
            </w:r>
            <w:r>
              <w:rPr>
                <w:rFonts w:eastAsia="仿宋_GB2312" w:cs="Times New Roman"/>
                <w:b/>
                <w:bCs/>
                <w:color w:val="auto"/>
                <w:sz w:val="24"/>
                <w:szCs w:val="24"/>
              </w:rPr>
              <w:t>（盖章）</w:t>
            </w:r>
          </w:p>
        </w:tc>
      </w:tr>
      <w:tr w14:paraId="3632D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504" w:type="pct"/>
            <w:vAlign w:val="center"/>
          </w:tcPr>
          <w:p w14:paraId="62369CAA">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left"/>
              <w:textAlignment w:val="auto"/>
              <w:rPr>
                <w:rFonts w:hint="eastAsia" w:eastAsia="仿宋_GB2312" w:cs="Times New Roman"/>
                <w:b/>
                <w:bCs/>
                <w:color w:val="auto"/>
                <w:sz w:val="24"/>
                <w:szCs w:val="24"/>
                <w:vertAlign w:val="baseline"/>
                <w:lang w:eastAsia="zh-CN"/>
              </w:rPr>
            </w:pPr>
            <w:r>
              <w:rPr>
                <w:rFonts w:eastAsia="仿宋_GB2312" w:cs="Times New Roman"/>
                <w:b/>
                <w:bCs/>
                <w:color w:val="auto"/>
                <w:sz w:val="24"/>
                <w:szCs w:val="24"/>
              </w:rPr>
              <w:t>电话</w:t>
            </w:r>
            <w:r>
              <w:rPr>
                <w:rFonts w:hint="eastAsia" w:eastAsia="仿宋_GB2312" w:cs="Times New Roman"/>
                <w:b/>
                <w:bCs/>
                <w:color w:val="auto"/>
                <w:sz w:val="24"/>
                <w:szCs w:val="24"/>
                <w:lang w:eastAsia="zh-CN"/>
              </w:rPr>
              <w:t>：</w:t>
            </w:r>
            <w:r>
              <w:rPr>
                <w:rFonts w:hint="eastAsia" w:eastAsia="仿宋_GB2312" w:cs="Times New Roman"/>
                <w:b/>
                <w:bCs/>
                <w:color w:val="auto"/>
                <w:sz w:val="24"/>
                <w:szCs w:val="24"/>
              </w:rPr>
              <w:t>13782554112</w:t>
            </w:r>
          </w:p>
        </w:tc>
        <w:tc>
          <w:tcPr>
            <w:tcW w:w="4294" w:type="dxa"/>
            <w:vAlign w:val="center"/>
          </w:tcPr>
          <w:p w14:paraId="76C8D4ED">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left"/>
              <w:textAlignment w:val="auto"/>
              <w:rPr>
                <w:rFonts w:eastAsia="仿宋_GB2312" w:cs="Times New Roman"/>
                <w:b/>
                <w:bCs/>
                <w:color w:val="auto"/>
                <w:sz w:val="24"/>
                <w:szCs w:val="24"/>
                <w:vertAlign w:val="baseline"/>
              </w:rPr>
            </w:pPr>
            <w:r>
              <w:rPr>
                <w:rFonts w:eastAsia="仿宋_GB2312" w:cs="Times New Roman"/>
                <w:b/>
                <w:bCs/>
                <w:color w:val="auto"/>
                <w:sz w:val="24"/>
                <w:szCs w:val="24"/>
              </w:rPr>
              <w:t>电话</w:t>
            </w:r>
            <w:r>
              <w:rPr>
                <w:rFonts w:hint="eastAsia" w:eastAsia="仿宋_GB2312" w:cs="Times New Roman"/>
                <w:b/>
                <w:bCs/>
                <w:color w:val="auto"/>
                <w:sz w:val="24"/>
                <w:szCs w:val="24"/>
                <w:lang w:eastAsia="zh-CN"/>
              </w:rPr>
              <w:t>：</w:t>
            </w:r>
            <w:r>
              <w:rPr>
                <w:rFonts w:hint="eastAsia" w:eastAsia="仿宋_GB2312" w:cs="Times New Roman"/>
                <w:b/>
                <w:bCs/>
                <w:color w:val="auto"/>
                <w:sz w:val="24"/>
                <w:szCs w:val="24"/>
              </w:rPr>
              <w:t>13782554112</w:t>
            </w:r>
          </w:p>
        </w:tc>
      </w:tr>
      <w:tr w14:paraId="44292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504" w:type="pct"/>
            <w:vAlign w:val="center"/>
          </w:tcPr>
          <w:p w14:paraId="7A454869">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left"/>
              <w:textAlignment w:val="auto"/>
              <w:rPr>
                <w:rFonts w:hint="eastAsia" w:eastAsia="仿宋_GB2312" w:cs="Times New Roman"/>
                <w:b/>
                <w:bCs/>
                <w:color w:val="auto"/>
                <w:sz w:val="24"/>
                <w:szCs w:val="24"/>
                <w:vertAlign w:val="baseline"/>
                <w:lang w:eastAsia="zh-CN"/>
              </w:rPr>
            </w:pPr>
            <w:r>
              <w:rPr>
                <w:rFonts w:eastAsia="仿宋_GB2312" w:cs="Times New Roman"/>
                <w:b/>
                <w:bCs/>
                <w:color w:val="auto"/>
                <w:sz w:val="24"/>
                <w:szCs w:val="24"/>
              </w:rPr>
              <w:t>传真</w:t>
            </w:r>
            <w:r>
              <w:rPr>
                <w:rFonts w:hint="eastAsia" w:eastAsia="仿宋_GB2312" w:cs="Times New Roman"/>
                <w:b/>
                <w:bCs/>
                <w:color w:val="auto"/>
                <w:sz w:val="24"/>
                <w:szCs w:val="24"/>
                <w:lang w:eastAsia="zh-CN"/>
              </w:rPr>
              <w:t>：</w:t>
            </w:r>
            <w:r>
              <w:rPr>
                <w:rFonts w:eastAsia="仿宋_GB2312" w:cs="Times New Roman"/>
                <w:b/>
                <w:bCs/>
                <w:color w:val="auto"/>
                <w:sz w:val="24"/>
                <w:szCs w:val="24"/>
              </w:rPr>
              <w:t>/</w:t>
            </w:r>
          </w:p>
        </w:tc>
        <w:tc>
          <w:tcPr>
            <w:tcW w:w="4294" w:type="dxa"/>
            <w:vAlign w:val="center"/>
          </w:tcPr>
          <w:p w14:paraId="7263B7AB">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left"/>
              <w:textAlignment w:val="auto"/>
              <w:rPr>
                <w:rFonts w:eastAsia="仿宋_GB2312" w:cs="Times New Roman"/>
                <w:b/>
                <w:bCs/>
                <w:color w:val="auto"/>
                <w:sz w:val="24"/>
                <w:szCs w:val="24"/>
                <w:vertAlign w:val="baseline"/>
              </w:rPr>
            </w:pPr>
            <w:r>
              <w:rPr>
                <w:rFonts w:eastAsia="仿宋_GB2312" w:cs="Times New Roman"/>
                <w:b/>
                <w:bCs/>
                <w:color w:val="auto"/>
                <w:sz w:val="24"/>
                <w:szCs w:val="24"/>
              </w:rPr>
              <w:t>传真</w:t>
            </w:r>
            <w:r>
              <w:rPr>
                <w:rFonts w:hint="eastAsia" w:eastAsia="仿宋_GB2312" w:cs="Times New Roman"/>
                <w:b/>
                <w:bCs/>
                <w:color w:val="auto"/>
                <w:sz w:val="24"/>
                <w:szCs w:val="24"/>
                <w:lang w:eastAsia="zh-CN"/>
              </w:rPr>
              <w:t>：</w:t>
            </w:r>
            <w:r>
              <w:rPr>
                <w:rFonts w:eastAsia="仿宋_GB2312" w:cs="Times New Roman"/>
                <w:b/>
                <w:bCs/>
                <w:color w:val="auto"/>
                <w:sz w:val="24"/>
                <w:szCs w:val="24"/>
              </w:rPr>
              <w:t>/</w:t>
            </w:r>
          </w:p>
        </w:tc>
      </w:tr>
      <w:tr w14:paraId="1512A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504" w:type="pct"/>
            <w:vAlign w:val="center"/>
          </w:tcPr>
          <w:p w14:paraId="40C41732">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left"/>
              <w:textAlignment w:val="auto"/>
              <w:rPr>
                <w:rFonts w:hint="eastAsia" w:eastAsia="仿宋_GB2312" w:cs="Times New Roman"/>
                <w:b/>
                <w:bCs/>
                <w:color w:val="auto"/>
                <w:sz w:val="24"/>
                <w:szCs w:val="24"/>
                <w:vertAlign w:val="baseline"/>
                <w:lang w:eastAsia="zh-CN"/>
              </w:rPr>
            </w:pPr>
            <w:r>
              <w:rPr>
                <w:rFonts w:eastAsia="仿宋_GB2312" w:cs="Times New Roman"/>
                <w:b/>
                <w:bCs/>
                <w:color w:val="auto"/>
                <w:sz w:val="24"/>
                <w:szCs w:val="24"/>
              </w:rPr>
              <w:t>邮编</w:t>
            </w:r>
            <w:r>
              <w:rPr>
                <w:rFonts w:hint="eastAsia" w:eastAsia="仿宋_GB2312" w:cs="Times New Roman"/>
                <w:b/>
                <w:bCs/>
                <w:color w:val="auto"/>
                <w:sz w:val="24"/>
                <w:szCs w:val="24"/>
                <w:lang w:eastAsia="zh-CN"/>
              </w:rPr>
              <w:t>：</w:t>
            </w:r>
            <w:r>
              <w:rPr>
                <w:rFonts w:eastAsia="仿宋_GB2312" w:cs="Times New Roman"/>
                <w:b/>
                <w:bCs/>
                <w:color w:val="auto"/>
                <w:sz w:val="24"/>
                <w:szCs w:val="24"/>
              </w:rPr>
              <w:t>453</w:t>
            </w:r>
            <w:r>
              <w:rPr>
                <w:rFonts w:hint="eastAsia" w:eastAsia="仿宋_GB2312" w:cs="Times New Roman"/>
                <w:b/>
                <w:bCs/>
                <w:color w:val="auto"/>
                <w:sz w:val="24"/>
                <w:szCs w:val="24"/>
              </w:rPr>
              <w:t>0</w:t>
            </w:r>
            <w:r>
              <w:rPr>
                <w:rFonts w:eastAsia="仿宋_GB2312" w:cs="Times New Roman"/>
                <w:b/>
                <w:bCs/>
                <w:color w:val="auto"/>
                <w:sz w:val="24"/>
                <w:szCs w:val="24"/>
              </w:rPr>
              <w:t>00</w:t>
            </w:r>
          </w:p>
        </w:tc>
        <w:tc>
          <w:tcPr>
            <w:tcW w:w="4294" w:type="dxa"/>
            <w:vAlign w:val="center"/>
          </w:tcPr>
          <w:p w14:paraId="726ACA54">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left"/>
              <w:textAlignment w:val="auto"/>
              <w:rPr>
                <w:rFonts w:eastAsia="仿宋_GB2312" w:cs="Times New Roman"/>
                <w:b/>
                <w:bCs/>
                <w:color w:val="auto"/>
                <w:sz w:val="24"/>
                <w:szCs w:val="24"/>
                <w:vertAlign w:val="baseline"/>
              </w:rPr>
            </w:pPr>
            <w:r>
              <w:rPr>
                <w:rFonts w:eastAsia="仿宋_GB2312" w:cs="Times New Roman"/>
                <w:b/>
                <w:bCs/>
                <w:color w:val="auto"/>
                <w:sz w:val="24"/>
                <w:szCs w:val="24"/>
              </w:rPr>
              <w:t>邮编</w:t>
            </w:r>
            <w:r>
              <w:rPr>
                <w:rFonts w:hint="eastAsia" w:eastAsia="仿宋_GB2312" w:cs="Times New Roman"/>
                <w:b/>
                <w:bCs/>
                <w:color w:val="auto"/>
                <w:sz w:val="24"/>
                <w:szCs w:val="24"/>
                <w:lang w:eastAsia="zh-CN"/>
              </w:rPr>
              <w:t>：</w:t>
            </w:r>
            <w:r>
              <w:rPr>
                <w:rFonts w:eastAsia="仿宋_GB2312" w:cs="Times New Roman"/>
                <w:b/>
                <w:bCs/>
                <w:color w:val="auto"/>
                <w:sz w:val="24"/>
                <w:szCs w:val="24"/>
              </w:rPr>
              <w:t>453</w:t>
            </w:r>
            <w:r>
              <w:rPr>
                <w:rFonts w:hint="eastAsia" w:eastAsia="仿宋_GB2312" w:cs="Times New Roman"/>
                <w:b/>
                <w:bCs/>
                <w:color w:val="auto"/>
                <w:sz w:val="24"/>
                <w:szCs w:val="24"/>
              </w:rPr>
              <w:t>0</w:t>
            </w:r>
            <w:r>
              <w:rPr>
                <w:rFonts w:eastAsia="仿宋_GB2312" w:cs="Times New Roman"/>
                <w:b/>
                <w:bCs/>
                <w:color w:val="auto"/>
                <w:sz w:val="24"/>
                <w:szCs w:val="24"/>
              </w:rPr>
              <w:t>00</w:t>
            </w:r>
          </w:p>
        </w:tc>
      </w:tr>
      <w:tr w14:paraId="76AA7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504" w:type="pct"/>
            <w:vAlign w:val="center"/>
          </w:tcPr>
          <w:p w14:paraId="3EE980B2">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left"/>
              <w:textAlignment w:val="auto"/>
              <w:rPr>
                <w:rFonts w:hint="eastAsia" w:eastAsia="仿宋_GB2312" w:cs="Times New Roman"/>
                <w:b/>
                <w:bCs/>
                <w:color w:val="auto"/>
                <w:sz w:val="24"/>
                <w:szCs w:val="24"/>
                <w:vertAlign w:val="baseline"/>
                <w:lang w:eastAsia="zh-CN"/>
              </w:rPr>
            </w:pPr>
            <w:r>
              <w:rPr>
                <w:rFonts w:eastAsia="仿宋_GB2312" w:cs="Times New Roman"/>
                <w:b/>
                <w:bCs/>
                <w:color w:val="auto"/>
                <w:sz w:val="24"/>
                <w:szCs w:val="24"/>
              </w:rPr>
              <w:t>地址</w:t>
            </w:r>
            <w:r>
              <w:rPr>
                <w:rFonts w:hint="eastAsia" w:eastAsia="仿宋_GB2312" w:cs="Times New Roman"/>
                <w:b/>
                <w:bCs/>
                <w:color w:val="auto"/>
                <w:sz w:val="24"/>
                <w:szCs w:val="24"/>
                <w:lang w:eastAsia="zh-CN"/>
              </w:rPr>
              <w:t>：</w:t>
            </w:r>
            <w:r>
              <w:rPr>
                <w:rFonts w:eastAsia="仿宋_GB2312" w:cs="Times New Roman"/>
                <w:b/>
                <w:bCs/>
                <w:color w:val="auto"/>
                <w:sz w:val="24"/>
                <w:szCs w:val="24"/>
              </w:rPr>
              <w:t>新乡市凤泉区大块镇陈堡村丰源路5号</w:t>
            </w:r>
          </w:p>
        </w:tc>
        <w:tc>
          <w:tcPr>
            <w:tcW w:w="4294" w:type="dxa"/>
            <w:vAlign w:val="center"/>
          </w:tcPr>
          <w:p w14:paraId="7C1F10FD">
            <w:pPr>
              <w:keepNext w:val="0"/>
              <w:keepLines w:val="0"/>
              <w:pageBreakBefore w:val="0"/>
              <w:widowControl/>
              <w:kinsoku/>
              <w:wordWrap/>
              <w:overflowPunct/>
              <w:topLinePunct w:val="0"/>
              <w:autoSpaceDE/>
              <w:autoSpaceDN/>
              <w:bidi w:val="0"/>
              <w:adjustRightInd w:val="0"/>
              <w:snapToGrid w:val="0"/>
              <w:spacing w:line="360" w:lineRule="auto"/>
              <w:ind w:firstLine="0" w:firstLineChars="0"/>
              <w:jc w:val="left"/>
              <w:textAlignment w:val="auto"/>
              <w:rPr>
                <w:rFonts w:eastAsia="仿宋_GB2312" w:cs="Times New Roman"/>
                <w:b/>
                <w:bCs/>
                <w:color w:val="auto"/>
                <w:sz w:val="24"/>
                <w:szCs w:val="24"/>
                <w:vertAlign w:val="baseline"/>
              </w:rPr>
            </w:pPr>
            <w:r>
              <w:rPr>
                <w:rFonts w:eastAsia="仿宋_GB2312" w:cs="Times New Roman"/>
                <w:b/>
                <w:bCs/>
                <w:color w:val="auto"/>
                <w:sz w:val="24"/>
                <w:szCs w:val="24"/>
              </w:rPr>
              <w:t>地址</w:t>
            </w:r>
            <w:r>
              <w:rPr>
                <w:rFonts w:hint="eastAsia" w:eastAsia="仿宋_GB2312" w:cs="Times New Roman"/>
                <w:b/>
                <w:bCs/>
                <w:color w:val="auto"/>
                <w:sz w:val="24"/>
                <w:szCs w:val="24"/>
                <w:lang w:eastAsia="zh-CN"/>
              </w:rPr>
              <w:t>：</w:t>
            </w:r>
            <w:r>
              <w:rPr>
                <w:rFonts w:eastAsia="仿宋_GB2312" w:cs="Times New Roman"/>
                <w:b/>
                <w:bCs/>
                <w:color w:val="auto"/>
                <w:sz w:val="24"/>
                <w:szCs w:val="24"/>
              </w:rPr>
              <w:t>新乡市凤泉区大块镇陈堡村丰源路5号</w:t>
            </w:r>
          </w:p>
        </w:tc>
      </w:tr>
    </w:tbl>
    <w:p w14:paraId="1FFA7EAB">
      <w:pPr>
        <w:spacing w:line="640" w:lineRule="exact"/>
        <w:ind w:left="0" w:leftChars="0" w:firstLine="0" w:firstLineChars="0"/>
        <w:rPr>
          <w:rFonts w:eastAsia="仿宋_GB2312" w:cs="Times New Roman"/>
          <w:color w:val="FF0000"/>
          <w:sz w:val="28"/>
        </w:rPr>
      </w:pPr>
    </w:p>
    <w:p w14:paraId="35D308F2">
      <w:pPr>
        <w:spacing w:line="640" w:lineRule="exact"/>
        <w:rPr>
          <w:rFonts w:eastAsia="仿宋_GB2312" w:cs="Times New Roman"/>
          <w:color w:val="FF0000"/>
          <w:sz w:val="28"/>
        </w:rPr>
        <w:sectPr>
          <w:footerReference r:id="rId11" w:type="default"/>
          <w:pgSz w:w="11906" w:h="16838"/>
          <w:pgMar w:top="1417" w:right="1417" w:bottom="1417" w:left="1417" w:header="709" w:footer="709" w:gutter="0"/>
          <w:pgNumType w:start="1"/>
          <w:cols w:space="708" w:num="1"/>
          <w:docGrid w:linePitch="360" w:charSpace="0"/>
        </w:sectPr>
      </w:pPr>
    </w:p>
    <w:p w14:paraId="2B2ADF0E">
      <w:pPr>
        <w:pStyle w:val="46"/>
        <w:rPr>
          <w:rFonts w:cs="Times New Roman"/>
          <w:color w:val="auto"/>
        </w:rPr>
      </w:pPr>
      <w:r>
        <w:rPr>
          <w:rFonts w:cs="Times New Roman"/>
          <w:color w:val="auto"/>
        </w:rPr>
        <w:t>目  录</w:t>
      </w:r>
    </w:p>
    <w:p w14:paraId="464F7B78">
      <w:pPr>
        <w:pStyle w:val="20"/>
        <w:tabs>
          <w:tab w:val="right" w:leader="dot" w:pos="8380"/>
        </w:tabs>
        <w:spacing w:before="240" w:after="240"/>
        <w:ind w:leftChars="200"/>
        <w:rPr>
          <w:rFonts w:asciiTheme="minorHAnsi" w:hAnsiTheme="minorHAnsi" w:eastAsiaTheme="minorEastAsia"/>
          <w:b w:val="0"/>
          <w:color w:val="auto"/>
          <w:kern w:val="2"/>
          <w:sz w:val="22"/>
          <w:szCs w:val="24"/>
          <w14:ligatures w14:val="standardContextual"/>
        </w:rPr>
      </w:pPr>
      <w:r>
        <w:rPr>
          <w:rFonts w:cs="Times New Roman"/>
          <w:color w:val="auto"/>
          <w:sz w:val="30"/>
        </w:rPr>
        <w:fldChar w:fldCharType="begin"/>
      </w:r>
      <w:r>
        <w:rPr>
          <w:rFonts w:cs="Times New Roman"/>
          <w:color w:val="auto"/>
          <w:sz w:val="30"/>
        </w:rPr>
        <w:instrText xml:space="preserve"> TOC \o "1-2" \h \z \u </w:instrText>
      </w:r>
      <w:r>
        <w:rPr>
          <w:rFonts w:cs="Times New Roman"/>
          <w:color w:val="auto"/>
          <w:sz w:val="30"/>
        </w:rPr>
        <w:fldChar w:fldCharType="separate"/>
      </w:r>
      <w:r>
        <w:rPr>
          <w:color w:val="auto"/>
        </w:rPr>
        <w:fldChar w:fldCharType="begin"/>
      </w:r>
      <w:r>
        <w:rPr>
          <w:color w:val="auto"/>
        </w:rPr>
        <w:instrText xml:space="preserve"> HYPERLINK \l "_Toc172712282" </w:instrText>
      </w:r>
      <w:r>
        <w:rPr>
          <w:color w:val="auto"/>
        </w:rPr>
        <w:fldChar w:fldCharType="separate"/>
      </w:r>
      <w:r>
        <w:rPr>
          <w:rStyle w:val="29"/>
          <w:rFonts w:hint="eastAsia" w:cs="Times New Roman"/>
          <w:color w:val="auto"/>
        </w:rPr>
        <w:t>1 项目概况</w:t>
      </w:r>
      <w:r>
        <w:rPr>
          <w:rFonts w:hint="eastAsia"/>
          <w:color w:val="auto"/>
        </w:rPr>
        <w:tab/>
      </w:r>
      <w:r>
        <w:rPr>
          <w:rFonts w:hint="eastAsia"/>
          <w:color w:val="auto"/>
        </w:rPr>
        <w:fldChar w:fldCharType="begin"/>
      </w:r>
      <w:r>
        <w:rPr>
          <w:rFonts w:hint="eastAsia"/>
          <w:color w:val="auto"/>
        </w:rPr>
        <w:instrText xml:space="preserve"> </w:instrText>
      </w:r>
      <w:r>
        <w:rPr>
          <w:color w:val="auto"/>
        </w:rPr>
        <w:instrText xml:space="preserve">PAGEREF _Toc172712282 \h</w:instrText>
      </w:r>
      <w:r>
        <w:rPr>
          <w:rFonts w:hint="eastAsia"/>
          <w:color w:val="auto"/>
        </w:rPr>
        <w:instrText xml:space="preserve"> </w:instrText>
      </w:r>
      <w:r>
        <w:rPr>
          <w:rFonts w:hint="eastAsia"/>
          <w:color w:val="auto"/>
        </w:rPr>
        <w:fldChar w:fldCharType="separate"/>
      </w:r>
      <w:r>
        <w:rPr>
          <w:color w:val="auto"/>
        </w:rPr>
        <w:t>1</w:t>
      </w:r>
      <w:r>
        <w:rPr>
          <w:rFonts w:hint="eastAsia"/>
          <w:color w:val="auto"/>
        </w:rPr>
        <w:fldChar w:fldCharType="end"/>
      </w:r>
      <w:r>
        <w:rPr>
          <w:rFonts w:hint="eastAsia"/>
          <w:color w:val="auto"/>
        </w:rPr>
        <w:fldChar w:fldCharType="end"/>
      </w:r>
    </w:p>
    <w:p w14:paraId="72408A46">
      <w:pPr>
        <w:pStyle w:val="20"/>
        <w:tabs>
          <w:tab w:val="right" w:leader="dot" w:pos="8380"/>
        </w:tabs>
        <w:spacing w:before="240" w:after="240"/>
        <w:ind w:leftChars="200"/>
        <w:rPr>
          <w:rFonts w:asciiTheme="minorHAnsi" w:hAnsiTheme="minorHAnsi" w:eastAsiaTheme="minorEastAsia"/>
          <w:b w:val="0"/>
          <w:color w:val="auto"/>
          <w:kern w:val="2"/>
          <w:sz w:val="22"/>
          <w:szCs w:val="24"/>
          <w14:ligatures w14:val="standardContextual"/>
        </w:rPr>
      </w:pPr>
      <w:r>
        <w:rPr>
          <w:color w:val="auto"/>
        </w:rPr>
        <w:fldChar w:fldCharType="begin"/>
      </w:r>
      <w:r>
        <w:rPr>
          <w:color w:val="auto"/>
        </w:rPr>
        <w:instrText xml:space="preserve"> HYPERLINK \l "_Toc172712283" </w:instrText>
      </w:r>
      <w:r>
        <w:rPr>
          <w:color w:val="auto"/>
        </w:rPr>
        <w:fldChar w:fldCharType="separate"/>
      </w:r>
      <w:r>
        <w:rPr>
          <w:rStyle w:val="29"/>
          <w:rFonts w:hint="eastAsia" w:cs="Times New Roman"/>
          <w:color w:val="auto"/>
        </w:rPr>
        <w:t>2 验收依据</w:t>
      </w:r>
      <w:r>
        <w:rPr>
          <w:rFonts w:hint="eastAsia"/>
          <w:color w:val="auto"/>
        </w:rPr>
        <w:tab/>
      </w:r>
      <w:r>
        <w:rPr>
          <w:rFonts w:hint="eastAsia"/>
          <w:color w:val="auto"/>
        </w:rPr>
        <w:fldChar w:fldCharType="begin"/>
      </w:r>
      <w:r>
        <w:rPr>
          <w:rFonts w:hint="eastAsia"/>
          <w:color w:val="auto"/>
        </w:rPr>
        <w:instrText xml:space="preserve"> </w:instrText>
      </w:r>
      <w:r>
        <w:rPr>
          <w:color w:val="auto"/>
        </w:rPr>
        <w:instrText xml:space="preserve">PAGEREF _Toc172712283 \h</w:instrText>
      </w:r>
      <w:r>
        <w:rPr>
          <w:rFonts w:hint="eastAsia"/>
          <w:color w:val="auto"/>
        </w:rPr>
        <w:instrText xml:space="preserve"> </w:instrText>
      </w:r>
      <w:r>
        <w:rPr>
          <w:rFonts w:hint="eastAsia"/>
          <w:color w:val="auto"/>
        </w:rPr>
        <w:fldChar w:fldCharType="separate"/>
      </w:r>
      <w:r>
        <w:rPr>
          <w:color w:val="auto"/>
        </w:rPr>
        <w:t>3</w:t>
      </w:r>
      <w:r>
        <w:rPr>
          <w:rFonts w:hint="eastAsia"/>
          <w:color w:val="auto"/>
        </w:rPr>
        <w:fldChar w:fldCharType="end"/>
      </w:r>
      <w:r>
        <w:rPr>
          <w:rFonts w:hint="eastAsia"/>
          <w:color w:val="auto"/>
        </w:rPr>
        <w:fldChar w:fldCharType="end"/>
      </w:r>
    </w:p>
    <w:p w14:paraId="31059DE9">
      <w:pPr>
        <w:pStyle w:val="20"/>
        <w:tabs>
          <w:tab w:val="right" w:leader="dot" w:pos="8380"/>
        </w:tabs>
        <w:spacing w:before="240" w:after="240"/>
        <w:ind w:leftChars="200"/>
        <w:rPr>
          <w:rFonts w:asciiTheme="minorHAnsi" w:hAnsiTheme="minorHAnsi" w:eastAsiaTheme="minorEastAsia"/>
          <w:b w:val="0"/>
          <w:color w:val="auto"/>
          <w:kern w:val="2"/>
          <w:sz w:val="22"/>
          <w:szCs w:val="24"/>
          <w14:ligatures w14:val="standardContextual"/>
        </w:rPr>
      </w:pPr>
      <w:r>
        <w:rPr>
          <w:color w:val="auto"/>
        </w:rPr>
        <w:fldChar w:fldCharType="begin"/>
      </w:r>
      <w:r>
        <w:rPr>
          <w:color w:val="auto"/>
        </w:rPr>
        <w:instrText xml:space="preserve"> HYPERLINK \l "_Toc172712284" </w:instrText>
      </w:r>
      <w:r>
        <w:rPr>
          <w:color w:val="auto"/>
        </w:rPr>
        <w:fldChar w:fldCharType="separate"/>
      </w:r>
      <w:r>
        <w:rPr>
          <w:rStyle w:val="29"/>
          <w:rFonts w:hint="eastAsia" w:cs="Times New Roman"/>
          <w:color w:val="auto"/>
        </w:rPr>
        <w:t>3 项目建设情况</w:t>
      </w:r>
      <w:r>
        <w:rPr>
          <w:rFonts w:hint="eastAsia"/>
          <w:color w:val="auto"/>
        </w:rPr>
        <w:tab/>
      </w:r>
      <w:r>
        <w:rPr>
          <w:rFonts w:hint="eastAsia"/>
          <w:color w:val="auto"/>
        </w:rPr>
        <w:fldChar w:fldCharType="begin"/>
      </w:r>
      <w:r>
        <w:rPr>
          <w:rFonts w:hint="eastAsia"/>
          <w:color w:val="auto"/>
        </w:rPr>
        <w:instrText xml:space="preserve"> </w:instrText>
      </w:r>
      <w:r>
        <w:rPr>
          <w:color w:val="auto"/>
        </w:rPr>
        <w:instrText xml:space="preserve">PAGEREF _Toc172712284 \h</w:instrText>
      </w:r>
      <w:r>
        <w:rPr>
          <w:rFonts w:hint="eastAsia"/>
          <w:color w:val="auto"/>
        </w:rPr>
        <w:instrText xml:space="preserve"> </w:instrText>
      </w:r>
      <w:r>
        <w:rPr>
          <w:rFonts w:hint="eastAsia"/>
          <w:color w:val="auto"/>
        </w:rPr>
        <w:fldChar w:fldCharType="separate"/>
      </w:r>
      <w:r>
        <w:rPr>
          <w:color w:val="auto"/>
        </w:rPr>
        <w:t>4</w:t>
      </w:r>
      <w:r>
        <w:rPr>
          <w:rFonts w:hint="eastAsia"/>
          <w:color w:val="auto"/>
        </w:rPr>
        <w:fldChar w:fldCharType="end"/>
      </w:r>
      <w:r>
        <w:rPr>
          <w:rFonts w:hint="eastAsia"/>
          <w:color w:val="auto"/>
        </w:rPr>
        <w:fldChar w:fldCharType="end"/>
      </w:r>
    </w:p>
    <w:p w14:paraId="3F87BE80">
      <w:pPr>
        <w:pStyle w:val="21"/>
        <w:tabs>
          <w:tab w:val="right" w:leader="dot" w:pos="8380"/>
        </w:tabs>
        <w:spacing w:before="120" w:after="120"/>
        <w:ind w:leftChars="200" w:firstLine="480"/>
        <w:rPr>
          <w:rFonts w:asciiTheme="minorHAnsi" w:hAnsiTheme="minorHAnsi" w:eastAsiaTheme="minorEastAsia"/>
          <w:color w:val="auto"/>
          <w:kern w:val="2"/>
          <w:sz w:val="22"/>
          <w:szCs w:val="24"/>
          <w14:ligatures w14:val="standardContextual"/>
        </w:rPr>
      </w:pPr>
      <w:r>
        <w:rPr>
          <w:color w:val="auto"/>
        </w:rPr>
        <w:fldChar w:fldCharType="begin"/>
      </w:r>
      <w:r>
        <w:rPr>
          <w:color w:val="auto"/>
        </w:rPr>
        <w:instrText xml:space="preserve"> HYPERLINK \l "_Toc172712285" </w:instrText>
      </w:r>
      <w:r>
        <w:rPr>
          <w:color w:val="auto"/>
        </w:rPr>
        <w:fldChar w:fldCharType="separate"/>
      </w:r>
      <w:r>
        <w:rPr>
          <w:rStyle w:val="29"/>
          <w:rFonts w:hint="eastAsia" w:cs="Times New Roman"/>
          <w:color w:val="auto"/>
        </w:rPr>
        <w:t>3.1地理位置</w:t>
      </w:r>
      <w:r>
        <w:rPr>
          <w:rFonts w:hint="eastAsia"/>
          <w:color w:val="auto"/>
        </w:rPr>
        <w:tab/>
      </w:r>
      <w:r>
        <w:rPr>
          <w:rFonts w:hint="eastAsia"/>
          <w:color w:val="auto"/>
        </w:rPr>
        <w:fldChar w:fldCharType="begin"/>
      </w:r>
      <w:r>
        <w:rPr>
          <w:rFonts w:hint="eastAsia"/>
          <w:color w:val="auto"/>
        </w:rPr>
        <w:instrText xml:space="preserve"> </w:instrText>
      </w:r>
      <w:r>
        <w:rPr>
          <w:color w:val="auto"/>
        </w:rPr>
        <w:instrText xml:space="preserve">PAGEREF _Toc172712285 \h</w:instrText>
      </w:r>
      <w:r>
        <w:rPr>
          <w:rFonts w:hint="eastAsia"/>
          <w:color w:val="auto"/>
        </w:rPr>
        <w:instrText xml:space="preserve"> </w:instrText>
      </w:r>
      <w:r>
        <w:rPr>
          <w:rFonts w:hint="eastAsia"/>
          <w:color w:val="auto"/>
        </w:rPr>
        <w:fldChar w:fldCharType="separate"/>
      </w:r>
      <w:r>
        <w:rPr>
          <w:color w:val="auto"/>
        </w:rPr>
        <w:t>4</w:t>
      </w:r>
      <w:r>
        <w:rPr>
          <w:rFonts w:hint="eastAsia"/>
          <w:color w:val="auto"/>
        </w:rPr>
        <w:fldChar w:fldCharType="end"/>
      </w:r>
      <w:r>
        <w:rPr>
          <w:rFonts w:hint="eastAsia"/>
          <w:color w:val="auto"/>
        </w:rPr>
        <w:fldChar w:fldCharType="end"/>
      </w:r>
    </w:p>
    <w:p w14:paraId="55A3F995">
      <w:pPr>
        <w:pStyle w:val="21"/>
        <w:tabs>
          <w:tab w:val="right" w:leader="dot" w:pos="8380"/>
        </w:tabs>
        <w:spacing w:before="120" w:after="120"/>
        <w:ind w:leftChars="200" w:firstLine="480"/>
        <w:rPr>
          <w:rFonts w:asciiTheme="minorHAnsi" w:hAnsiTheme="minorHAnsi" w:eastAsiaTheme="minorEastAsia"/>
          <w:color w:val="auto"/>
          <w:kern w:val="2"/>
          <w:sz w:val="22"/>
          <w:szCs w:val="24"/>
          <w14:ligatures w14:val="standardContextual"/>
        </w:rPr>
      </w:pPr>
      <w:r>
        <w:rPr>
          <w:color w:val="auto"/>
        </w:rPr>
        <w:fldChar w:fldCharType="begin"/>
      </w:r>
      <w:r>
        <w:rPr>
          <w:color w:val="auto"/>
        </w:rPr>
        <w:instrText xml:space="preserve"> HYPERLINK \l "_Toc172712286" </w:instrText>
      </w:r>
      <w:r>
        <w:rPr>
          <w:color w:val="auto"/>
        </w:rPr>
        <w:fldChar w:fldCharType="separate"/>
      </w:r>
      <w:r>
        <w:rPr>
          <w:rStyle w:val="29"/>
          <w:rFonts w:hint="eastAsia" w:cs="Times New Roman"/>
          <w:color w:val="auto"/>
        </w:rPr>
        <w:t>3.2建设内容</w:t>
      </w:r>
      <w:r>
        <w:rPr>
          <w:rFonts w:hint="eastAsia"/>
          <w:color w:val="auto"/>
        </w:rPr>
        <w:tab/>
      </w:r>
      <w:r>
        <w:rPr>
          <w:rFonts w:hint="eastAsia"/>
          <w:color w:val="auto"/>
        </w:rPr>
        <w:fldChar w:fldCharType="begin"/>
      </w:r>
      <w:r>
        <w:rPr>
          <w:rFonts w:hint="eastAsia"/>
          <w:color w:val="auto"/>
        </w:rPr>
        <w:instrText xml:space="preserve"> </w:instrText>
      </w:r>
      <w:r>
        <w:rPr>
          <w:color w:val="auto"/>
        </w:rPr>
        <w:instrText xml:space="preserve">PAGEREF _Toc172712286 \h</w:instrText>
      </w:r>
      <w:r>
        <w:rPr>
          <w:rFonts w:hint="eastAsia"/>
          <w:color w:val="auto"/>
        </w:rPr>
        <w:instrText xml:space="preserve"> </w:instrText>
      </w:r>
      <w:r>
        <w:rPr>
          <w:rFonts w:hint="eastAsia"/>
          <w:color w:val="auto"/>
        </w:rPr>
        <w:fldChar w:fldCharType="separate"/>
      </w:r>
      <w:r>
        <w:rPr>
          <w:color w:val="auto"/>
        </w:rPr>
        <w:t>7</w:t>
      </w:r>
      <w:r>
        <w:rPr>
          <w:rFonts w:hint="eastAsia"/>
          <w:color w:val="auto"/>
        </w:rPr>
        <w:fldChar w:fldCharType="end"/>
      </w:r>
      <w:r>
        <w:rPr>
          <w:rFonts w:hint="eastAsia"/>
          <w:color w:val="auto"/>
        </w:rPr>
        <w:fldChar w:fldCharType="end"/>
      </w:r>
    </w:p>
    <w:p w14:paraId="0EAAB51B">
      <w:pPr>
        <w:pStyle w:val="21"/>
        <w:tabs>
          <w:tab w:val="right" w:leader="dot" w:pos="8380"/>
        </w:tabs>
        <w:spacing w:before="120" w:after="120"/>
        <w:ind w:leftChars="200" w:firstLine="480"/>
        <w:rPr>
          <w:rFonts w:asciiTheme="minorHAnsi" w:hAnsiTheme="minorHAnsi" w:eastAsiaTheme="minorEastAsia"/>
          <w:color w:val="auto"/>
          <w:kern w:val="2"/>
          <w:sz w:val="22"/>
          <w:szCs w:val="24"/>
          <w14:ligatures w14:val="standardContextual"/>
        </w:rPr>
      </w:pPr>
      <w:r>
        <w:rPr>
          <w:color w:val="auto"/>
        </w:rPr>
        <w:fldChar w:fldCharType="begin"/>
      </w:r>
      <w:r>
        <w:rPr>
          <w:color w:val="auto"/>
        </w:rPr>
        <w:instrText xml:space="preserve"> HYPERLINK \l "_Toc172712287" </w:instrText>
      </w:r>
      <w:r>
        <w:rPr>
          <w:color w:val="auto"/>
        </w:rPr>
        <w:fldChar w:fldCharType="separate"/>
      </w:r>
      <w:r>
        <w:rPr>
          <w:rStyle w:val="29"/>
          <w:rFonts w:hint="eastAsia" w:cs="Times New Roman"/>
          <w:color w:val="auto"/>
        </w:rPr>
        <w:t>3.3主要原辅材料</w:t>
      </w:r>
      <w:r>
        <w:rPr>
          <w:rFonts w:hint="eastAsia"/>
          <w:color w:val="auto"/>
        </w:rPr>
        <w:tab/>
      </w:r>
      <w:r>
        <w:rPr>
          <w:rFonts w:hint="eastAsia"/>
          <w:color w:val="auto"/>
        </w:rPr>
        <w:fldChar w:fldCharType="begin"/>
      </w:r>
      <w:r>
        <w:rPr>
          <w:rFonts w:hint="eastAsia"/>
          <w:color w:val="auto"/>
        </w:rPr>
        <w:instrText xml:space="preserve"> </w:instrText>
      </w:r>
      <w:r>
        <w:rPr>
          <w:color w:val="auto"/>
        </w:rPr>
        <w:instrText xml:space="preserve">PAGEREF _Toc172712287 \h</w:instrText>
      </w:r>
      <w:r>
        <w:rPr>
          <w:rFonts w:hint="eastAsia"/>
          <w:color w:val="auto"/>
        </w:rPr>
        <w:instrText xml:space="preserve"> </w:instrText>
      </w:r>
      <w:r>
        <w:rPr>
          <w:rFonts w:hint="eastAsia"/>
          <w:color w:val="auto"/>
        </w:rPr>
        <w:fldChar w:fldCharType="separate"/>
      </w:r>
      <w:r>
        <w:rPr>
          <w:color w:val="auto"/>
        </w:rPr>
        <w:t>9</w:t>
      </w:r>
      <w:r>
        <w:rPr>
          <w:rFonts w:hint="eastAsia"/>
          <w:color w:val="auto"/>
        </w:rPr>
        <w:fldChar w:fldCharType="end"/>
      </w:r>
      <w:r>
        <w:rPr>
          <w:rFonts w:hint="eastAsia"/>
          <w:color w:val="auto"/>
        </w:rPr>
        <w:fldChar w:fldCharType="end"/>
      </w:r>
    </w:p>
    <w:p w14:paraId="45F27678">
      <w:pPr>
        <w:pStyle w:val="21"/>
        <w:tabs>
          <w:tab w:val="right" w:leader="dot" w:pos="8380"/>
        </w:tabs>
        <w:spacing w:before="120" w:after="120"/>
        <w:ind w:leftChars="200" w:firstLine="480"/>
        <w:rPr>
          <w:rFonts w:asciiTheme="minorHAnsi" w:hAnsiTheme="minorHAnsi" w:eastAsiaTheme="minorEastAsia"/>
          <w:color w:val="auto"/>
          <w:kern w:val="2"/>
          <w:sz w:val="22"/>
          <w:szCs w:val="24"/>
          <w14:ligatures w14:val="standardContextual"/>
        </w:rPr>
      </w:pPr>
      <w:r>
        <w:rPr>
          <w:color w:val="auto"/>
        </w:rPr>
        <w:fldChar w:fldCharType="begin"/>
      </w:r>
      <w:r>
        <w:rPr>
          <w:color w:val="auto"/>
        </w:rPr>
        <w:instrText xml:space="preserve"> HYPERLINK \l "_Toc172712288" </w:instrText>
      </w:r>
      <w:r>
        <w:rPr>
          <w:color w:val="auto"/>
        </w:rPr>
        <w:fldChar w:fldCharType="separate"/>
      </w:r>
      <w:r>
        <w:rPr>
          <w:rStyle w:val="29"/>
          <w:rFonts w:hint="eastAsia" w:cs="Times New Roman"/>
          <w:color w:val="auto"/>
        </w:rPr>
        <w:t>3.4主要设备</w:t>
      </w:r>
      <w:r>
        <w:rPr>
          <w:rFonts w:hint="eastAsia"/>
          <w:color w:val="auto"/>
        </w:rPr>
        <w:tab/>
      </w:r>
      <w:r>
        <w:rPr>
          <w:rFonts w:hint="eastAsia"/>
          <w:color w:val="auto"/>
        </w:rPr>
        <w:fldChar w:fldCharType="begin"/>
      </w:r>
      <w:r>
        <w:rPr>
          <w:rFonts w:hint="eastAsia"/>
          <w:color w:val="auto"/>
        </w:rPr>
        <w:instrText xml:space="preserve"> </w:instrText>
      </w:r>
      <w:r>
        <w:rPr>
          <w:color w:val="auto"/>
        </w:rPr>
        <w:instrText xml:space="preserve">PAGEREF _Toc172712288 \h</w:instrText>
      </w:r>
      <w:r>
        <w:rPr>
          <w:rFonts w:hint="eastAsia"/>
          <w:color w:val="auto"/>
        </w:rPr>
        <w:instrText xml:space="preserve"> </w:instrText>
      </w:r>
      <w:r>
        <w:rPr>
          <w:rFonts w:hint="eastAsia"/>
          <w:color w:val="auto"/>
        </w:rPr>
        <w:fldChar w:fldCharType="separate"/>
      </w:r>
      <w:r>
        <w:rPr>
          <w:color w:val="auto"/>
        </w:rPr>
        <w:t>16</w:t>
      </w:r>
      <w:r>
        <w:rPr>
          <w:rFonts w:hint="eastAsia"/>
          <w:color w:val="auto"/>
        </w:rPr>
        <w:fldChar w:fldCharType="end"/>
      </w:r>
      <w:r>
        <w:rPr>
          <w:rFonts w:hint="eastAsia"/>
          <w:color w:val="auto"/>
        </w:rPr>
        <w:fldChar w:fldCharType="end"/>
      </w:r>
    </w:p>
    <w:p w14:paraId="01B7B323">
      <w:pPr>
        <w:pStyle w:val="21"/>
        <w:tabs>
          <w:tab w:val="right" w:leader="dot" w:pos="8380"/>
        </w:tabs>
        <w:spacing w:before="120" w:after="120"/>
        <w:ind w:leftChars="200" w:firstLine="480"/>
        <w:rPr>
          <w:rFonts w:asciiTheme="minorHAnsi" w:hAnsiTheme="minorHAnsi" w:eastAsiaTheme="minorEastAsia"/>
          <w:color w:val="auto"/>
          <w:kern w:val="2"/>
          <w:sz w:val="22"/>
          <w:szCs w:val="24"/>
          <w14:ligatures w14:val="standardContextual"/>
        </w:rPr>
      </w:pPr>
      <w:r>
        <w:rPr>
          <w:color w:val="auto"/>
        </w:rPr>
        <w:fldChar w:fldCharType="begin"/>
      </w:r>
      <w:r>
        <w:rPr>
          <w:color w:val="auto"/>
        </w:rPr>
        <w:instrText xml:space="preserve"> HYPERLINK \l "_Toc172712289" </w:instrText>
      </w:r>
      <w:r>
        <w:rPr>
          <w:color w:val="auto"/>
        </w:rPr>
        <w:fldChar w:fldCharType="separate"/>
      </w:r>
      <w:r>
        <w:rPr>
          <w:rStyle w:val="29"/>
          <w:rFonts w:hint="eastAsia" w:cs="Times New Roman"/>
          <w:color w:val="auto"/>
        </w:rPr>
        <w:t>3.5水源及水平衡</w:t>
      </w:r>
      <w:r>
        <w:rPr>
          <w:rFonts w:hint="eastAsia"/>
          <w:color w:val="auto"/>
        </w:rPr>
        <w:tab/>
      </w:r>
      <w:r>
        <w:rPr>
          <w:rFonts w:hint="eastAsia"/>
          <w:color w:val="auto"/>
        </w:rPr>
        <w:fldChar w:fldCharType="begin"/>
      </w:r>
      <w:r>
        <w:rPr>
          <w:rFonts w:hint="eastAsia"/>
          <w:color w:val="auto"/>
        </w:rPr>
        <w:instrText xml:space="preserve"> </w:instrText>
      </w:r>
      <w:r>
        <w:rPr>
          <w:color w:val="auto"/>
        </w:rPr>
        <w:instrText xml:space="preserve">PAGEREF _Toc172712289 \h</w:instrText>
      </w:r>
      <w:r>
        <w:rPr>
          <w:rFonts w:hint="eastAsia"/>
          <w:color w:val="auto"/>
        </w:rPr>
        <w:instrText xml:space="preserve"> </w:instrText>
      </w:r>
      <w:r>
        <w:rPr>
          <w:rFonts w:hint="eastAsia"/>
          <w:color w:val="auto"/>
        </w:rPr>
        <w:fldChar w:fldCharType="separate"/>
      </w:r>
      <w:r>
        <w:rPr>
          <w:color w:val="auto"/>
        </w:rPr>
        <w:t>24</w:t>
      </w:r>
      <w:r>
        <w:rPr>
          <w:rFonts w:hint="eastAsia"/>
          <w:color w:val="auto"/>
        </w:rPr>
        <w:fldChar w:fldCharType="end"/>
      </w:r>
      <w:r>
        <w:rPr>
          <w:rFonts w:hint="eastAsia"/>
          <w:color w:val="auto"/>
        </w:rPr>
        <w:fldChar w:fldCharType="end"/>
      </w:r>
    </w:p>
    <w:p w14:paraId="7F5FFB83">
      <w:pPr>
        <w:pStyle w:val="21"/>
        <w:tabs>
          <w:tab w:val="right" w:leader="dot" w:pos="8380"/>
        </w:tabs>
        <w:spacing w:before="120" w:after="120"/>
        <w:ind w:leftChars="200" w:firstLine="480"/>
        <w:rPr>
          <w:rFonts w:asciiTheme="minorHAnsi" w:hAnsiTheme="minorHAnsi" w:eastAsiaTheme="minorEastAsia"/>
          <w:color w:val="auto"/>
          <w:kern w:val="2"/>
          <w:sz w:val="22"/>
          <w:szCs w:val="24"/>
          <w14:ligatures w14:val="standardContextual"/>
        </w:rPr>
      </w:pPr>
      <w:r>
        <w:rPr>
          <w:color w:val="auto"/>
        </w:rPr>
        <w:fldChar w:fldCharType="begin"/>
      </w:r>
      <w:r>
        <w:rPr>
          <w:color w:val="auto"/>
        </w:rPr>
        <w:instrText xml:space="preserve"> HYPERLINK \l "_Toc172712290" </w:instrText>
      </w:r>
      <w:r>
        <w:rPr>
          <w:color w:val="auto"/>
        </w:rPr>
        <w:fldChar w:fldCharType="separate"/>
      </w:r>
      <w:r>
        <w:rPr>
          <w:rStyle w:val="29"/>
          <w:rFonts w:hint="eastAsia" w:cs="Times New Roman"/>
          <w:color w:val="auto"/>
        </w:rPr>
        <w:t>3.6生产工艺</w:t>
      </w:r>
      <w:r>
        <w:rPr>
          <w:rFonts w:hint="eastAsia"/>
          <w:color w:val="auto"/>
        </w:rPr>
        <w:tab/>
      </w:r>
      <w:r>
        <w:rPr>
          <w:rFonts w:hint="eastAsia"/>
          <w:color w:val="auto"/>
        </w:rPr>
        <w:fldChar w:fldCharType="begin"/>
      </w:r>
      <w:r>
        <w:rPr>
          <w:rFonts w:hint="eastAsia"/>
          <w:color w:val="auto"/>
        </w:rPr>
        <w:instrText xml:space="preserve"> </w:instrText>
      </w:r>
      <w:r>
        <w:rPr>
          <w:color w:val="auto"/>
        </w:rPr>
        <w:instrText xml:space="preserve">PAGEREF _Toc172712290 \h</w:instrText>
      </w:r>
      <w:r>
        <w:rPr>
          <w:rFonts w:hint="eastAsia"/>
          <w:color w:val="auto"/>
        </w:rPr>
        <w:instrText xml:space="preserve"> </w:instrText>
      </w:r>
      <w:r>
        <w:rPr>
          <w:rFonts w:hint="eastAsia"/>
          <w:color w:val="auto"/>
        </w:rPr>
        <w:fldChar w:fldCharType="separate"/>
      </w:r>
      <w:r>
        <w:rPr>
          <w:color w:val="auto"/>
        </w:rPr>
        <w:t>26</w:t>
      </w:r>
      <w:r>
        <w:rPr>
          <w:rFonts w:hint="eastAsia"/>
          <w:color w:val="auto"/>
        </w:rPr>
        <w:fldChar w:fldCharType="end"/>
      </w:r>
      <w:r>
        <w:rPr>
          <w:rFonts w:hint="eastAsia"/>
          <w:color w:val="auto"/>
        </w:rPr>
        <w:fldChar w:fldCharType="end"/>
      </w:r>
    </w:p>
    <w:p w14:paraId="2040BA78">
      <w:pPr>
        <w:pStyle w:val="21"/>
        <w:tabs>
          <w:tab w:val="right" w:leader="dot" w:pos="8380"/>
        </w:tabs>
        <w:spacing w:before="120" w:after="120"/>
        <w:ind w:leftChars="200" w:firstLine="480"/>
        <w:rPr>
          <w:rFonts w:asciiTheme="minorHAnsi" w:hAnsiTheme="minorHAnsi" w:eastAsiaTheme="minorEastAsia"/>
          <w:color w:val="auto"/>
          <w:kern w:val="2"/>
          <w:sz w:val="22"/>
          <w:szCs w:val="24"/>
          <w14:ligatures w14:val="standardContextual"/>
        </w:rPr>
      </w:pPr>
      <w:r>
        <w:rPr>
          <w:color w:val="auto"/>
        </w:rPr>
        <w:fldChar w:fldCharType="begin"/>
      </w:r>
      <w:r>
        <w:rPr>
          <w:color w:val="auto"/>
        </w:rPr>
        <w:instrText xml:space="preserve"> HYPERLINK \l "_Toc172712291" </w:instrText>
      </w:r>
      <w:r>
        <w:rPr>
          <w:color w:val="auto"/>
        </w:rPr>
        <w:fldChar w:fldCharType="separate"/>
      </w:r>
      <w:r>
        <w:rPr>
          <w:rStyle w:val="29"/>
          <w:rFonts w:hint="eastAsia" w:cs="Times New Roman"/>
          <w:color w:val="auto"/>
        </w:rPr>
        <w:t>3.7产污环节</w:t>
      </w:r>
      <w:r>
        <w:rPr>
          <w:rFonts w:hint="eastAsia"/>
          <w:color w:val="auto"/>
        </w:rPr>
        <w:tab/>
      </w:r>
      <w:r>
        <w:rPr>
          <w:rFonts w:hint="eastAsia"/>
          <w:color w:val="auto"/>
        </w:rPr>
        <w:fldChar w:fldCharType="begin"/>
      </w:r>
      <w:r>
        <w:rPr>
          <w:rFonts w:hint="eastAsia"/>
          <w:color w:val="auto"/>
        </w:rPr>
        <w:instrText xml:space="preserve"> </w:instrText>
      </w:r>
      <w:r>
        <w:rPr>
          <w:color w:val="auto"/>
        </w:rPr>
        <w:instrText xml:space="preserve">PAGEREF _Toc172712291 \h</w:instrText>
      </w:r>
      <w:r>
        <w:rPr>
          <w:rFonts w:hint="eastAsia"/>
          <w:color w:val="auto"/>
        </w:rPr>
        <w:instrText xml:space="preserve"> </w:instrText>
      </w:r>
      <w:r>
        <w:rPr>
          <w:rFonts w:hint="eastAsia"/>
          <w:color w:val="auto"/>
        </w:rPr>
        <w:fldChar w:fldCharType="separate"/>
      </w:r>
      <w:r>
        <w:rPr>
          <w:color w:val="auto"/>
        </w:rPr>
        <w:t>32</w:t>
      </w:r>
      <w:r>
        <w:rPr>
          <w:rFonts w:hint="eastAsia"/>
          <w:color w:val="auto"/>
        </w:rPr>
        <w:fldChar w:fldCharType="end"/>
      </w:r>
      <w:r>
        <w:rPr>
          <w:rFonts w:hint="eastAsia"/>
          <w:color w:val="auto"/>
        </w:rPr>
        <w:fldChar w:fldCharType="end"/>
      </w:r>
    </w:p>
    <w:p w14:paraId="6E3E4AF5">
      <w:pPr>
        <w:pStyle w:val="21"/>
        <w:tabs>
          <w:tab w:val="right" w:leader="dot" w:pos="8380"/>
        </w:tabs>
        <w:spacing w:before="120" w:after="120"/>
        <w:ind w:leftChars="200" w:firstLine="480"/>
        <w:rPr>
          <w:rFonts w:asciiTheme="minorHAnsi" w:hAnsiTheme="minorHAnsi" w:eastAsiaTheme="minorEastAsia"/>
          <w:color w:val="auto"/>
          <w:kern w:val="2"/>
          <w:sz w:val="22"/>
          <w:szCs w:val="24"/>
          <w14:ligatures w14:val="standardContextual"/>
        </w:rPr>
      </w:pPr>
      <w:r>
        <w:rPr>
          <w:color w:val="auto"/>
        </w:rPr>
        <w:fldChar w:fldCharType="begin"/>
      </w:r>
      <w:r>
        <w:rPr>
          <w:color w:val="auto"/>
        </w:rPr>
        <w:instrText xml:space="preserve"> HYPERLINK \l "_Toc172712292" </w:instrText>
      </w:r>
      <w:r>
        <w:rPr>
          <w:color w:val="auto"/>
        </w:rPr>
        <w:fldChar w:fldCharType="separate"/>
      </w:r>
      <w:r>
        <w:rPr>
          <w:rStyle w:val="29"/>
          <w:rFonts w:hint="eastAsia" w:cs="Times New Roman"/>
          <w:color w:val="auto"/>
        </w:rPr>
        <w:t>3.8项目变动情况</w:t>
      </w:r>
      <w:r>
        <w:rPr>
          <w:rFonts w:hint="eastAsia"/>
          <w:color w:val="auto"/>
        </w:rPr>
        <w:tab/>
      </w:r>
      <w:r>
        <w:rPr>
          <w:rFonts w:hint="eastAsia"/>
          <w:color w:val="auto"/>
        </w:rPr>
        <w:fldChar w:fldCharType="begin"/>
      </w:r>
      <w:r>
        <w:rPr>
          <w:rFonts w:hint="eastAsia"/>
          <w:color w:val="auto"/>
        </w:rPr>
        <w:instrText xml:space="preserve"> </w:instrText>
      </w:r>
      <w:r>
        <w:rPr>
          <w:color w:val="auto"/>
        </w:rPr>
        <w:instrText xml:space="preserve">PAGEREF _Toc172712292 \h</w:instrText>
      </w:r>
      <w:r>
        <w:rPr>
          <w:rFonts w:hint="eastAsia"/>
          <w:color w:val="auto"/>
        </w:rPr>
        <w:instrText xml:space="preserve"> </w:instrText>
      </w:r>
      <w:r>
        <w:rPr>
          <w:rFonts w:hint="eastAsia"/>
          <w:color w:val="auto"/>
        </w:rPr>
        <w:fldChar w:fldCharType="separate"/>
      </w:r>
      <w:r>
        <w:rPr>
          <w:color w:val="auto"/>
        </w:rPr>
        <w:t>38</w:t>
      </w:r>
      <w:r>
        <w:rPr>
          <w:rFonts w:hint="eastAsia"/>
          <w:color w:val="auto"/>
        </w:rPr>
        <w:fldChar w:fldCharType="end"/>
      </w:r>
      <w:r>
        <w:rPr>
          <w:rFonts w:hint="eastAsia"/>
          <w:color w:val="auto"/>
        </w:rPr>
        <w:fldChar w:fldCharType="end"/>
      </w:r>
    </w:p>
    <w:p w14:paraId="66CE9023">
      <w:pPr>
        <w:pStyle w:val="20"/>
        <w:tabs>
          <w:tab w:val="right" w:leader="dot" w:pos="8380"/>
        </w:tabs>
        <w:spacing w:before="240" w:after="240"/>
        <w:ind w:leftChars="200"/>
        <w:rPr>
          <w:rFonts w:asciiTheme="minorHAnsi" w:hAnsiTheme="minorHAnsi" w:eastAsiaTheme="minorEastAsia"/>
          <w:b w:val="0"/>
          <w:color w:val="auto"/>
          <w:kern w:val="2"/>
          <w:sz w:val="22"/>
          <w:szCs w:val="24"/>
          <w14:ligatures w14:val="standardContextual"/>
        </w:rPr>
      </w:pPr>
      <w:r>
        <w:rPr>
          <w:color w:val="auto"/>
        </w:rPr>
        <w:fldChar w:fldCharType="begin"/>
      </w:r>
      <w:r>
        <w:rPr>
          <w:color w:val="auto"/>
        </w:rPr>
        <w:instrText xml:space="preserve"> HYPERLINK \l "_Toc172712293" </w:instrText>
      </w:r>
      <w:r>
        <w:rPr>
          <w:color w:val="auto"/>
        </w:rPr>
        <w:fldChar w:fldCharType="separate"/>
      </w:r>
      <w:r>
        <w:rPr>
          <w:rStyle w:val="29"/>
          <w:rFonts w:hint="eastAsia" w:cs="Times New Roman"/>
          <w:color w:val="auto"/>
        </w:rPr>
        <w:t>4 环境保护设施</w:t>
      </w:r>
      <w:r>
        <w:rPr>
          <w:rFonts w:hint="eastAsia"/>
          <w:color w:val="auto"/>
        </w:rPr>
        <w:tab/>
      </w:r>
      <w:r>
        <w:rPr>
          <w:rFonts w:hint="eastAsia"/>
          <w:color w:val="auto"/>
        </w:rPr>
        <w:fldChar w:fldCharType="begin"/>
      </w:r>
      <w:r>
        <w:rPr>
          <w:rFonts w:hint="eastAsia"/>
          <w:color w:val="auto"/>
        </w:rPr>
        <w:instrText xml:space="preserve"> </w:instrText>
      </w:r>
      <w:r>
        <w:rPr>
          <w:color w:val="auto"/>
        </w:rPr>
        <w:instrText xml:space="preserve">PAGEREF _Toc172712293 \h</w:instrText>
      </w:r>
      <w:r>
        <w:rPr>
          <w:rFonts w:hint="eastAsia"/>
          <w:color w:val="auto"/>
        </w:rPr>
        <w:instrText xml:space="preserve"> </w:instrText>
      </w:r>
      <w:r>
        <w:rPr>
          <w:rFonts w:hint="eastAsia"/>
          <w:color w:val="auto"/>
        </w:rPr>
        <w:fldChar w:fldCharType="separate"/>
      </w:r>
      <w:r>
        <w:rPr>
          <w:color w:val="auto"/>
        </w:rPr>
        <w:t>41</w:t>
      </w:r>
      <w:r>
        <w:rPr>
          <w:rFonts w:hint="eastAsia"/>
          <w:color w:val="auto"/>
        </w:rPr>
        <w:fldChar w:fldCharType="end"/>
      </w:r>
      <w:r>
        <w:rPr>
          <w:rFonts w:hint="eastAsia"/>
          <w:color w:val="auto"/>
        </w:rPr>
        <w:fldChar w:fldCharType="end"/>
      </w:r>
    </w:p>
    <w:p w14:paraId="1D7C87BA">
      <w:pPr>
        <w:pStyle w:val="21"/>
        <w:tabs>
          <w:tab w:val="right" w:leader="dot" w:pos="8380"/>
        </w:tabs>
        <w:spacing w:before="120" w:after="120"/>
        <w:ind w:leftChars="200" w:firstLine="480"/>
        <w:rPr>
          <w:rFonts w:asciiTheme="minorHAnsi" w:hAnsiTheme="minorHAnsi" w:eastAsiaTheme="minorEastAsia"/>
          <w:color w:val="auto"/>
          <w:kern w:val="2"/>
          <w:sz w:val="22"/>
          <w:szCs w:val="24"/>
          <w14:ligatures w14:val="standardContextual"/>
        </w:rPr>
      </w:pPr>
      <w:r>
        <w:rPr>
          <w:color w:val="auto"/>
        </w:rPr>
        <w:fldChar w:fldCharType="begin"/>
      </w:r>
      <w:r>
        <w:rPr>
          <w:color w:val="auto"/>
        </w:rPr>
        <w:instrText xml:space="preserve"> HYPERLINK \l "_Toc172712294" </w:instrText>
      </w:r>
      <w:r>
        <w:rPr>
          <w:color w:val="auto"/>
        </w:rPr>
        <w:fldChar w:fldCharType="separate"/>
      </w:r>
      <w:r>
        <w:rPr>
          <w:rStyle w:val="29"/>
          <w:rFonts w:hint="eastAsia" w:cs="Times New Roman"/>
          <w:color w:val="auto"/>
        </w:rPr>
        <w:t>4.1污染物治理/处置设施</w:t>
      </w:r>
      <w:r>
        <w:rPr>
          <w:rFonts w:hint="eastAsia"/>
          <w:color w:val="auto"/>
        </w:rPr>
        <w:tab/>
      </w:r>
      <w:r>
        <w:rPr>
          <w:rFonts w:hint="eastAsia"/>
          <w:color w:val="auto"/>
        </w:rPr>
        <w:fldChar w:fldCharType="begin"/>
      </w:r>
      <w:r>
        <w:rPr>
          <w:rFonts w:hint="eastAsia"/>
          <w:color w:val="auto"/>
        </w:rPr>
        <w:instrText xml:space="preserve"> </w:instrText>
      </w:r>
      <w:r>
        <w:rPr>
          <w:color w:val="auto"/>
        </w:rPr>
        <w:instrText xml:space="preserve">PAGEREF _Toc172712294 \h</w:instrText>
      </w:r>
      <w:r>
        <w:rPr>
          <w:rFonts w:hint="eastAsia"/>
          <w:color w:val="auto"/>
        </w:rPr>
        <w:instrText xml:space="preserve"> </w:instrText>
      </w:r>
      <w:r>
        <w:rPr>
          <w:rFonts w:hint="eastAsia"/>
          <w:color w:val="auto"/>
        </w:rPr>
        <w:fldChar w:fldCharType="separate"/>
      </w:r>
      <w:r>
        <w:rPr>
          <w:color w:val="auto"/>
        </w:rPr>
        <w:t>41</w:t>
      </w:r>
      <w:r>
        <w:rPr>
          <w:rFonts w:hint="eastAsia"/>
          <w:color w:val="auto"/>
        </w:rPr>
        <w:fldChar w:fldCharType="end"/>
      </w:r>
      <w:r>
        <w:rPr>
          <w:rFonts w:hint="eastAsia"/>
          <w:color w:val="auto"/>
        </w:rPr>
        <w:fldChar w:fldCharType="end"/>
      </w:r>
    </w:p>
    <w:p w14:paraId="4D6FAB75">
      <w:pPr>
        <w:pStyle w:val="21"/>
        <w:tabs>
          <w:tab w:val="right" w:leader="dot" w:pos="8380"/>
        </w:tabs>
        <w:spacing w:before="120" w:after="120"/>
        <w:ind w:leftChars="200" w:firstLine="480"/>
        <w:rPr>
          <w:rFonts w:asciiTheme="minorHAnsi" w:hAnsiTheme="minorHAnsi" w:eastAsiaTheme="minorEastAsia"/>
          <w:color w:val="auto"/>
          <w:kern w:val="2"/>
          <w:sz w:val="22"/>
          <w:szCs w:val="24"/>
          <w14:ligatures w14:val="standardContextual"/>
        </w:rPr>
      </w:pPr>
      <w:r>
        <w:rPr>
          <w:color w:val="auto"/>
        </w:rPr>
        <w:fldChar w:fldCharType="begin"/>
      </w:r>
      <w:r>
        <w:rPr>
          <w:color w:val="auto"/>
        </w:rPr>
        <w:instrText xml:space="preserve"> HYPERLINK \l "_Toc172712295" </w:instrText>
      </w:r>
      <w:r>
        <w:rPr>
          <w:color w:val="auto"/>
        </w:rPr>
        <w:fldChar w:fldCharType="separate"/>
      </w:r>
      <w:r>
        <w:rPr>
          <w:rStyle w:val="29"/>
          <w:rFonts w:hint="eastAsia" w:cs="Times New Roman"/>
          <w:color w:val="auto"/>
        </w:rPr>
        <w:t>4.2其他环境保护措施</w:t>
      </w:r>
      <w:r>
        <w:rPr>
          <w:rFonts w:hint="eastAsia"/>
          <w:color w:val="auto"/>
        </w:rPr>
        <w:tab/>
      </w:r>
      <w:r>
        <w:rPr>
          <w:rFonts w:hint="eastAsia"/>
          <w:color w:val="auto"/>
        </w:rPr>
        <w:fldChar w:fldCharType="begin"/>
      </w:r>
      <w:r>
        <w:rPr>
          <w:rFonts w:hint="eastAsia"/>
          <w:color w:val="auto"/>
        </w:rPr>
        <w:instrText xml:space="preserve"> </w:instrText>
      </w:r>
      <w:r>
        <w:rPr>
          <w:color w:val="auto"/>
        </w:rPr>
        <w:instrText xml:space="preserve">PAGEREF _Toc172712295 \h</w:instrText>
      </w:r>
      <w:r>
        <w:rPr>
          <w:rFonts w:hint="eastAsia"/>
          <w:color w:val="auto"/>
        </w:rPr>
        <w:instrText xml:space="preserve"> </w:instrText>
      </w:r>
      <w:r>
        <w:rPr>
          <w:rFonts w:hint="eastAsia"/>
          <w:color w:val="auto"/>
        </w:rPr>
        <w:fldChar w:fldCharType="separate"/>
      </w:r>
      <w:r>
        <w:rPr>
          <w:color w:val="auto"/>
        </w:rPr>
        <w:t>50</w:t>
      </w:r>
      <w:r>
        <w:rPr>
          <w:rFonts w:hint="eastAsia"/>
          <w:color w:val="auto"/>
        </w:rPr>
        <w:fldChar w:fldCharType="end"/>
      </w:r>
      <w:r>
        <w:rPr>
          <w:rFonts w:hint="eastAsia"/>
          <w:color w:val="auto"/>
        </w:rPr>
        <w:fldChar w:fldCharType="end"/>
      </w:r>
    </w:p>
    <w:p w14:paraId="50118CE2">
      <w:pPr>
        <w:pStyle w:val="21"/>
        <w:tabs>
          <w:tab w:val="right" w:leader="dot" w:pos="8380"/>
        </w:tabs>
        <w:spacing w:before="120" w:after="120"/>
        <w:ind w:leftChars="200" w:firstLine="480"/>
        <w:rPr>
          <w:rFonts w:asciiTheme="minorHAnsi" w:hAnsiTheme="minorHAnsi" w:eastAsiaTheme="minorEastAsia"/>
          <w:color w:val="auto"/>
          <w:kern w:val="2"/>
          <w:sz w:val="22"/>
          <w:szCs w:val="24"/>
          <w14:ligatures w14:val="standardContextual"/>
        </w:rPr>
      </w:pPr>
      <w:r>
        <w:rPr>
          <w:color w:val="auto"/>
        </w:rPr>
        <w:fldChar w:fldCharType="begin"/>
      </w:r>
      <w:r>
        <w:rPr>
          <w:color w:val="auto"/>
        </w:rPr>
        <w:instrText xml:space="preserve"> HYPERLINK \l "_Toc172712296" </w:instrText>
      </w:r>
      <w:r>
        <w:rPr>
          <w:color w:val="auto"/>
        </w:rPr>
        <w:fldChar w:fldCharType="separate"/>
      </w:r>
      <w:r>
        <w:rPr>
          <w:rStyle w:val="29"/>
          <w:rFonts w:hint="eastAsia" w:cs="Times New Roman"/>
          <w:color w:val="auto"/>
        </w:rPr>
        <w:t>4.3环保设施投资及“三同时”落实情况</w:t>
      </w:r>
      <w:r>
        <w:rPr>
          <w:rFonts w:hint="eastAsia"/>
          <w:color w:val="auto"/>
        </w:rPr>
        <w:tab/>
      </w:r>
      <w:r>
        <w:rPr>
          <w:rFonts w:hint="eastAsia"/>
          <w:color w:val="auto"/>
        </w:rPr>
        <w:fldChar w:fldCharType="begin"/>
      </w:r>
      <w:r>
        <w:rPr>
          <w:rFonts w:hint="eastAsia"/>
          <w:color w:val="auto"/>
        </w:rPr>
        <w:instrText xml:space="preserve"> </w:instrText>
      </w:r>
      <w:r>
        <w:rPr>
          <w:color w:val="auto"/>
        </w:rPr>
        <w:instrText xml:space="preserve">PAGEREF _Toc172712296 \h</w:instrText>
      </w:r>
      <w:r>
        <w:rPr>
          <w:rFonts w:hint="eastAsia"/>
          <w:color w:val="auto"/>
        </w:rPr>
        <w:instrText xml:space="preserve"> </w:instrText>
      </w:r>
      <w:r>
        <w:rPr>
          <w:rFonts w:hint="eastAsia"/>
          <w:color w:val="auto"/>
        </w:rPr>
        <w:fldChar w:fldCharType="separate"/>
      </w:r>
      <w:r>
        <w:rPr>
          <w:color w:val="auto"/>
        </w:rPr>
        <w:t>50</w:t>
      </w:r>
      <w:r>
        <w:rPr>
          <w:rFonts w:hint="eastAsia"/>
          <w:color w:val="auto"/>
        </w:rPr>
        <w:fldChar w:fldCharType="end"/>
      </w:r>
      <w:r>
        <w:rPr>
          <w:rFonts w:hint="eastAsia"/>
          <w:color w:val="auto"/>
        </w:rPr>
        <w:fldChar w:fldCharType="end"/>
      </w:r>
    </w:p>
    <w:p w14:paraId="4C568AB9">
      <w:pPr>
        <w:pStyle w:val="20"/>
        <w:tabs>
          <w:tab w:val="right" w:leader="dot" w:pos="8380"/>
        </w:tabs>
        <w:spacing w:before="240" w:after="240"/>
        <w:ind w:leftChars="200"/>
        <w:rPr>
          <w:rFonts w:asciiTheme="minorHAnsi" w:hAnsiTheme="minorHAnsi" w:eastAsiaTheme="minorEastAsia"/>
          <w:b w:val="0"/>
          <w:color w:val="auto"/>
          <w:kern w:val="2"/>
          <w:sz w:val="22"/>
          <w:szCs w:val="24"/>
          <w14:ligatures w14:val="standardContextual"/>
        </w:rPr>
      </w:pPr>
      <w:r>
        <w:rPr>
          <w:color w:val="auto"/>
        </w:rPr>
        <w:fldChar w:fldCharType="begin"/>
      </w:r>
      <w:r>
        <w:rPr>
          <w:color w:val="auto"/>
        </w:rPr>
        <w:instrText xml:space="preserve"> HYPERLINK \l "_Toc172712297" </w:instrText>
      </w:r>
      <w:r>
        <w:rPr>
          <w:color w:val="auto"/>
        </w:rPr>
        <w:fldChar w:fldCharType="separate"/>
      </w:r>
      <w:r>
        <w:rPr>
          <w:rStyle w:val="29"/>
          <w:rFonts w:hint="eastAsia" w:cs="Times New Roman"/>
          <w:color w:val="auto"/>
        </w:rPr>
        <w:t>5 环境影响报告书（表）主要结论与建议及其审批部门审批决定</w:t>
      </w:r>
      <w:r>
        <w:rPr>
          <w:rFonts w:hint="eastAsia"/>
          <w:color w:val="auto"/>
        </w:rPr>
        <w:tab/>
      </w:r>
      <w:r>
        <w:rPr>
          <w:rFonts w:hint="eastAsia"/>
          <w:color w:val="auto"/>
        </w:rPr>
        <w:fldChar w:fldCharType="begin"/>
      </w:r>
      <w:r>
        <w:rPr>
          <w:rFonts w:hint="eastAsia"/>
          <w:color w:val="auto"/>
        </w:rPr>
        <w:instrText xml:space="preserve"> </w:instrText>
      </w:r>
      <w:r>
        <w:rPr>
          <w:color w:val="auto"/>
        </w:rPr>
        <w:instrText xml:space="preserve">PAGEREF _Toc172712297 \h</w:instrText>
      </w:r>
      <w:r>
        <w:rPr>
          <w:rFonts w:hint="eastAsia"/>
          <w:color w:val="auto"/>
        </w:rPr>
        <w:instrText xml:space="preserve"> </w:instrText>
      </w:r>
      <w:r>
        <w:rPr>
          <w:rFonts w:hint="eastAsia"/>
          <w:color w:val="auto"/>
        </w:rPr>
        <w:fldChar w:fldCharType="separate"/>
      </w:r>
      <w:r>
        <w:rPr>
          <w:color w:val="auto"/>
        </w:rPr>
        <w:t>59</w:t>
      </w:r>
      <w:r>
        <w:rPr>
          <w:rFonts w:hint="eastAsia"/>
          <w:color w:val="auto"/>
        </w:rPr>
        <w:fldChar w:fldCharType="end"/>
      </w:r>
      <w:r>
        <w:rPr>
          <w:rFonts w:hint="eastAsia"/>
          <w:color w:val="auto"/>
        </w:rPr>
        <w:fldChar w:fldCharType="end"/>
      </w:r>
    </w:p>
    <w:p w14:paraId="2F14C622">
      <w:pPr>
        <w:pStyle w:val="21"/>
        <w:tabs>
          <w:tab w:val="right" w:leader="dot" w:pos="8380"/>
        </w:tabs>
        <w:spacing w:before="120" w:after="120"/>
        <w:ind w:leftChars="200" w:firstLine="480"/>
        <w:rPr>
          <w:rFonts w:asciiTheme="minorHAnsi" w:hAnsiTheme="minorHAnsi" w:eastAsiaTheme="minorEastAsia"/>
          <w:color w:val="auto"/>
          <w:kern w:val="2"/>
          <w:sz w:val="22"/>
          <w:szCs w:val="24"/>
          <w14:ligatures w14:val="standardContextual"/>
        </w:rPr>
      </w:pPr>
      <w:r>
        <w:rPr>
          <w:color w:val="auto"/>
        </w:rPr>
        <w:fldChar w:fldCharType="begin"/>
      </w:r>
      <w:r>
        <w:rPr>
          <w:color w:val="auto"/>
        </w:rPr>
        <w:instrText xml:space="preserve"> HYPERLINK \l "_Toc172712298" </w:instrText>
      </w:r>
      <w:r>
        <w:rPr>
          <w:color w:val="auto"/>
        </w:rPr>
        <w:fldChar w:fldCharType="separate"/>
      </w:r>
      <w:r>
        <w:rPr>
          <w:rStyle w:val="29"/>
          <w:rFonts w:hint="eastAsia" w:cs="Times New Roman"/>
          <w:color w:val="auto"/>
        </w:rPr>
        <w:t>5.1环境影响报告书（表）主要结论与建议</w:t>
      </w:r>
      <w:r>
        <w:rPr>
          <w:rFonts w:hint="eastAsia"/>
          <w:color w:val="auto"/>
        </w:rPr>
        <w:tab/>
      </w:r>
      <w:r>
        <w:rPr>
          <w:rFonts w:hint="eastAsia"/>
          <w:color w:val="auto"/>
        </w:rPr>
        <w:fldChar w:fldCharType="begin"/>
      </w:r>
      <w:r>
        <w:rPr>
          <w:rFonts w:hint="eastAsia"/>
          <w:color w:val="auto"/>
        </w:rPr>
        <w:instrText xml:space="preserve"> </w:instrText>
      </w:r>
      <w:r>
        <w:rPr>
          <w:color w:val="auto"/>
        </w:rPr>
        <w:instrText xml:space="preserve">PAGEREF _Toc172712298 \h</w:instrText>
      </w:r>
      <w:r>
        <w:rPr>
          <w:rFonts w:hint="eastAsia"/>
          <w:color w:val="auto"/>
        </w:rPr>
        <w:instrText xml:space="preserve"> </w:instrText>
      </w:r>
      <w:r>
        <w:rPr>
          <w:rFonts w:hint="eastAsia"/>
          <w:color w:val="auto"/>
        </w:rPr>
        <w:fldChar w:fldCharType="separate"/>
      </w:r>
      <w:r>
        <w:rPr>
          <w:color w:val="auto"/>
        </w:rPr>
        <w:t>59</w:t>
      </w:r>
      <w:r>
        <w:rPr>
          <w:rFonts w:hint="eastAsia"/>
          <w:color w:val="auto"/>
        </w:rPr>
        <w:fldChar w:fldCharType="end"/>
      </w:r>
      <w:r>
        <w:rPr>
          <w:rFonts w:hint="eastAsia"/>
          <w:color w:val="auto"/>
        </w:rPr>
        <w:fldChar w:fldCharType="end"/>
      </w:r>
    </w:p>
    <w:p w14:paraId="4B01C18B">
      <w:pPr>
        <w:pStyle w:val="21"/>
        <w:tabs>
          <w:tab w:val="right" w:leader="dot" w:pos="8380"/>
        </w:tabs>
        <w:spacing w:before="120" w:after="120"/>
        <w:ind w:leftChars="200" w:firstLine="480"/>
        <w:rPr>
          <w:rFonts w:asciiTheme="minorHAnsi" w:hAnsiTheme="minorHAnsi" w:eastAsiaTheme="minorEastAsia"/>
          <w:color w:val="auto"/>
          <w:kern w:val="2"/>
          <w:sz w:val="22"/>
          <w:szCs w:val="24"/>
          <w14:ligatures w14:val="standardContextual"/>
        </w:rPr>
      </w:pPr>
      <w:r>
        <w:rPr>
          <w:color w:val="auto"/>
        </w:rPr>
        <w:fldChar w:fldCharType="begin"/>
      </w:r>
      <w:r>
        <w:rPr>
          <w:color w:val="auto"/>
        </w:rPr>
        <w:instrText xml:space="preserve"> HYPERLINK \l "_Toc172712299" </w:instrText>
      </w:r>
      <w:r>
        <w:rPr>
          <w:color w:val="auto"/>
        </w:rPr>
        <w:fldChar w:fldCharType="separate"/>
      </w:r>
      <w:r>
        <w:rPr>
          <w:rStyle w:val="29"/>
          <w:rFonts w:hint="eastAsia" w:cs="Times New Roman"/>
          <w:color w:val="auto"/>
        </w:rPr>
        <w:t>5.2审批部门审批决定</w:t>
      </w:r>
      <w:r>
        <w:rPr>
          <w:rFonts w:hint="eastAsia"/>
          <w:color w:val="auto"/>
        </w:rPr>
        <w:tab/>
      </w:r>
      <w:r>
        <w:rPr>
          <w:rFonts w:hint="eastAsia"/>
          <w:color w:val="auto"/>
        </w:rPr>
        <w:fldChar w:fldCharType="begin"/>
      </w:r>
      <w:r>
        <w:rPr>
          <w:rFonts w:hint="eastAsia"/>
          <w:color w:val="auto"/>
        </w:rPr>
        <w:instrText xml:space="preserve"> </w:instrText>
      </w:r>
      <w:r>
        <w:rPr>
          <w:color w:val="auto"/>
        </w:rPr>
        <w:instrText xml:space="preserve">PAGEREF _Toc172712299 \h</w:instrText>
      </w:r>
      <w:r>
        <w:rPr>
          <w:rFonts w:hint="eastAsia"/>
          <w:color w:val="auto"/>
        </w:rPr>
        <w:instrText xml:space="preserve"> </w:instrText>
      </w:r>
      <w:r>
        <w:rPr>
          <w:rFonts w:hint="eastAsia"/>
          <w:color w:val="auto"/>
        </w:rPr>
        <w:fldChar w:fldCharType="separate"/>
      </w:r>
      <w:r>
        <w:rPr>
          <w:color w:val="auto"/>
        </w:rPr>
        <w:t>61</w:t>
      </w:r>
      <w:r>
        <w:rPr>
          <w:rFonts w:hint="eastAsia"/>
          <w:color w:val="auto"/>
        </w:rPr>
        <w:fldChar w:fldCharType="end"/>
      </w:r>
      <w:r>
        <w:rPr>
          <w:rFonts w:hint="eastAsia"/>
          <w:color w:val="auto"/>
        </w:rPr>
        <w:fldChar w:fldCharType="end"/>
      </w:r>
    </w:p>
    <w:p w14:paraId="1D6ADE5F">
      <w:pPr>
        <w:pStyle w:val="20"/>
        <w:tabs>
          <w:tab w:val="right" w:leader="dot" w:pos="8380"/>
        </w:tabs>
        <w:spacing w:before="240" w:after="240"/>
        <w:ind w:leftChars="200"/>
        <w:rPr>
          <w:rFonts w:asciiTheme="minorHAnsi" w:hAnsiTheme="minorHAnsi" w:eastAsiaTheme="minorEastAsia"/>
          <w:b w:val="0"/>
          <w:color w:val="auto"/>
          <w:kern w:val="2"/>
          <w:sz w:val="22"/>
          <w:szCs w:val="24"/>
          <w14:ligatures w14:val="standardContextual"/>
        </w:rPr>
      </w:pPr>
      <w:r>
        <w:rPr>
          <w:color w:val="auto"/>
        </w:rPr>
        <w:fldChar w:fldCharType="begin"/>
      </w:r>
      <w:r>
        <w:rPr>
          <w:color w:val="auto"/>
        </w:rPr>
        <w:instrText xml:space="preserve"> HYPERLINK \l "_Toc172712300" </w:instrText>
      </w:r>
      <w:r>
        <w:rPr>
          <w:color w:val="auto"/>
        </w:rPr>
        <w:fldChar w:fldCharType="separate"/>
      </w:r>
      <w:r>
        <w:rPr>
          <w:rStyle w:val="29"/>
          <w:rFonts w:hint="eastAsia" w:cs="Times New Roman"/>
          <w:color w:val="auto"/>
        </w:rPr>
        <w:t>6 验收执行标准</w:t>
      </w:r>
      <w:r>
        <w:rPr>
          <w:rFonts w:hint="eastAsia"/>
          <w:color w:val="auto"/>
        </w:rPr>
        <w:tab/>
      </w:r>
      <w:r>
        <w:rPr>
          <w:rFonts w:hint="eastAsia"/>
          <w:color w:val="auto"/>
        </w:rPr>
        <w:fldChar w:fldCharType="begin"/>
      </w:r>
      <w:r>
        <w:rPr>
          <w:rFonts w:hint="eastAsia"/>
          <w:color w:val="auto"/>
        </w:rPr>
        <w:instrText xml:space="preserve"> </w:instrText>
      </w:r>
      <w:r>
        <w:rPr>
          <w:color w:val="auto"/>
        </w:rPr>
        <w:instrText xml:space="preserve">PAGEREF _Toc172712300 \h</w:instrText>
      </w:r>
      <w:r>
        <w:rPr>
          <w:rFonts w:hint="eastAsia"/>
          <w:color w:val="auto"/>
        </w:rPr>
        <w:instrText xml:space="preserve"> </w:instrText>
      </w:r>
      <w:r>
        <w:rPr>
          <w:rFonts w:hint="eastAsia"/>
          <w:color w:val="auto"/>
        </w:rPr>
        <w:fldChar w:fldCharType="separate"/>
      </w:r>
      <w:r>
        <w:rPr>
          <w:color w:val="auto"/>
        </w:rPr>
        <w:t>64</w:t>
      </w:r>
      <w:r>
        <w:rPr>
          <w:rFonts w:hint="eastAsia"/>
          <w:color w:val="auto"/>
        </w:rPr>
        <w:fldChar w:fldCharType="end"/>
      </w:r>
      <w:r>
        <w:rPr>
          <w:rFonts w:hint="eastAsia"/>
          <w:color w:val="auto"/>
        </w:rPr>
        <w:fldChar w:fldCharType="end"/>
      </w:r>
    </w:p>
    <w:p w14:paraId="27E19311">
      <w:pPr>
        <w:pStyle w:val="20"/>
        <w:tabs>
          <w:tab w:val="right" w:leader="dot" w:pos="8380"/>
        </w:tabs>
        <w:spacing w:before="240" w:after="240"/>
        <w:ind w:leftChars="200"/>
        <w:rPr>
          <w:rFonts w:asciiTheme="minorHAnsi" w:hAnsiTheme="minorHAnsi" w:eastAsiaTheme="minorEastAsia"/>
          <w:b w:val="0"/>
          <w:color w:val="auto"/>
          <w:kern w:val="2"/>
          <w:sz w:val="22"/>
          <w:szCs w:val="24"/>
          <w14:ligatures w14:val="standardContextual"/>
        </w:rPr>
      </w:pPr>
      <w:r>
        <w:rPr>
          <w:color w:val="auto"/>
        </w:rPr>
        <w:fldChar w:fldCharType="begin"/>
      </w:r>
      <w:r>
        <w:rPr>
          <w:color w:val="auto"/>
        </w:rPr>
        <w:instrText xml:space="preserve"> HYPERLINK \l "_Toc172712301" </w:instrText>
      </w:r>
      <w:r>
        <w:rPr>
          <w:color w:val="auto"/>
        </w:rPr>
        <w:fldChar w:fldCharType="separate"/>
      </w:r>
      <w:r>
        <w:rPr>
          <w:rStyle w:val="29"/>
          <w:rFonts w:hint="eastAsia" w:cs="Times New Roman"/>
          <w:color w:val="auto"/>
        </w:rPr>
        <w:t>7 验收监测内容</w:t>
      </w:r>
      <w:r>
        <w:rPr>
          <w:rFonts w:hint="eastAsia"/>
          <w:color w:val="auto"/>
        </w:rPr>
        <w:tab/>
      </w:r>
      <w:r>
        <w:rPr>
          <w:rFonts w:hint="eastAsia"/>
          <w:color w:val="auto"/>
        </w:rPr>
        <w:fldChar w:fldCharType="begin"/>
      </w:r>
      <w:r>
        <w:rPr>
          <w:rFonts w:hint="eastAsia"/>
          <w:color w:val="auto"/>
        </w:rPr>
        <w:instrText xml:space="preserve"> </w:instrText>
      </w:r>
      <w:r>
        <w:rPr>
          <w:color w:val="auto"/>
        </w:rPr>
        <w:instrText xml:space="preserve">PAGEREF _Toc172712301 \h</w:instrText>
      </w:r>
      <w:r>
        <w:rPr>
          <w:rFonts w:hint="eastAsia"/>
          <w:color w:val="auto"/>
        </w:rPr>
        <w:instrText xml:space="preserve"> </w:instrText>
      </w:r>
      <w:r>
        <w:rPr>
          <w:rFonts w:hint="eastAsia"/>
          <w:color w:val="auto"/>
        </w:rPr>
        <w:fldChar w:fldCharType="separate"/>
      </w:r>
      <w:r>
        <w:rPr>
          <w:color w:val="auto"/>
        </w:rPr>
        <w:t>65</w:t>
      </w:r>
      <w:r>
        <w:rPr>
          <w:rFonts w:hint="eastAsia"/>
          <w:color w:val="auto"/>
        </w:rPr>
        <w:fldChar w:fldCharType="end"/>
      </w:r>
      <w:r>
        <w:rPr>
          <w:rFonts w:hint="eastAsia"/>
          <w:color w:val="auto"/>
        </w:rPr>
        <w:fldChar w:fldCharType="end"/>
      </w:r>
    </w:p>
    <w:p w14:paraId="13D3C1A1">
      <w:pPr>
        <w:pStyle w:val="21"/>
        <w:tabs>
          <w:tab w:val="right" w:leader="dot" w:pos="8380"/>
        </w:tabs>
        <w:spacing w:before="120" w:after="120"/>
        <w:ind w:leftChars="200" w:firstLine="480"/>
        <w:rPr>
          <w:rFonts w:asciiTheme="minorHAnsi" w:hAnsiTheme="minorHAnsi" w:eastAsiaTheme="minorEastAsia"/>
          <w:color w:val="auto"/>
          <w:kern w:val="2"/>
          <w:sz w:val="22"/>
          <w:szCs w:val="24"/>
          <w14:ligatures w14:val="standardContextual"/>
        </w:rPr>
      </w:pPr>
      <w:r>
        <w:rPr>
          <w:color w:val="auto"/>
        </w:rPr>
        <w:fldChar w:fldCharType="begin"/>
      </w:r>
      <w:r>
        <w:rPr>
          <w:color w:val="auto"/>
        </w:rPr>
        <w:instrText xml:space="preserve"> HYPERLINK \l "_Toc172712302" </w:instrText>
      </w:r>
      <w:r>
        <w:rPr>
          <w:color w:val="auto"/>
        </w:rPr>
        <w:fldChar w:fldCharType="separate"/>
      </w:r>
      <w:r>
        <w:rPr>
          <w:rStyle w:val="29"/>
          <w:rFonts w:hint="eastAsia" w:cs="Times New Roman"/>
          <w:color w:val="auto"/>
        </w:rPr>
        <w:t>7.1环境保护设施调试运行效果</w:t>
      </w:r>
      <w:r>
        <w:rPr>
          <w:rFonts w:hint="eastAsia"/>
          <w:color w:val="auto"/>
        </w:rPr>
        <w:tab/>
      </w:r>
      <w:r>
        <w:rPr>
          <w:rFonts w:hint="eastAsia"/>
          <w:color w:val="auto"/>
        </w:rPr>
        <w:fldChar w:fldCharType="begin"/>
      </w:r>
      <w:r>
        <w:rPr>
          <w:rFonts w:hint="eastAsia"/>
          <w:color w:val="auto"/>
        </w:rPr>
        <w:instrText xml:space="preserve"> </w:instrText>
      </w:r>
      <w:r>
        <w:rPr>
          <w:color w:val="auto"/>
        </w:rPr>
        <w:instrText xml:space="preserve">PAGEREF _Toc172712302 \h</w:instrText>
      </w:r>
      <w:r>
        <w:rPr>
          <w:rFonts w:hint="eastAsia"/>
          <w:color w:val="auto"/>
        </w:rPr>
        <w:instrText xml:space="preserve"> </w:instrText>
      </w:r>
      <w:r>
        <w:rPr>
          <w:rFonts w:hint="eastAsia"/>
          <w:color w:val="auto"/>
        </w:rPr>
        <w:fldChar w:fldCharType="separate"/>
      </w:r>
      <w:r>
        <w:rPr>
          <w:color w:val="auto"/>
        </w:rPr>
        <w:t>65</w:t>
      </w:r>
      <w:r>
        <w:rPr>
          <w:rFonts w:hint="eastAsia"/>
          <w:color w:val="auto"/>
        </w:rPr>
        <w:fldChar w:fldCharType="end"/>
      </w:r>
      <w:r>
        <w:rPr>
          <w:rFonts w:hint="eastAsia"/>
          <w:color w:val="auto"/>
        </w:rPr>
        <w:fldChar w:fldCharType="end"/>
      </w:r>
    </w:p>
    <w:p w14:paraId="3DB7F7C8">
      <w:pPr>
        <w:pStyle w:val="20"/>
        <w:tabs>
          <w:tab w:val="right" w:leader="dot" w:pos="8380"/>
        </w:tabs>
        <w:spacing w:before="240" w:after="240"/>
        <w:ind w:leftChars="200"/>
        <w:rPr>
          <w:rFonts w:asciiTheme="minorHAnsi" w:hAnsiTheme="minorHAnsi" w:eastAsiaTheme="minorEastAsia"/>
          <w:b w:val="0"/>
          <w:color w:val="auto"/>
          <w:kern w:val="2"/>
          <w:sz w:val="22"/>
          <w:szCs w:val="24"/>
          <w14:ligatures w14:val="standardContextual"/>
        </w:rPr>
      </w:pPr>
      <w:r>
        <w:rPr>
          <w:color w:val="auto"/>
        </w:rPr>
        <w:fldChar w:fldCharType="begin"/>
      </w:r>
      <w:r>
        <w:rPr>
          <w:color w:val="auto"/>
        </w:rPr>
        <w:instrText xml:space="preserve"> HYPERLINK \l "_Toc172712303" </w:instrText>
      </w:r>
      <w:r>
        <w:rPr>
          <w:color w:val="auto"/>
        </w:rPr>
        <w:fldChar w:fldCharType="separate"/>
      </w:r>
      <w:r>
        <w:rPr>
          <w:rStyle w:val="29"/>
          <w:rFonts w:hint="eastAsia" w:cs="Times New Roman"/>
          <w:color w:val="auto"/>
        </w:rPr>
        <w:t>8 质量保证和质量控制</w:t>
      </w:r>
      <w:r>
        <w:rPr>
          <w:rFonts w:hint="eastAsia"/>
          <w:color w:val="auto"/>
        </w:rPr>
        <w:tab/>
      </w:r>
      <w:r>
        <w:rPr>
          <w:rFonts w:hint="eastAsia"/>
          <w:color w:val="auto"/>
        </w:rPr>
        <w:fldChar w:fldCharType="begin"/>
      </w:r>
      <w:r>
        <w:rPr>
          <w:rFonts w:hint="eastAsia"/>
          <w:color w:val="auto"/>
        </w:rPr>
        <w:instrText xml:space="preserve"> </w:instrText>
      </w:r>
      <w:r>
        <w:rPr>
          <w:color w:val="auto"/>
        </w:rPr>
        <w:instrText xml:space="preserve">PAGEREF _Toc172712303 \h</w:instrText>
      </w:r>
      <w:r>
        <w:rPr>
          <w:rFonts w:hint="eastAsia"/>
          <w:color w:val="auto"/>
        </w:rPr>
        <w:instrText xml:space="preserve"> </w:instrText>
      </w:r>
      <w:r>
        <w:rPr>
          <w:rFonts w:hint="eastAsia"/>
          <w:color w:val="auto"/>
        </w:rPr>
        <w:fldChar w:fldCharType="separate"/>
      </w:r>
      <w:r>
        <w:rPr>
          <w:color w:val="auto"/>
        </w:rPr>
        <w:t>67</w:t>
      </w:r>
      <w:r>
        <w:rPr>
          <w:rFonts w:hint="eastAsia"/>
          <w:color w:val="auto"/>
        </w:rPr>
        <w:fldChar w:fldCharType="end"/>
      </w:r>
      <w:r>
        <w:rPr>
          <w:rFonts w:hint="eastAsia"/>
          <w:color w:val="auto"/>
        </w:rPr>
        <w:fldChar w:fldCharType="end"/>
      </w:r>
    </w:p>
    <w:p w14:paraId="55A999A2">
      <w:pPr>
        <w:pStyle w:val="21"/>
        <w:tabs>
          <w:tab w:val="right" w:leader="dot" w:pos="8380"/>
        </w:tabs>
        <w:spacing w:before="120" w:after="120"/>
        <w:ind w:leftChars="200" w:firstLine="480"/>
        <w:rPr>
          <w:rFonts w:asciiTheme="minorHAnsi" w:hAnsiTheme="minorHAnsi" w:eastAsiaTheme="minorEastAsia"/>
          <w:color w:val="auto"/>
          <w:kern w:val="2"/>
          <w:sz w:val="22"/>
          <w:szCs w:val="24"/>
          <w14:ligatures w14:val="standardContextual"/>
        </w:rPr>
      </w:pPr>
      <w:r>
        <w:rPr>
          <w:color w:val="auto"/>
        </w:rPr>
        <w:fldChar w:fldCharType="begin"/>
      </w:r>
      <w:r>
        <w:rPr>
          <w:color w:val="auto"/>
        </w:rPr>
        <w:instrText xml:space="preserve"> HYPERLINK \l "_Toc172712304" </w:instrText>
      </w:r>
      <w:r>
        <w:rPr>
          <w:color w:val="auto"/>
        </w:rPr>
        <w:fldChar w:fldCharType="separate"/>
      </w:r>
      <w:r>
        <w:rPr>
          <w:rStyle w:val="29"/>
          <w:rFonts w:hint="eastAsia" w:cs="Times New Roman"/>
          <w:color w:val="auto"/>
        </w:rPr>
        <w:t>8.1监测分析方法及监测仪器</w:t>
      </w:r>
      <w:r>
        <w:rPr>
          <w:rFonts w:hint="eastAsia"/>
          <w:color w:val="auto"/>
        </w:rPr>
        <w:tab/>
      </w:r>
      <w:r>
        <w:rPr>
          <w:rFonts w:hint="eastAsia"/>
          <w:color w:val="auto"/>
        </w:rPr>
        <w:fldChar w:fldCharType="begin"/>
      </w:r>
      <w:r>
        <w:rPr>
          <w:rFonts w:hint="eastAsia"/>
          <w:color w:val="auto"/>
        </w:rPr>
        <w:instrText xml:space="preserve"> </w:instrText>
      </w:r>
      <w:r>
        <w:rPr>
          <w:color w:val="auto"/>
        </w:rPr>
        <w:instrText xml:space="preserve">PAGEREF _Toc172712304 \h</w:instrText>
      </w:r>
      <w:r>
        <w:rPr>
          <w:rFonts w:hint="eastAsia"/>
          <w:color w:val="auto"/>
        </w:rPr>
        <w:instrText xml:space="preserve"> </w:instrText>
      </w:r>
      <w:r>
        <w:rPr>
          <w:rFonts w:hint="eastAsia"/>
          <w:color w:val="auto"/>
        </w:rPr>
        <w:fldChar w:fldCharType="separate"/>
      </w:r>
      <w:r>
        <w:rPr>
          <w:color w:val="auto"/>
        </w:rPr>
        <w:t>67</w:t>
      </w:r>
      <w:r>
        <w:rPr>
          <w:rFonts w:hint="eastAsia"/>
          <w:color w:val="auto"/>
        </w:rPr>
        <w:fldChar w:fldCharType="end"/>
      </w:r>
      <w:r>
        <w:rPr>
          <w:rFonts w:hint="eastAsia"/>
          <w:color w:val="auto"/>
        </w:rPr>
        <w:fldChar w:fldCharType="end"/>
      </w:r>
    </w:p>
    <w:p w14:paraId="6677BDDB">
      <w:pPr>
        <w:pStyle w:val="21"/>
        <w:tabs>
          <w:tab w:val="right" w:leader="dot" w:pos="8380"/>
        </w:tabs>
        <w:spacing w:before="120" w:after="120"/>
        <w:ind w:leftChars="200" w:firstLine="480"/>
        <w:rPr>
          <w:rFonts w:asciiTheme="minorHAnsi" w:hAnsiTheme="minorHAnsi" w:eastAsiaTheme="minorEastAsia"/>
          <w:color w:val="auto"/>
          <w:kern w:val="2"/>
          <w:sz w:val="22"/>
          <w:szCs w:val="24"/>
          <w14:ligatures w14:val="standardContextual"/>
        </w:rPr>
      </w:pPr>
      <w:r>
        <w:rPr>
          <w:color w:val="auto"/>
        </w:rPr>
        <w:fldChar w:fldCharType="begin"/>
      </w:r>
      <w:r>
        <w:rPr>
          <w:color w:val="auto"/>
        </w:rPr>
        <w:instrText xml:space="preserve"> HYPERLINK \l "_Toc172712305" </w:instrText>
      </w:r>
      <w:r>
        <w:rPr>
          <w:color w:val="auto"/>
        </w:rPr>
        <w:fldChar w:fldCharType="separate"/>
      </w:r>
      <w:r>
        <w:rPr>
          <w:rStyle w:val="29"/>
          <w:rFonts w:hint="eastAsia" w:cs="Times New Roman"/>
          <w:color w:val="auto"/>
        </w:rPr>
        <w:t>8.2质量控制措施</w:t>
      </w:r>
      <w:r>
        <w:rPr>
          <w:rFonts w:hint="eastAsia"/>
          <w:color w:val="auto"/>
        </w:rPr>
        <w:tab/>
      </w:r>
      <w:r>
        <w:rPr>
          <w:rFonts w:hint="eastAsia"/>
          <w:color w:val="auto"/>
        </w:rPr>
        <w:fldChar w:fldCharType="begin"/>
      </w:r>
      <w:r>
        <w:rPr>
          <w:rFonts w:hint="eastAsia"/>
          <w:color w:val="auto"/>
        </w:rPr>
        <w:instrText xml:space="preserve"> </w:instrText>
      </w:r>
      <w:r>
        <w:rPr>
          <w:color w:val="auto"/>
        </w:rPr>
        <w:instrText xml:space="preserve">PAGEREF _Toc172712305 \h</w:instrText>
      </w:r>
      <w:r>
        <w:rPr>
          <w:rFonts w:hint="eastAsia"/>
          <w:color w:val="auto"/>
        </w:rPr>
        <w:instrText xml:space="preserve"> </w:instrText>
      </w:r>
      <w:r>
        <w:rPr>
          <w:rFonts w:hint="eastAsia"/>
          <w:color w:val="auto"/>
        </w:rPr>
        <w:fldChar w:fldCharType="separate"/>
      </w:r>
      <w:r>
        <w:rPr>
          <w:color w:val="auto"/>
        </w:rPr>
        <w:t>68</w:t>
      </w:r>
      <w:r>
        <w:rPr>
          <w:rFonts w:hint="eastAsia"/>
          <w:color w:val="auto"/>
        </w:rPr>
        <w:fldChar w:fldCharType="end"/>
      </w:r>
      <w:r>
        <w:rPr>
          <w:rFonts w:hint="eastAsia"/>
          <w:color w:val="auto"/>
        </w:rPr>
        <w:fldChar w:fldCharType="end"/>
      </w:r>
    </w:p>
    <w:p w14:paraId="1ABB6AE1">
      <w:pPr>
        <w:pStyle w:val="20"/>
        <w:tabs>
          <w:tab w:val="right" w:leader="dot" w:pos="8380"/>
        </w:tabs>
        <w:spacing w:before="240" w:after="240"/>
        <w:ind w:leftChars="200"/>
        <w:rPr>
          <w:rFonts w:asciiTheme="minorHAnsi" w:hAnsiTheme="minorHAnsi" w:eastAsiaTheme="minorEastAsia"/>
          <w:b w:val="0"/>
          <w:color w:val="auto"/>
          <w:kern w:val="2"/>
          <w:sz w:val="22"/>
          <w:szCs w:val="24"/>
          <w14:ligatures w14:val="standardContextual"/>
        </w:rPr>
      </w:pPr>
      <w:r>
        <w:rPr>
          <w:color w:val="auto"/>
        </w:rPr>
        <w:fldChar w:fldCharType="begin"/>
      </w:r>
      <w:r>
        <w:rPr>
          <w:color w:val="auto"/>
        </w:rPr>
        <w:instrText xml:space="preserve"> HYPERLINK \l "_Toc172712306" </w:instrText>
      </w:r>
      <w:r>
        <w:rPr>
          <w:color w:val="auto"/>
        </w:rPr>
        <w:fldChar w:fldCharType="separate"/>
      </w:r>
      <w:r>
        <w:rPr>
          <w:rStyle w:val="29"/>
          <w:rFonts w:hint="eastAsia" w:cs="Times New Roman"/>
          <w:color w:val="auto"/>
        </w:rPr>
        <w:t>9 验收监测结果</w:t>
      </w:r>
      <w:r>
        <w:rPr>
          <w:rFonts w:hint="eastAsia"/>
          <w:color w:val="auto"/>
        </w:rPr>
        <w:tab/>
      </w:r>
      <w:r>
        <w:rPr>
          <w:rFonts w:hint="eastAsia"/>
          <w:color w:val="auto"/>
        </w:rPr>
        <w:fldChar w:fldCharType="begin"/>
      </w:r>
      <w:r>
        <w:rPr>
          <w:rFonts w:hint="eastAsia"/>
          <w:color w:val="auto"/>
        </w:rPr>
        <w:instrText xml:space="preserve"> </w:instrText>
      </w:r>
      <w:r>
        <w:rPr>
          <w:color w:val="auto"/>
        </w:rPr>
        <w:instrText xml:space="preserve">PAGEREF _Toc172712306 \h</w:instrText>
      </w:r>
      <w:r>
        <w:rPr>
          <w:rFonts w:hint="eastAsia"/>
          <w:color w:val="auto"/>
        </w:rPr>
        <w:instrText xml:space="preserve"> </w:instrText>
      </w:r>
      <w:r>
        <w:rPr>
          <w:rFonts w:hint="eastAsia"/>
          <w:color w:val="auto"/>
        </w:rPr>
        <w:fldChar w:fldCharType="separate"/>
      </w:r>
      <w:r>
        <w:rPr>
          <w:color w:val="auto"/>
        </w:rPr>
        <w:t>70</w:t>
      </w:r>
      <w:r>
        <w:rPr>
          <w:rFonts w:hint="eastAsia"/>
          <w:color w:val="auto"/>
        </w:rPr>
        <w:fldChar w:fldCharType="end"/>
      </w:r>
      <w:r>
        <w:rPr>
          <w:rFonts w:hint="eastAsia"/>
          <w:color w:val="auto"/>
        </w:rPr>
        <w:fldChar w:fldCharType="end"/>
      </w:r>
    </w:p>
    <w:p w14:paraId="22FFF7EE">
      <w:pPr>
        <w:pStyle w:val="21"/>
        <w:tabs>
          <w:tab w:val="right" w:leader="dot" w:pos="8380"/>
        </w:tabs>
        <w:spacing w:before="120" w:after="120"/>
        <w:ind w:leftChars="200" w:firstLine="480"/>
        <w:rPr>
          <w:rFonts w:asciiTheme="minorHAnsi" w:hAnsiTheme="minorHAnsi" w:eastAsiaTheme="minorEastAsia"/>
          <w:color w:val="auto"/>
          <w:kern w:val="2"/>
          <w:sz w:val="22"/>
          <w:szCs w:val="24"/>
          <w14:ligatures w14:val="standardContextual"/>
        </w:rPr>
      </w:pPr>
      <w:r>
        <w:rPr>
          <w:color w:val="auto"/>
        </w:rPr>
        <w:fldChar w:fldCharType="begin"/>
      </w:r>
      <w:r>
        <w:rPr>
          <w:color w:val="auto"/>
        </w:rPr>
        <w:instrText xml:space="preserve"> HYPERLINK \l "_Toc172712307" </w:instrText>
      </w:r>
      <w:r>
        <w:rPr>
          <w:color w:val="auto"/>
        </w:rPr>
        <w:fldChar w:fldCharType="separate"/>
      </w:r>
      <w:r>
        <w:rPr>
          <w:rStyle w:val="29"/>
          <w:rFonts w:hint="eastAsia" w:cs="Times New Roman"/>
          <w:color w:val="auto"/>
        </w:rPr>
        <w:t>9.1生产工况</w:t>
      </w:r>
      <w:r>
        <w:rPr>
          <w:rFonts w:hint="eastAsia"/>
          <w:color w:val="auto"/>
        </w:rPr>
        <w:tab/>
      </w:r>
      <w:r>
        <w:rPr>
          <w:rFonts w:hint="eastAsia"/>
          <w:color w:val="auto"/>
        </w:rPr>
        <w:fldChar w:fldCharType="begin"/>
      </w:r>
      <w:r>
        <w:rPr>
          <w:rFonts w:hint="eastAsia"/>
          <w:color w:val="auto"/>
        </w:rPr>
        <w:instrText xml:space="preserve"> </w:instrText>
      </w:r>
      <w:r>
        <w:rPr>
          <w:color w:val="auto"/>
        </w:rPr>
        <w:instrText xml:space="preserve">PAGEREF _Toc172712307 \h</w:instrText>
      </w:r>
      <w:r>
        <w:rPr>
          <w:rFonts w:hint="eastAsia"/>
          <w:color w:val="auto"/>
        </w:rPr>
        <w:instrText xml:space="preserve"> </w:instrText>
      </w:r>
      <w:r>
        <w:rPr>
          <w:rFonts w:hint="eastAsia"/>
          <w:color w:val="auto"/>
        </w:rPr>
        <w:fldChar w:fldCharType="separate"/>
      </w:r>
      <w:r>
        <w:rPr>
          <w:color w:val="auto"/>
        </w:rPr>
        <w:t>70</w:t>
      </w:r>
      <w:r>
        <w:rPr>
          <w:rFonts w:hint="eastAsia"/>
          <w:color w:val="auto"/>
        </w:rPr>
        <w:fldChar w:fldCharType="end"/>
      </w:r>
      <w:r>
        <w:rPr>
          <w:rFonts w:hint="eastAsia"/>
          <w:color w:val="auto"/>
        </w:rPr>
        <w:fldChar w:fldCharType="end"/>
      </w:r>
    </w:p>
    <w:p w14:paraId="50D73628">
      <w:pPr>
        <w:pStyle w:val="21"/>
        <w:tabs>
          <w:tab w:val="right" w:leader="dot" w:pos="8380"/>
        </w:tabs>
        <w:spacing w:before="120" w:after="120"/>
        <w:ind w:leftChars="200" w:firstLine="480"/>
        <w:rPr>
          <w:rFonts w:asciiTheme="minorHAnsi" w:hAnsiTheme="minorHAnsi" w:eastAsiaTheme="minorEastAsia"/>
          <w:color w:val="auto"/>
          <w:kern w:val="2"/>
          <w:sz w:val="22"/>
          <w:szCs w:val="24"/>
          <w14:ligatures w14:val="standardContextual"/>
        </w:rPr>
      </w:pPr>
      <w:r>
        <w:rPr>
          <w:color w:val="auto"/>
        </w:rPr>
        <w:fldChar w:fldCharType="begin"/>
      </w:r>
      <w:r>
        <w:rPr>
          <w:color w:val="auto"/>
        </w:rPr>
        <w:instrText xml:space="preserve"> HYPERLINK \l "_Toc172712308" </w:instrText>
      </w:r>
      <w:r>
        <w:rPr>
          <w:color w:val="auto"/>
        </w:rPr>
        <w:fldChar w:fldCharType="separate"/>
      </w:r>
      <w:r>
        <w:rPr>
          <w:rStyle w:val="29"/>
          <w:rFonts w:hint="eastAsia" w:cs="Times New Roman"/>
          <w:color w:val="auto"/>
        </w:rPr>
        <w:t>9.2环保设施调试运行效果</w:t>
      </w:r>
      <w:r>
        <w:rPr>
          <w:rFonts w:hint="eastAsia"/>
          <w:color w:val="auto"/>
        </w:rPr>
        <w:tab/>
      </w:r>
      <w:r>
        <w:rPr>
          <w:rFonts w:hint="eastAsia"/>
          <w:color w:val="auto"/>
        </w:rPr>
        <w:fldChar w:fldCharType="begin"/>
      </w:r>
      <w:r>
        <w:rPr>
          <w:rFonts w:hint="eastAsia"/>
          <w:color w:val="auto"/>
        </w:rPr>
        <w:instrText xml:space="preserve"> </w:instrText>
      </w:r>
      <w:r>
        <w:rPr>
          <w:color w:val="auto"/>
        </w:rPr>
        <w:instrText xml:space="preserve">PAGEREF _Toc172712308 \h</w:instrText>
      </w:r>
      <w:r>
        <w:rPr>
          <w:rFonts w:hint="eastAsia"/>
          <w:color w:val="auto"/>
        </w:rPr>
        <w:instrText xml:space="preserve"> </w:instrText>
      </w:r>
      <w:r>
        <w:rPr>
          <w:rFonts w:hint="eastAsia"/>
          <w:color w:val="auto"/>
        </w:rPr>
        <w:fldChar w:fldCharType="separate"/>
      </w:r>
      <w:r>
        <w:rPr>
          <w:color w:val="auto"/>
        </w:rPr>
        <w:t>70</w:t>
      </w:r>
      <w:r>
        <w:rPr>
          <w:rFonts w:hint="eastAsia"/>
          <w:color w:val="auto"/>
        </w:rPr>
        <w:fldChar w:fldCharType="end"/>
      </w:r>
      <w:r>
        <w:rPr>
          <w:rFonts w:hint="eastAsia"/>
          <w:color w:val="auto"/>
        </w:rPr>
        <w:fldChar w:fldCharType="end"/>
      </w:r>
    </w:p>
    <w:p w14:paraId="6B458E6C">
      <w:pPr>
        <w:pStyle w:val="20"/>
        <w:tabs>
          <w:tab w:val="right" w:leader="dot" w:pos="8380"/>
        </w:tabs>
        <w:spacing w:before="240" w:after="240"/>
        <w:ind w:leftChars="200"/>
        <w:rPr>
          <w:rFonts w:asciiTheme="minorHAnsi" w:hAnsiTheme="minorHAnsi" w:eastAsiaTheme="minorEastAsia"/>
          <w:b w:val="0"/>
          <w:color w:val="auto"/>
          <w:kern w:val="2"/>
          <w:sz w:val="22"/>
          <w:szCs w:val="24"/>
          <w14:ligatures w14:val="standardContextual"/>
        </w:rPr>
      </w:pPr>
      <w:r>
        <w:rPr>
          <w:color w:val="auto"/>
        </w:rPr>
        <w:fldChar w:fldCharType="begin"/>
      </w:r>
      <w:r>
        <w:rPr>
          <w:color w:val="auto"/>
        </w:rPr>
        <w:instrText xml:space="preserve"> HYPERLINK \l "_Toc172712309" </w:instrText>
      </w:r>
      <w:r>
        <w:rPr>
          <w:color w:val="auto"/>
        </w:rPr>
        <w:fldChar w:fldCharType="separate"/>
      </w:r>
      <w:r>
        <w:rPr>
          <w:rStyle w:val="29"/>
          <w:rFonts w:hint="eastAsia" w:cs="Times New Roman"/>
          <w:color w:val="auto"/>
        </w:rPr>
        <w:t>10验收监测结论</w:t>
      </w:r>
      <w:r>
        <w:rPr>
          <w:rFonts w:hint="eastAsia"/>
          <w:color w:val="auto"/>
        </w:rPr>
        <w:tab/>
      </w:r>
      <w:r>
        <w:rPr>
          <w:rFonts w:hint="eastAsia"/>
          <w:color w:val="auto"/>
        </w:rPr>
        <w:fldChar w:fldCharType="begin"/>
      </w:r>
      <w:r>
        <w:rPr>
          <w:rFonts w:hint="eastAsia"/>
          <w:color w:val="auto"/>
        </w:rPr>
        <w:instrText xml:space="preserve"> </w:instrText>
      </w:r>
      <w:r>
        <w:rPr>
          <w:color w:val="auto"/>
        </w:rPr>
        <w:instrText xml:space="preserve">PAGEREF _Toc172712309 \h</w:instrText>
      </w:r>
      <w:r>
        <w:rPr>
          <w:rFonts w:hint="eastAsia"/>
          <w:color w:val="auto"/>
        </w:rPr>
        <w:instrText xml:space="preserve"> </w:instrText>
      </w:r>
      <w:r>
        <w:rPr>
          <w:rFonts w:hint="eastAsia"/>
          <w:color w:val="auto"/>
        </w:rPr>
        <w:fldChar w:fldCharType="separate"/>
      </w:r>
      <w:r>
        <w:rPr>
          <w:color w:val="auto"/>
        </w:rPr>
        <w:t>86</w:t>
      </w:r>
      <w:r>
        <w:rPr>
          <w:rFonts w:hint="eastAsia"/>
          <w:color w:val="auto"/>
        </w:rPr>
        <w:fldChar w:fldCharType="end"/>
      </w:r>
      <w:r>
        <w:rPr>
          <w:rFonts w:hint="eastAsia"/>
          <w:color w:val="auto"/>
        </w:rPr>
        <w:fldChar w:fldCharType="end"/>
      </w:r>
    </w:p>
    <w:p w14:paraId="6675A2AB">
      <w:pPr>
        <w:pStyle w:val="21"/>
        <w:tabs>
          <w:tab w:val="right" w:leader="dot" w:pos="8380"/>
        </w:tabs>
        <w:spacing w:before="120" w:after="120"/>
        <w:ind w:leftChars="200" w:firstLine="480"/>
        <w:rPr>
          <w:rFonts w:asciiTheme="minorHAnsi" w:hAnsiTheme="minorHAnsi" w:eastAsiaTheme="minorEastAsia"/>
          <w:color w:val="auto"/>
          <w:kern w:val="2"/>
          <w:sz w:val="22"/>
          <w:szCs w:val="24"/>
          <w14:ligatures w14:val="standardContextual"/>
        </w:rPr>
      </w:pPr>
      <w:r>
        <w:rPr>
          <w:color w:val="auto"/>
        </w:rPr>
        <w:fldChar w:fldCharType="begin"/>
      </w:r>
      <w:r>
        <w:rPr>
          <w:color w:val="auto"/>
        </w:rPr>
        <w:instrText xml:space="preserve"> HYPERLINK \l "_Toc172712310" </w:instrText>
      </w:r>
      <w:r>
        <w:rPr>
          <w:color w:val="auto"/>
        </w:rPr>
        <w:fldChar w:fldCharType="separate"/>
      </w:r>
      <w:r>
        <w:rPr>
          <w:rStyle w:val="29"/>
          <w:rFonts w:hint="eastAsia" w:cs="Times New Roman"/>
          <w:color w:val="auto"/>
        </w:rPr>
        <w:t>10.1环保设施调试运行效果</w:t>
      </w:r>
      <w:r>
        <w:rPr>
          <w:rFonts w:hint="eastAsia"/>
          <w:color w:val="auto"/>
        </w:rPr>
        <w:tab/>
      </w:r>
      <w:r>
        <w:rPr>
          <w:rFonts w:hint="eastAsia"/>
          <w:color w:val="auto"/>
        </w:rPr>
        <w:fldChar w:fldCharType="begin"/>
      </w:r>
      <w:r>
        <w:rPr>
          <w:rFonts w:hint="eastAsia"/>
          <w:color w:val="auto"/>
        </w:rPr>
        <w:instrText xml:space="preserve"> </w:instrText>
      </w:r>
      <w:r>
        <w:rPr>
          <w:color w:val="auto"/>
        </w:rPr>
        <w:instrText xml:space="preserve">PAGEREF _Toc172712310 \h</w:instrText>
      </w:r>
      <w:r>
        <w:rPr>
          <w:rFonts w:hint="eastAsia"/>
          <w:color w:val="auto"/>
        </w:rPr>
        <w:instrText xml:space="preserve"> </w:instrText>
      </w:r>
      <w:r>
        <w:rPr>
          <w:rFonts w:hint="eastAsia"/>
          <w:color w:val="auto"/>
        </w:rPr>
        <w:fldChar w:fldCharType="separate"/>
      </w:r>
      <w:r>
        <w:rPr>
          <w:color w:val="auto"/>
        </w:rPr>
        <w:t>86</w:t>
      </w:r>
      <w:r>
        <w:rPr>
          <w:rFonts w:hint="eastAsia"/>
          <w:color w:val="auto"/>
        </w:rPr>
        <w:fldChar w:fldCharType="end"/>
      </w:r>
      <w:r>
        <w:rPr>
          <w:rFonts w:hint="eastAsia"/>
          <w:color w:val="auto"/>
        </w:rPr>
        <w:fldChar w:fldCharType="end"/>
      </w:r>
    </w:p>
    <w:p w14:paraId="49EE6771">
      <w:pPr>
        <w:pStyle w:val="21"/>
        <w:tabs>
          <w:tab w:val="right" w:leader="dot" w:pos="8380"/>
        </w:tabs>
        <w:spacing w:before="120" w:after="120"/>
        <w:ind w:leftChars="200" w:firstLine="480"/>
        <w:rPr>
          <w:rFonts w:asciiTheme="minorHAnsi" w:hAnsiTheme="minorHAnsi" w:eastAsiaTheme="minorEastAsia"/>
          <w:color w:val="auto"/>
          <w:kern w:val="2"/>
          <w:sz w:val="22"/>
          <w:szCs w:val="24"/>
          <w14:ligatures w14:val="standardContextual"/>
        </w:rPr>
      </w:pPr>
      <w:r>
        <w:rPr>
          <w:color w:val="auto"/>
        </w:rPr>
        <w:fldChar w:fldCharType="begin"/>
      </w:r>
      <w:r>
        <w:rPr>
          <w:color w:val="auto"/>
        </w:rPr>
        <w:instrText xml:space="preserve"> HYPERLINK \l "_Toc172712311" </w:instrText>
      </w:r>
      <w:r>
        <w:rPr>
          <w:color w:val="auto"/>
        </w:rPr>
        <w:fldChar w:fldCharType="separate"/>
      </w:r>
      <w:r>
        <w:rPr>
          <w:rStyle w:val="29"/>
          <w:rFonts w:hint="eastAsia" w:cs="Times New Roman"/>
          <w:color w:val="auto"/>
        </w:rPr>
        <w:t>10.2环境管理检查结论</w:t>
      </w:r>
      <w:r>
        <w:rPr>
          <w:rFonts w:hint="eastAsia"/>
          <w:color w:val="auto"/>
        </w:rPr>
        <w:tab/>
      </w:r>
      <w:r>
        <w:rPr>
          <w:rFonts w:hint="eastAsia"/>
          <w:color w:val="auto"/>
        </w:rPr>
        <w:fldChar w:fldCharType="begin"/>
      </w:r>
      <w:r>
        <w:rPr>
          <w:rFonts w:hint="eastAsia"/>
          <w:color w:val="auto"/>
        </w:rPr>
        <w:instrText xml:space="preserve"> </w:instrText>
      </w:r>
      <w:r>
        <w:rPr>
          <w:color w:val="auto"/>
        </w:rPr>
        <w:instrText xml:space="preserve">PAGEREF _Toc172712311 \h</w:instrText>
      </w:r>
      <w:r>
        <w:rPr>
          <w:rFonts w:hint="eastAsia"/>
          <w:color w:val="auto"/>
        </w:rPr>
        <w:instrText xml:space="preserve"> </w:instrText>
      </w:r>
      <w:r>
        <w:rPr>
          <w:rFonts w:hint="eastAsia"/>
          <w:color w:val="auto"/>
        </w:rPr>
        <w:fldChar w:fldCharType="separate"/>
      </w:r>
      <w:r>
        <w:rPr>
          <w:color w:val="auto"/>
        </w:rPr>
        <w:t>88</w:t>
      </w:r>
      <w:r>
        <w:rPr>
          <w:rFonts w:hint="eastAsia"/>
          <w:color w:val="auto"/>
        </w:rPr>
        <w:fldChar w:fldCharType="end"/>
      </w:r>
      <w:r>
        <w:rPr>
          <w:rFonts w:hint="eastAsia"/>
          <w:color w:val="auto"/>
        </w:rPr>
        <w:fldChar w:fldCharType="end"/>
      </w:r>
    </w:p>
    <w:p w14:paraId="5A03346A">
      <w:pPr>
        <w:pStyle w:val="21"/>
        <w:tabs>
          <w:tab w:val="right" w:leader="dot" w:pos="8380"/>
        </w:tabs>
        <w:spacing w:before="120" w:after="120"/>
        <w:ind w:leftChars="200" w:firstLine="480"/>
        <w:rPr>
          <w:rFonts w:asciiTheme="minorHAnsi" w:hAnsiTheme="minorHAnsi" w:eastAsiaTheme="minorEastAsia"/>
          <w:color w:val="auto"/>
          <w:kern w:val="2"/>
          <w:sz w:val="22"/>
          <w:szCs w:val="24"/>
          <w14:ligatures w14:val="standardContextual"/>
        </w:rPr>
      </w:pPr>
      <w:r>
        <w:rPr>
          <w:color w:val="auto"/>
        </w:rPr>
        <w:fldChar w:fldCharType="begin"/>
      </w:r>
      <w:r>
        <w:rPr>
          <w:color w:val="auto"/>
        </w:rPr>
        <w:instrText xml:space="preserve"> HYPERLINK \l "_Toc172712312" </w:instrText>
      </w:r>
      <w:r>
        <w:rPr>
          <w:color w:val="auto"/>
        </w:rPr>
        <w:fldChar w:fldCharType="separate"/>
      </w:r>
      <w:r>
        <w:rPr>
          <w:rStyle w:val="29"/>
          <w:rFonts w:hint="eastAsia" w:cs="Times New Roman"/>
          <w:color w:val="auto"/>
        </w:rPr>
        <w:t>10.3总结论</w:t>
      </w:r>
      <w:r>
        <w:rPr>
          <w:rFonts w:hint="eastAsia"/>
          <w:color w:val="auto"/>
        </w:rPr>
        <w:tab/>
      </w:r>
      <w:r>
        <w:rPr>
          <w:rFonts w:hint="eastAsia"/>
          <w:color w:val="auto"/>
        </w:rPr>
        <w:fldChar w:fldCharType="begin"/>
      </w:r>
      <w:r>
        <w:rPr>
          <w:rFonts w:hint="eastAsia"/>
          <w:color w:val="auto"/>
        </w:rPr>
        <w:instrText xml:space="preserve"> </w:instrText>
      </w:r>
      <w:r>
        <w:rPr>
          <w:color w:val="auto"/>
        </w:rPr>
        <w:instrText xml:space="preserve">PAGEREF _Toc172712312 \h</w:instrText>
      </w:r>
      <w:r>
        <w:rPr>
          <w:rFonts w:hint="eastAsia"/>
          <w:color w:val="auto"/>
        </w:rPr>
        <w:instrText xml:space="preserve"> </w:instrText>
      </w:r>
      <w:r>
        <w:rPr>
          <w:rFonts w:hint="eastAsia"/>
          <w:color w:val="auto"/>
        </w:rPr>
        <w:fldChar w:fldCharType="separate"/>
      </w:r>
      <w:r>
        <w:rPr>
          <w:color w:val="auto"/>
        </w:rPr>
        <w:t>88</w:t>
      </w:r>
      <w:r>
        <w:rPr>
          <w:rFonts w:hint="eastAsia"/>
          <w:color w:val="auto"/>
        </w:rPr>
        <w:fldChar w:fldCharType="end"/>
      </w:r>
      <w:r>
        <w:rPr>
          <w:rFonts w:hint="eastAsia"/>
          <w:color w:val="auto"/>
        </w:rPr>
        <w:fldChar w:fldCharType="end"/>
      </w:r>
    </w:p>
    <w:p w14:paraId="47FEA298">
      <w:pPr>
        <w:pStyle w:val="20"/>
        <w:tabs>
          <w:tab w:val="right" w:leader="dot" w:pos="8380"/>
        </w:tabs>
        <w:spacing w:before="240" w:after="240"/>
        <w:ind w:leftChars="200"/>
        <w:rPr>
          <w:rFonts w:asciiTheme="minorHAnsi" w:hAnsiTheme="minorHAnsi" w:eastAsiaTheme="minorEastAsia"/>
          <w:b w:val="0"/>
          <w:color w:val="auto"/>
          <w:kern w:val="2"/>
          <w:sz w:val="22"/>
          <w:szCs w:val="24"/>
          <w14:ligatures w14:val="standardContextual"/>
        </w:rPr>
      </w:pPr>
      <w:r>
        <w:rPr>
          <w:color w:val="auto"/>
        </w:rPr>
        <w:fldChar w:fldCharType="begin"/>
      </w:r>
      <w:r>
        <w:rPr>
          <w:color w:val="auto"/>
        </w:rPr>
        <w:instrText xml:space="preserve"> HYPERLINK \l "_Toc172712313" </w:instrText>
      </w:r>
      <w:r>
        <w:rPr>
          <w:color w:val="auto"/>
        </w:rPr>
        <w:fldChar w:fldCharType="separate"/>
      </w:r>
      <w:r>
        <w:rPr>
          <w:rStyle w:val="29"/>
          <w:rFonts w:hint="eastAsia" w:cs="Times New Roman"/>
          <w:color w:val="auto"/>
        </w:rPr>
        <w:t>11建设项目竣工环境保护“三同时”验收登记表</w:t>
      </w:r>
      <w:r>
        <w:rPr>
          <w:rFonts w:hint="eastAsia"/>
          <w:color w:val="auto"/>
        </w:rPr>
        <w:tab/>
      </w:r>
      <w:r>
        <w:rPr>
          <w:rFonts w:hint="eastAsia"/>
          <w:color w:val="auto"/>
        </w:rPr>
        <w:fldChar w:fldCharType="begin"/>
      </w:r>
      <w:r>
        <w:rPr>
          <w:rFonts w:hint="eastAsia"/>
          <w:color w:val="auto"/>
        </w:rPr>
        <w:instrText xml:space="preserve"> </w:instrText>
      </w:r>
      <w:r>
        <w:rPr>
          <w:color w:val="auto"/>
        </w:rPr>
        <w:instrText xml:space="preserve">PAGEREF _Toc172712313 \h</w:instrText>
      </w:r>
      <w:r>
        <w:rPr>
          <w:rFonts w:hint="eastAsia"/>
          <w:color w:val="auto"/>
        </w:rPr>
        <w:instrText xml:space="preserve"> </w:instrText>
      </w:r>
      <w:r>
        <w:rPr>
          <w:rFonts w:hint="eastAsia"/>
          <w:color w:val="auto"/>
        </w:rPr>
        <w:fldChar w:fldCharType="separate"/>
      </w:r>
      <w:r>
        <w:rPr>
          <w:color w:val="auto"/>
        </w:rPr>
        <w:t>89</w:t>
      </w:r>
      <w:r>
        <w:rPr>
          <w:rFonts w:hint="eastAsia"/>
          <w:color w:val="auto"/>
        </w:rPr>
        <w:fldChar w:fldCharType="end"/>
      </w:r>
      <w:r>
        <w:rPr>
          <w:rFonts w:hint="eastAsia"/>
          <w:color w:val="auto"/>
        </w:rPr>
        <w:fldChar w:fldCharType="end"/>
      </w:r>
    </w:p>
    <w:p w14:paraId="53F20A6C">
      <w:pPr>
        <w:ind w:leftChars="200" w:firstLine="600"/>
        <w:rPr>
          <w:rFonts w:cs="Times New Roman"/>
          <w:color w:val="FF0000"/>
        </w:rPr>
      </w:pPr>
      <w:r>
        <w:rPr>
          <w:rFonts w:cs="Times New Roman"/>
          <w:color w:val="auto"/>
          <w:sz w:val="30"/>
        </w:rPr>
        <w:fldChar w:fldCharType="end"/>
      </w:r>
    </w:p>
    <w:p w14:paraId="02C414C0">
      <w:pPr>
        <w:pStyle w:val="2"/>
        <w:ind w:firstLine="643"/>
        <w:rPr>
          <w:rFonts w:cs="Times New Roman"/>
          <w:color w:val="FF0000"/>
        </w:rPr>
        <w:sectPr>
          <w:headerReference r:id="rId12" w:type="default"/>
          <w:footerReference r:id="rId13" w:type="default"/>
          <w:pgSz w:w="11906" w:h="16838"/>
          <w:pgMar w:top="1417" w:right="1417" w:bottom="1417" w:left="1417" w:header="709" w:footer="709" w:gutter="0"/>
          <w:cols w:space="708" w:num="1"/>
          <w:docGrid w:linePitch="360" w:charSpace="0"/>
        </w:sectPr>
      </w:pPr>
      <w:bookmarkStart w:id="0" w:name="_Toc172712282"/>
    </w:p>
    <w:p w14:paraId="0786C29B">
      <w:pPr>
        <w:pStyle w:val="2"/>
        <w:ind w:firstLine="643"/>
        <w:rPr>
          <w:rFonts w:cs="Times New Roman"/>
          <w:color w:val="auto"/>
        </w:rPr>
      </w:pPr>
      <w:r>
        <w:rPr>
          <w:rFonts w:cs="Times New Roman"/>
          <w:color w:val="auto"/>
        </w:rPr>
        <w:t>1项目概况</w:t>
      </w:r>
      <w:bookmarkEnd w:id="0"/>
    </w:p>
    <w:p w14:paraId="6F22D63B">
      <w:pPr>
        <w:pStyle w:val="84"/>
        <w:spacing w:line="520" w:lineRule="exact"/>
        <w:ind w:firstLine="480"/>
        <w:rPr>
          <w:rFonts w:hint="eastAsia" w:ascii="Times New Roman" w:hAnsi="Times New Roman" w:cs="Times New Roman"/>
          <w:color w:val="auto"/>
          <w:sz w:val="24"/>
          <w:szCs w:val="24"/>
          <w:lang w:val="en-US" w:eastAsia="zh-CN"/>
        </w:rPr>
      </w:pPr>
      <w:r>
        <w:rPr>
          <w:rFonts w:ascii="Times New Roman" w:hAnsi="Times New Roman"/>
          <w:color w:val="auto"/>
          <w:sz w:val="24"/>
          <w:szCs w:val="24"/>
        </w:rPr>
        <w:t>新乡市万宝科技有限公司位于</w:t>
      </w:r>
      <w:r>
        <w:rPr>
          <w:rFonts w:hint="eastAsia" w:ascii="Times New Roman" w:hAnsi="Times New Roman"/>
          <w:color w:val="auto"/>
          <w:sz w:val="24"/>
        </w:rPr>
        <w:t>新乡市凤泉区大块镇陈堡村丰源路5号</w:t>
      </w:r>
      <w:r>
        <w:rPr>
          <w:rFonts w:ascii="Times New Roman" w:hAnsi="Times New Roman"/>
          <w:color w:val="auto"/>
          <w:sz w:val="24"/>
          <w:szCs w:val="24"/>
        </w:rPr>
        <w:t>。</w:t>
      </w:r>
      <w:r>
        <w:rPr>
          <w:rFonts w:hint="eastAsia" w:ascii="Times New Roman" w:hAnsi="Times New Roman"/>
          <w:color w:val="auto"/>
          <w:sz w:val="24"/>
          <w:szCs w:val="24"/>
          <w:lang w:val="en-US" w:eastAsia="zh-CN"/>
        </w:rPr>
        <w:t>2025年7月</w:t>
      </w:r>
      <w:r>
        <w:rPr>
          <w:rFonts w:ascii="Times New Roman" w:hAnsi="Times New Roman"/>
          <w:color w:val="auto"/>
          <w:sz w:val="24"/>
          <w:szCs w:val="24"/>
        </w:rPr>
        <w:t>新乡市万宝科技有限公司</w:t>
      </w:r>
      <w:r>
        <w:rPr>
          <w:rFonts w:hint="eastAsia" w:ascii="Times New Roman" w:hAnsi="Times New Roman"/>
          <w:color w:val="auto"/>
          <w:sz w:val="24"/>
          <w:szCs w:val="24"/>
          <w:lang w:val="en-US" w:eastAsia="zh-CN"/>
        </w:rPr>
        <w:t>委托</w:t>
      </w:r>
      <w:r>
        <w:rPr>
          <w:rFonts w:ascii="Times New Roman" w:hAnsi="Times New Roman" w:eastAsia="宋体" w:cs="Times New Roman"/>
          <w:color w:val="auto"/>
          <w:sz w:val="24"/>
          <w:szCs w:val="24"/>
        </w:rPr>
        <w:t>新乡市世青环境技术有限公司编制完成《年产2万吨五金件、2万吨汽车配件、800吨钢带、5亿只电池钢壳项目</w:t>
      </w:r>
      <w:r>
        <w:rPr>
          <w:rFonts w:hint="eastAsia" w:ascii="Times New Roman" w:hAnsi="Times New Roman" w:cs="Times New Roman"/>
          <w:color w:val="auto"/>
          <w:sz w:val="24"/>
          <w:szCs w:val="24"/>
          <w:lang w:val="en-US" w:eastAsia="zh-CN"/>
        </w:rPr>
        <w:t>环境影响报告书</w:t>
      </w:r>
      <w:r>
        <w:rPr>
          <w:rFonts w:ascii="Times New Roman" w:hAnsi="Times New Roman" w:eastAsia="宋体" w:cs="Times New Roman"/>
          <w:color w:val="auto"/>
          <w:sz w:val="24"/>
          <w:szCs w:val="24"/>
        </w:rPr>
        <w:t>》</w:t>
      </w:r>
      <w:r>
        <w:rPr>
          <w:rFonts w:hint="eastAsia" w:ascii="Times New Roman" w:hAnsi="Times New Roman" w:cs="Times New Roman"/>
          <w:color w:val="auto"/>
          <w:sz w:val="24"/>
          <w:szCs w:val="24"/>
          <w:lang w:eastAsia="zh-CN"/>
        </w:rPr>
        <w:t>，</w:t>
      </w:r>
      <w:r>
        <w:rPr>
          <w:rFonts w:hint="eastAsia" w:ascii="Times New Roman" w:hAnsi="Times New Roman" w:cs="Times New Roman"/>
          <w:color w:val="auto"/>
          <w:sz w:val="24"/>
          <w:szCs w:val="24"/>
          <w:lang w:val="en-US" w:eastAsia="zh-CN"/>
        </w:rPr>
        <w:t>2025年8月7日</w:t>
      </w:r>
      <w:r>
        <w:rPr>
          <w:rFonts w:ascii="Times New Roman" w:hAnsi="Times New Roman" w:eastAsia="宋体" w:cs="Times New Roman"/>
          <w:color w:val="auto"/>
          <w:sz w:val="24"/>
          <w:szCs w:val="24"/>
        </w:rPr>
        <w:t>新乡市生态环境局</w:t>
      </w:r>
      <w:r>
        <w:rPr>
          <w:rFonts w:hint="eastAsia" w:ascii="Times New Roman" w:hAnsi="Times New Roman" w:cs="Times New Roman"/>
          <w:color w:val="auto"/>
          <w:sz w:val="24"/>
          <w:szCs w:val="24"/>
          <w:lang w:val="en-US" w:eastAsia="zh-CN"/>
        </w:rPr>
        <w:t>以</w:t>
      </w:r>
      <w:r>
        <w:rPr>
          <w:rFonts w:hint="eastAsia" w:ascii="Times New Roman" w:hAnsi="Times New Roman" w:cs="Times New Roman"/>
          <w:color w:val="auto"/>
          <w:sz w:val="24"/>
          <w:szCs w:val="24"/>
          <w:lang w:eastAsia="zh-CN"/>
        </w:rPr>
        <w:t>“</w:t>
      </w:r>
      <w:r>
        <w:rPr>
          <w:rFonts w:ascii="Times New Roman" w:hAnsi="Times New Roman" w:eastAsia="宋体" w:cs="Times New Roman"/>
          <w:color w:val="auto"/>
          <w:sz w:val="24"/>
          <w:szCs w:val="24"/>
        </w:rPr>
        <w:t>新环书审[2025]6号</w:t>
      </w:r>
      <w:r>
        <w:rPr>
          <w:rFonts w:hint="eastAsia" w:ascii="Times New Roman" w:hAnsi="Times New Roman" w:cs="Times New Roman"/>
          <w:color w:val="auto"/>
          <w:sz w:val="24"/>
          <w:szCs w:val="24"/>
          <w:lang w:eastAsia="zh-CN"/>
        </w:rPr>
        <w:t>”对该项目环评报告书进行了批复</w:t>
      </w:r>
      <w:r>
        <w:rPr>
          <w:rFonts w:hint="eastAsia" w:ascii="Times New Roman" w:hAnsi="Times New Roman" w:cs="Times New Roman"/>
          <w:color w:val="auto"/>
          <w:sz w:val="24"/>
          <w:szCs w:val="24"/>
          <w:lang w:val="en-US" w:eastAsia="zh-CN"/>
        </w:rPr>
        <w:t>。</w:t>
      </w:r>
    </w:p>
    <w:p w14:paraId="1F4F8DF3">
      <w:pPr>
        <w:pStyle w:val="84"/>
        <w:spacing w:line="520" w:lineRule="exact"/>
        <w:ind w:firstLine="480"/>
        <w:rPr>
          <w:rFonts w:hint="eastAsia" w:ascii="Times New Roman" w:hAnsi="Times New Roman" w:eastAsia="宋体" w:cs="Times New Roman"/>
          <w:color w:val="auto"/>
          <w:sz w:val="24"/>
          <w:szCs w:val="24"/>
          <w:lang w:val="en-US" w:eastAsia="zh-CN"/>
        </w:rPr>
      </w:pPr>
      <w:r>
        <w:rPr>
          <w:rFonts w:ascii="Times New Roman" w:hAnsi="Times New Roman" w:eastAsia="宋体" w:cs="Times New Roman"/>
          <w:color w:val="auto"/>
          <w:sz w:val="24"/>
          <w:szCs w:val="24"/>
        </w:rPr>
        <w:t>项目实际建设过程中，建设单位结合市场定位，将整体工程进行分期投建。项目环评设计产能为“年产2万吨五金件、2万吨汽车配件、800吨钢带、5亿只电池钢壳”，</w:t>
      </w:r>
      <w:r>
        <w:rPr>
          <w:rFonts w:hint="eastAsia" w:ascii="Times New Roman" w:hAnsi="Times New Roman" w:cs="Times New Roman"/>
          <w:color w:val="FF0000"/>
          <w:sz w:val="24"/>
          <w:szCs w:val="24"/>
          <w:lang w:val="en-US" w:eastAsia="zh-CN"/>
        </w:rPr>
        <w:t>经产能核算，</w:t>
      </w:r>
      <w:r>
        <w:rPr>
          <w:rFonts w:hint="eastAsia" w:ascii="Times New Roman" w:hAnsi="Times New Roman" w:cs="Times New Roman"/>
          <w:b w:val="0"/>
          <w:bCs w:val="0"/>
          <w:color w:val="FF0000"/>
          <w:sz w:val="24"/>
          <w:szCs w:val="24"/>
          <w:lang w:eastAsia="zh-CN"/>
        </w:rPr>
        <w:t>本项目（一期）</w:t>
      </w:r>
      <w:r>
        <w:rPr>
          <w:rFonts w:hint="eastAsia" w:ascii="Times New Roman" w:hAnsi="Times New Roman" w:cs="Times New Roman"/>
          <w:b w:val="0"/>
          <w:bCs w:val="0"/>
          <w:color w:val="FF0000"/>
          <w:sz w:val="24"/>
          <w:szCs w:val="24"/>
          <w:lang w:val="en-US" w:eastAsia="zh-CN"/>
        </w:rPr>
        <w:t>实际</w:t>
      </w:r>
      <w:r>
        <w:rPr>
          <w:rFonts w:ascii="Times New Roman" w:hAnsi="Times New Roman" w:eastAsia="宋体" w:cs="Times New Roman"/>
          <w:b w:val="0"/>
          <w:bCs w:val="0"/>
          <w:color w:val="FF0000"/>
          <w:sz w:val="24"/>
          <w:szCs w:val="24"/>
        </w:rPr>
        <w:t>建设</w:t>
      </w:r>
      <w:r>
        <w:rPr>
          <w:rFonts w:ascii="Times New Roman" w:hAnsi="Times New Roman" w:eastAsia="宋体" w:cs="Times New Roman"/>
          <w:b w:val="0"/>
          <w:bCs w:val="0"/>
          <w:color w:val="auto"/>
          <w:sz w:val="24"/>
          <w:szCs w:val="24"/>
        </w:rPr>
        <w:t>产能为“年产</w:t>
      </w:r>
      <w:r>
        <w:rPr>
          <w:rFonts w:hint="eastAsia" w:ascii="Times New Roman" w:hAnsi="Times New Roman" w:eastAsia="宋体" w:cs="Times New Roman"/>
          <w:b w:val="0"/>
          <w:bCs w:val="0"/>
          <w:color w:val="auto"/>
          <w:sz w:val="24"/>
          <w:szCs w:val="24"/>
          <w:lang w:val="en-US" w:eastAsia="zh-CN"/>
        </w:rPr>
        <w:t>8000</w:t>
      </w:r>
      <w:r>
        <w:rPr>
          <w:rFonts w:ascii="Times New Roman" w:hAnsi="Times New Roman" w:eastAsia="宋体" w:cs="Times New Roman"/>
          <w:b w:val="0"/>
          <w:bCs w:val="0"/>
          <w:color w:val="auto"/>
          <w:sz w:val="24"/>
          <w:szCs w:val="24"/>
        </w:rPr>
        <w:t>吨汽车配件、</w:t>
      </w:r>
      <w:r>
        <w:rPr>
          <w:rFonts w:hint="eastAsia" w:ascii="Times New Roman" w:hAnsi="Times New Roman" w:eastAsia="宋体" w:cs="Times New Roman"/>
          <w:b w:val="0"/>
          <w:bCs w:val="0"/>
          <w:color w:val="auto"/>
          <w:sz w:val="24"/>
          <w:szCs w:val="24"/>
          <w:lang w:val="en-US" w:eastAsia="zh-CN"/>
        </w:rPr>
        <w:t>58</w:t>
      </w:r>
      <w:r>
        <w:rPr>
          <w:rFonts w:ascii="Times New Roman" w:hAnsi="Times New Roman" w:eastAsia="宋体" w:cs="Times New Roman"/>
          <w:b w:val="0"/>
          <w:bCs w:val="0"/>
          <w:color w:val="auto"/>
          <w:sz w:val="24"/>
          <w:szCs w:val="24"/>
        </w:rPr>
        <w:t>0吨钢带”，</w:t>
      </w:r>
      <w:r>
        <w:rPr>
          <w:rFonts w:hint="eastAsia" w:ascii="Times New Roman" w:hAnsi="Times New Roman" w:cs="Times New Roman"/>
          <w:b w:val="0"/>
          <w:bCs w:val="0"/>
          <w:color w:val="auto"/>
          <w:sz w:val="24"/>
          <w:szCs w:val="24"/>
          <w:lang w:val="en-US" w:eastAsia="zh-CN"/>
        </w:rPr>
        <w:t>本次验收范围仅为</w:t>
      </w:r>
      <w:r>
        <w:rPr>
          <w:rFonts w:ascii="Times New Roman" w:hAnsi="Times New Roman" w:eastAsia="宋体" w:cs="Times New Roman"/>
          <w:b w:val="0"/>
          <w:bCs w:val="0"/>
          <w:color w:val="auto"/>
          <w:sz w:val="24"/>
          <w:szCs w:val="24"/>
        </w:rPr>
        <w:t>“年产</w:t>
      </w:r>
      <w:r>
        <w:rPr>
          <w:rFonts w:hint="eastAsia" w:ascii="Times New Roman" w:hAnsi="Times New Roman" w:eastAsia="宋体" w:cs="Times New Roman"/>
          <w:b w:val="0"/>
          <w:bCs w:val="0"/>
          <w:color w:val="auto"/>
          <w:sz w:val="24"/>
          <w:szCs w:val="24"/>
          <w:lang w:val="en-US" w:eastAsia="zh-CN"/>
        </w:rPr>
        <w:t>8000</w:t>
      </w:r>
      <w:r>
        <w:rPr>
          <w:rFonts w:ascii="Times New Roman" w:hAnsi="Times New Roman" w:eastAsia="宋体" w:cs="Times New Roman"/>
          <w:b w:val="0"/>
          <w:bCs w:val="0"/>
          <w:color w:val="auto"/>
          <w:sz w:val="24"/>
          <w:szCs w:val="24"/>
        </w:rPr>
        <w:t>吨汽车配件、</w:t>
      </w:r>
      <w:r>
        <w:rPr>
          <w:rFonts w:hint="eastAsia" w:ascii="Times New Roman" w:hAnsi="Times New Roman" w:eastAsia="宋体" w:cs="Times New Roman"/>
          <w:b w:val="0"/>
          <w:bCs w:val="0"/>
          <w:color w:val="auto"/>
          <w:sz w:val="24"/>
          <w:szCs w:val="24"/>
          <w:lang w:val="en-US" w:eastAsia="zh-CN"/>
        </w:rPr>
        <w:t>58</w:t>
      </w:r>
      <w:r>
        <w:rPr>
          <w:rFonts w:ascii="Times New Roman" w:hAnsi="Times New Roman" w:eastAsia="宋体" w:cs="Times New Roman"/>
          <w:b w:val="0"/>
          <w:bCs w:val="0"/>
          <w:color w:val="auto"/>
          <w:sz w:val="24"/>
          <w:szCs w:val="24"/>
        </w:rPr>
        <w:t>0吨钢带”</w:t>
      </w:r>
      <w:r>
        <w:rPr>
          <w:rFonts w:hint="eastAsia" w:ascii="Times New Roman" w:hAnsi="Times New Roman" w:eastAsia="宋体" w:cs="Times New Roman"/>
          <w:b w:val="0"/>
          <w:bCs w:val="0"/>
          <w:color w:val="auto"/>
          <w:sz w:val="24"/>
          <w:szCs w:val="24"/>
          <w:lang w:val="en-US" w:eastAsia="zh-CN"/>
        </w:rPr>
        <w:t>部分</w:t>
      </w:r>
      <w:r>
        <w:rPr>
          <w:rFonts w:hint="eastAsia" w:ascii="Times New Roman" w:hAnsi="Times New Roman" w:eastAsia="宋体" w:cs="Times New Roman"/>
          <w:color w:val="auto"/>
          <w:sz w:val="24"/>
          <w:szCs w:val="24"/>
          <w:lang w:eastAsia="zh-CN"/>
        </w:rPr>
        <w:t>。</w:t>
      </w:r>
    </w:p>
    <w:p w14:paraId="77943EB7">
      <w:pPr>
        <w:pStyle w:val="84"/>
        <w:spacing w:line="520" w:lineRule="exact"/>
        <w:ind w:firstLine="48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该项目于202</w:t>
      </w:r>
      <w:r>
        <w:rPr>
          <w:rFonts w:hint="eastAsia" w:ascii="Times New Roman" w:hAnsi="Times New Roman" w:eastAsia="宋体" w:cs="Times New Roman"/>
          <w:b w:val="0"/>
          <w:bCs w:val="0"/>
          <w:color w:val="auto"/>
          <w:sz w:val="24"/>
          <w:szCs w:val="24"/>
          <w:lang w:val="en-US" w:eastAsia="zh-CN"/>
        </w:rPr>
        <w:t>5</w:t>
      </w:r>
      <w:r>
        <w:rPr>
          <w:rFonts w:hint="default" w:ascii="Times New Roman" w:hAnsi="Times New Roman" w:eastAsia="宋体" w:cs="Times New Roman"/>
          <w:b w:val="0"/>
          <w:bCs w:val="0"/>
          <w:color w:val="auto"/>
          <w:sz w:val="24"/>
          <w:szCs w:val="24"/>
          <w:lang w:val="en-US" w:eastAsia="zh-CN"/>
        </w:rPr>
        <w:t>年</w:t>
      </w:r>
      <w:r>
        <w:rPr>
          <w:rFonts w:hint="eastAsia" w:ascii="Times New Roman" w:hAnsi="Times New Roman" w:eastAsia="宋体" w:cs="Times New Roman"/>
          <w:b w:val="0"/>
          <w:bCs w:val="0"/>
          <w:color w:val="auto"/>
          <w:sz w:val="24"/>
          <w:szCs w:val="24"/>
          <w:lang w:val="en-US" w:eastAsia="zh-CN"/>
        </w:rPr>
        <w:t>9</w:t>
      </w:r>
      <w:r>
        <w:rPr>
          <w:rFonts w:hint="default" w:ascii="Times New Roman" w:hAnsi="Times New Roman" w:eastAsia="宋体" w:cs="Times New Roman"/>
          <w:b w:val="0"/>
          <w:bCs w:val="0"/>
          <w:color w:val="auto"/>
          <w:sz w:val="24"/>
          <w:szCs w:val="24"/>
          <w:lang w:val="en-US" w:eastAsia="zh-CN"/>
        </w:rPr>
        <w:t>月1日开工建设，202</w:t>
      </w:r>
      <w:r>
        <w:rPr>
          <w:rFonts w:hint="eastAsia" w:ascii="Times New Roman" w:hAnsi="Times New Roman" w:eastAsia="宋体" w:cs="Times New Roman"/>
          <w:b w:val="0"/>
          <w:bCs w:val="0"/>
          <w:color w:val="auto"/>
          <w:sz w:val="24"/>
          <w:szCs w:val="24"/>
          <w:lang w:val="en-US" w:eastAsia="zh-CN"/>
        </w:rPr>
        <w:t>6</w:t>
      </w:r>
      <w:r>
        <w:rPr>
          <w:rFonts w:hint="default" w:ascii="Times New Roman" w:hAnsi="Times New Roman" w:eastAsia="宋体" w:cs="Times New Roman"/>
          <w:b w:val="0"/>
          <w:bCs w:val="0"/>
          <w:color w:val="auto"/>
          <w:sz w:val="24"/>
          <w:szCs w:val="24"/>
          <w:lang w:val="en-US" w:eastAsia="zh-CN"/>
        </w:rPr>
        <w:t>年</w:t>
      </w:r>
      <w:r>
        <w:rPr>
          <w:rFonts w:hint="eastAsia" w:ascii="Times New Roman" w:hAnsi="Times New Roman" w:eastAsia="宋体" w:cs="Times New Roman"/>
          <w:b w:val="0"/>
          <w:bCs w:val="0"/>
          <w:color w:val="auto"/>
          <w:sz w:val="24"/>
          <w:szCs w:val="24"/>
          <w:lang w:val="en-US" w:eastAsia="zh-CN"/>
        </w:rPr>
        <w:t>2</w:t>
      </w:r>
      <w:r>
        <w:rPr>
          <w:rFonts w:hint="default" w:ascii="Times New Roman" w:hAnsi="Times New Roman" w:eastAsia="宋体" w:cs="Times New Roman"/>
          <w:b w:val="0"/>
          <w:bCs w:val="0"/>
          <w:color w:val="auto"/>
          <w:sz w:val="24"/>
          <w:szCs w:val="24"/>
          <w:lang w:val="en-US" w:eastAsia="zh-CN"/>
        </w:rPr>
        <w:t>月2</w:t>
      </w:r>
      <w:r>
        <w:rPr>
          <w:rFonts w:hint="eastAsia" w:ascii="Times New Roman" w:hAnsi="Times New Roman" w:eastAsia="宋体" w:cs="Times New Roman"/>
          <w:b w:val="0"/>
          <w:bCs w:val="0"/>
          <w:color w:val="auto"/>
          <w:sz w:val="24"/>
          <w:szCs w:val="24"/>
          <w:lang w:val="en-US" w:eastAsia="zh-CN"/>
        </w:rPr>
        <w:t>8</w:t>
      </w:r>
      <w:r>
        <w:rPr>
          <w:rFonts w:hint="default" w:ascii="Times New Roman" w:hAnsi="Times New Roman" w:eastAsia="宋体" w:cs="Times New Roman"/>
          <w:b w:val="0"/>
          <w:bCs w:val="0"/>
          <w:color w:val="auto"/>
          <w:sz w:val="24"/>
          <w:szCs w:val="24"/>
          <w:lang w:val="en-US" w:eastAsia="zh-CN"/>
        </w:rPr>
        <w:t>日竣工并于202</w:t>
      </w:r>
      <w:r>
        <w:rPr>
          <w:rFonts w:hint="eastAsia" w:ascii="Times New Roman" w:hAnsi="Times New Roman" w:eastAsia="宋体" w:cs="Times New Roman"/>
          <w:b w:val="0"/>
          <w:bCs w:val="0"/>
          <w:color w:val="auto"/>
          <w:sz w:val="24"/>
          <w:szCs w:val="24"/>
          <w:lang w:val="en-US" w:eastAsia="zh-CN"/>
        </w:rPr>
        <w:t>6</w:t>
      </w:r>
      <w:r>
        <w:rPr>
          <w:rFonts w:hint="default" w:ascii="Times New Roman" w:hAnsi="Times New Roman" w:eastAsia="宋体" w:cs="Times New Roman"/>
          <w:b w:val="0"/>
          <w:bCs w:val="0"/>
          <w:color w:val="auto"/>
          <w:sz w:val="24"/>
          <w:szCs w:val="24"/>
          <w:lang w:val="en-US" w:eastAsia="zh-CN"/>
        </w:rPr>
        <w:t>年</w:t>
      </w:r>
      <w:r>
        <w:rPr>
          <w:rFonts w:hint="eastAsia" w:ascii="Times New Roman" w:hAnsi="Times New Roman" w:eastAsia="宋体" w:cs="Times New Roman"/>
          <w:b w:val="0"/>
          <w:bCs w:val="0"/>
          <w:color w:val="auto"/>
          <w:sz w:val="24"/>
          <w:szCs w:val="24"/>
          <w:lang w:val="en-US" w:eastAsia="zh-CN"/>
        </w:rPr>
        <w:t>3</w:t>
      </w:r>
      <w:r>
        <w:rPr>
          <w:rFonts w:hint="default" w:ascii="Times New Roman" w:hAnsi="Times New Roman" w:eastAsia="宋体" w:cs="Times New Roman"/>
          <w:b w:val="0"/>
          <w:bCs w:val="0"/>
          <w:color w:val="auto"/>
          <w:sz w:val="24"/>
          <w:szCs w:val="24"/>
          <w:lang w:val="en-US" w:eastAsia="zh-CN"/>
        </w:rPr>
        <w:t>月</w:t>
      </w:r>
      <w:r>
        <w:rPr>
          <w:rFonts w:hint="eastAsia" w:ascii="Times New Roman" w:hAnsi="Times New Roman" w:eastAsia="宋体" w:cs="Times New Roman"/>
          <w:b w:val="0"/>
          <w:bCs w:val="0"/>
          <w:color w:val="auto"/>
          <w:sz w:val="24"/>
          <w:szCs w:val="24"/>
          <w:lang w:val="en-US" w:eastAsia="zh-CN"/>
        </w:rPr>
        <w:t>13</w:t>
      </w:r>
      <w:r>
        <w:rPr>
          <w:rFonts w:hint="default" w:ascii="Times New Roman" w:hAnsi="Times New Roman" w:eastAsia="宋体" w:cs="Times New Roman"/>
          <w:b w:val="0"/>
          <w:bCs w:val="0"/>
          <w:color w:val="auto"/>
          <w:sz w:val="24"/>
          <w:szCs w:val="24"/>
          <w:lang w:val="en-US" w:eastAsia="zh-CN"/>
        </w:rPr>
        <w:t>日通过本项目内容的排污许可重新申请，于20</w:t>
      </w:r>
      <w:r>
        <w:rPr>
          <w:rFonts w:hint="eastAsia" w:ascii="Times New Roman" w:hAnsi="Times New Roman" w:eastAsia="宋体" w:cs="Times New Roman"/>
          <w:b w:val="0"/>
          <w:bCs w:val="0"/>
          <w:color w:val="auto"/>
          <w:sz w:val="24"/>
          <w:szCs w:val="24"/>
          <w:lang w:val="en-US" w:eastAsia="zh-CN"/>
        </w:rPr>
        <w:t>26</w:t>
      </w:r>
      <w:r>
        <w:rPr>
          <w:rFonts w:hint="default" w:ascii="Times New Roman" w:hAnsi="Times New Roman" w:eastAsia="宋体" w:cs="Times New Roman"/>
          <w:b w:val="0"/>
          <w:bCs w:val="0"/>
          <w:color w:val="auto"/>
          <w:sz w:val="24"/>
          <w:szCs w:val="24"/>
          <w:lang w:val="en-US" w:eastAsia="zh-CN"/>
        </w:rPr>
        <w:t>年</w:t>
      </w:r>
      <w:r>
        <w:rPr>
          <w:rFonts w:hint="eastAsia" w:ascii="Times New Roman" w:hAnsi="Times New Roman" w:eastAsia="宋体" w:cs="Times New Roman"/>
          <w:b w:val="0"/>
          <w:bCs w:val="0"/>
          <w:color w:val="auto"/>
          <w:sz w:val="24"/>
          <w:szCs w:val="24"/>
          <w:lang w:val="en-US" w:eastAsia="zh-CN"/>
        </w:rPr>
        <w:t>3</w:t>
      </w:r>
      <w:r>
        <w:rPr>
          <w:rFonts w:hint="default" w:ascii="Times New Roman" w:hAnsi="Times New Roman" w:eastAsia="宋体" w:cs="Times New Roman"/>
          <w:b w:val="0"/>
          <w:bCs w:val="0"/>
          <w:color w:val="auto"/>
          <w:sz w:val="24"/>
          <w:szCs w:val="24"/>
          <w:lang w:val="en-US" w:eastAsia="zh-CN"/>
        </w:rPr>
        <w:t>月</w:t>
      </w:r>
      <w:r>
        <w:rPr>
          <w:rFonts w:hint="eastAsia" w:ascii="Times New Roman" w:hAnsi="Times New Roman" w:eastAsia="宋体" w:cs="Times New Roman"/>
          <w:b w:val="0"/>
          <w:bCs w:val="0"/>
          <w:color w:val="auto"/>
          <w:sz w:val="24"/>
          <w:szCs w:val="24"/>
          <w:lang w:val="en-US" w:eastAsia="zh-CN"/>
        </w:rPr>
        <w:t>16</w:t>
      </w:r>
      <w:r>
        <w:rPr>
          <w:rFonts w:hint="default" w:ascii="Times New Roman" w:hAnsi="Times New Roman" w:eastAsia="宋体" w:cs="Times New Roman"/>
          <w:b w:val="0"/>
          <w:bCs w:val="0"/>
          <w:color w:val="auto"/>
          <w:sz w:val="24"/>
          <w:szCs w:val="24"/>
          <w:lang w:val="en-US" w:eastAsia="zh-CN"/>
        </w:rPr>
        <w:t>日开始调试，于202</w:t>
      </w:r>
      <w:r>
        <w:rPr>
          <w:rFonts w:hint="eastAsia" w:ascii="Times New Roman" w:hAnsi="Times New Roman" w:eastAsia="宋体" w:cs="Times New Roman"/>
          <w:b w:val="0"/>
          <w:bCs w:val="0"/>
          <w:color w:val="auto"/>
          <w:sz w:val="24"/>
          <w:szCs w:val="24"/>
          <w:lang w:val="en-US" w:eastAsia="zh-CN"/>
        </w:rPr>
        <w:t>6</w:t>
      </w:r>
      <w:r>
        <w:rPr>
          <w:rFonts w:hint="default" w:ascii="Times New Roman" w:hAnsi="Times New Roman" w:eastAsia="宋体" w:cs="Times New Roman"/>
          <w:b w:val="0"/>
          <w:bCs w:val="0"/>
          <w:color w:val="auto"/>
          <w:sz w:val="24"/>
          <w:szCs w:val="24"/>
          <w:lang w:val="en-US" w:eastAsia="zh-CN"/>
        </w:rPr>
        <w:t>年</w:t>
      </w:r>
      <w:r>
        <w:rPr>
          <w:rFonts w:hint="eastAsia" w:ascii="Times New Roman" w:hAnsi="Times New Roman" w:eastAsia="宋体" w:cs="Times New Roman"/>
          <w:b w:val="0"/>
          <w:bCs w:val="0"/>
          <w:color w:val="auto"/>
          <w:sz w:val="24"/>
          <w:szCs w:val="24"/>
          <w:lang w:val="en-US" w:eastAsia="zh-CN"/>
        </w:rPr>
        <w:t>4</w:t>
      </w:r>
      <w:r>
        <w:rPr>
          <w:rFonts w:hint="default" w:ascii="Times New Roman" w:hAnsi="Times New Roman" w:eastAsia="宋体" w:cs="Times New Roman"/>
          <w:b w:val="0"/>
          <w:bCs w:val="0"/>
          <w:color w:val="auto"/>
          <w:sz w:val="24"/>
          <w:szCs w:val="24"/>
          <w:lang w:val="en-US" w:eastAsia="zh-CN"/>
        </w:rPr>
        <w:t>月</w:t>
      </w:r>
      <w:r>
        <w:rPr>
          <w:rFonts w:hint="eastAsia" w:ascii="Times New Roman" w:hAnsi="Times New Roman" w:eastAsia="宋体" w:cs="Times New Roman"/>
          <w:b w:val="0"/>
          <w:bCs w:val="0"/>
          <w:color w:val="auto"/>
          <w:sz w:val="24"/>
          <w:szCs w:val="24"/>
          <w:lang w:val="en-US" w:eastAsia="zh-CN"/>
        </w:rPr>
        <w:t>1</w:t>
      </w:r>
      <w:r>
        <w:rPr>
          <w:rFonts w:hint="default" w:ascii="Times New Roman" w:hAnsi="Times New Roman" w:eastAsia="宋体" w:cs="Times New Roman"/>
          <w:b w:val="0"/>
          <w:bCs w:val="0"/>
          <w:color w:val="auto"/>
          <w:sz w:val="24"/>
          <w:szCs w:val="24"/>
          <w:lang w:val="en-US" w:eastAsia="zh-CN"/>
        </w:rPr>
        <w:t>日编制了验收监测方案，并委托</w:t>
      </w:r>
      <w:r>
        <w:rPr>
          <w:rFonts w:hint="eastAsia" w:ascii="Times New Roman" w:hAnsi="Times New Roman" w:eastAsia="宋体" w:cs="Times New Roman"/>
          <w:b w:val="0"/>
          <w:bCs w:val="0"/>
          <w:color w:val="auto"/>
          <w:sz w:val="24"/>
          <w:szCs w:val="24"/>
          <w:lang w:val="en-US" w:eastAsia="zh-CN"/>
        </w:rPr>
        <w:t>河南嘉昱环保技术有限公司</w:t>
      </w:r>
      <w:r>
        <w:rPr>
          <w:rFonts w:hint="default" w:ascii="Times New Roman" w:hAnsi="Times New Roman" w:eastAsia="宋体" w:cs="Times New Roman"/>
          <w:b w:val="0"/>
          <w:bCs w:val="0"/>
          <w:color w:val="auto"/>
          <w:sz w:val="24"/>
          <w:szCs w:val="24"/>
          <w:lang w:val="en-US" w:eastAsia="zh-CN"/>
        </w:rPr>
        <w:t>于</w:t>
      </w:r>
      <w:r>
        <w:rPr>
          <w:rFonts w:hint="default" w:ascii="Times New Roman" w:hAnsi="Times New Roman" w:eastAsia="宋体" w:cs="Times New Roman"/>
          <w:b w:val="0"/>
          <w:bCs w:val="0"/>
          <w:color w:val="FF0000"/>
          <w:sz w:val="24"/>
          <w:szCs w:val="24"/>
          <w:lang w:val="en-US" w:eastAsia="zh-CN"/>
        </w:rPr>
        <w:t>202</w:t>
      </w:r>
      <w:r>
        <w:rPr>
          <w:rFonts w:hint="eastAsia" w:ascii="Times New Roman" w:hAnsi="Times New Roman" w:eastAsia="宋体" w:cs="Times New Roman"/>
          <w:b w:val="0"/>
          <w:bCs w:val="0"/>
          <w:color w:val="FF0000"/>
          <w:sz w:val="24"/>
          <w:szCs w:val="24"/>
          <w:lang w:val="en-US" w:eastAsia="zh-CN"/>
        </w:rPr>
        <w:t>6</w:t>
      </w:r>
      <w:r>
        <w:rPr>
          <w:rFonts w:hint="default" w:ascii="Times New Roman" w:hAnsi="Times New Roman" w:eastAsia="宋体" w:cs="Times New Roman"/>
          <w:b w:val="0"/>
          <w:bCs w:val="0"/>
          <w:color w:val="FF0000"/>
          <w:sz w:val="24"/>
          <w:szCs w:val="24"/>
          <w:lang w:val="en-US" w:eastAsia="zh-CN"/>
        </w:rPr>
        <w:t>年</w:t>
      </w:r>
      <w:r>
        <w:rPr>
          <w:rFonts w:hint="eastAsia" w:ascii="Times New Roman" w:hAnsi="Times New Roman" w:eastAsia="宋体" w:cs="Times New Roman"/>
          <w:b w:val="0"/>
          <w:bCs w:val="0"/>
          <w:color w:val="FF0000"/>
          <w:sz w:val="24"/>
          <w:szCs w:val="24"/>
          <w:lang w:val="en-US" w:eastAsia="zh-CN"/>
        </w:rPr>
        <w:t>5</w:t>
      </w:r>
      <w:r>
        <w:rPr>
          <w:rFonts w:hint="default" w:ascii="Times New Roman" w:hAnsi="Times New Roman" w:eastAsia="宋体" w:cs="Times New Roman"/>
          <w:b w:val="0"/>
          <w:bCs w:val="0"/>
          <w:color w:val="FF0000"/>
          <w:sz w:val="24"/>
          <w:szCs w:val="24"/>
          <w:lang w:val="en-US" w:eastAsia="zh-CN"/>
        </w:rPr>
        <w:t>月</w:t>
      </w:r>
      <w:r>
        <w:rPr>
          <w:rFonts w:hint="eastAsia" w:ascii="Times New Roman" w:hAnsi="Times New Roman" w:cs="Times New Roman"/>
          <w:b w:val="0"/>
          <w:bCs w:val="0"/>
          <w:color w:val="FF0000"/>
          <w:sz w:val="24"/>
          <w:szCs w:val="24"/>
          <w:lang w:val="en-US" w:eastAsia="zh-CN"/>
        </w:rPr>
        <w:t>6日~</w:t>
      </w:r>
      <w:r>
        <w:rPr>
          <w:rFonts w:hint="eastAsia" w:ascii="Times New Roman" w:hAnsi="Times New Roman" w:eastAsia="宋体" w:cs="Times New Roman"/>
          <w:b w:val="0"/>
          <w:bCs w:val="0"/>
          <w:color w:val="FF0000"/>
          <w:sz w:val="24"/>
          <w:szCs w:val="24"/>
          <w:lang w:val="en-US" w:eastAsia="zh-CN"/>
        </w:rPr>
        <w:t>7</w:t>
      </w:r>
      <w:r>
        <w:rPr>
          <w:rFonts w:hint="default" w:ascii="Times New Roman" w:hAnsi="Times New Roman" w:eastAsia="宋体" w:cs="Times New Roman"/>
          <w:b w:val="0"/>
          <w:bCs w:val="0"/>
          <w:color w:val="FF0000"/>
          <w:sz w:val="24"/>
          <w:szCs w:val="24"/>
          <w:lang w:val="en-US" w:eastAsia="zh-CN"/>
        </w:rPr>
        <w:t>日</w:t>
      </w:r>
      <w:r>
        <w:rPr>
          <w:rFonts w:hint="eastAsia" w:ascii="Times New Roman" w:hAnsi="Times New Roman" w:eastAsia="宋体" w:cs="Times New Roman"/>
          <w:b w:val="0"/>
          <w:bCs w:val="0"/>
          <w:color w:val="FF0000"/>
          <w:sz w:val="24"/>
          <w:szCs w:val="24"/>
          <w:lang w:val="en-US" w:eastAsia="zh-CN"/>
        </w:rPr>
        <w:t>、5月30日</w:t>
      </w:r>
      <w:r>
        <w:rPr>
          <w:rFonts w:hint="default" w:ascii="Times New Roman" w:hAnsi="Times New Roman" w:eastAsia="宋体" w:cs="Times New Roman"/>
          <w:b w:val="0"/>
          <w:bCs w:val="0"/>
          <w:color w:val="FF0000"/>
          <w:sz w:val="24"/>
          <w:szCs w:val="24"/>
          <w:lang w:val="en-US" w:eastAsia="zh-CN"/>
        </w:rPr>
        <w:t>~</w:t>
      </w:r>
      <w:r>
        <w:rPr>
          <w:rFonts w:hint="eastAsia" w:ascii="Times New Roman" w:hAnsi="Times New Roman" w:eastAsia="宋体" w:cs="Times New Roman"/>
          <w:b w:val="0"/>
          <w:bCs w:val="0"/>
          <w:color w:val="FF0000"/>
          <w:sz w:val="24"/>
          <w:szCs w:val="24"/>
          <w:lang w:val="en-US" w:eastAsia="zh-CN"/>
        </w:rPr>
        <w:t>31</w:t>
      </w:r>
      <w:r>
        <w:rPr>
          <w:rFonts w:hint="default" w:ascii="Times New Roman" w:hAnsi="Times New Roman" w:eastAsia="宋体" w:cs="Times New Roman"/>
          <w:b w:val="0"/>
          <w:bCs w:val="0"/>
          <w:color w:val="FF0000"/>
          <w:sz w:val="24"/>
          <w:szCs w:val="24"/>
          <w:lang w:val="en-US" w:eastAsia="zh-CN"/>
        </w:rPr>
        <w:t>日</w:t>
      </w:r>
      <w:r>
        <w:rPr>
          <w:rFonts w:hint="default" w:ascii="Times New Roman" w:hAnsi="Times New Roman" w:eastAsia="宋体" w:cs="Times New Roman"/>
          <w:b w:val="0"/>
          <w:bCs w:val="0"/>
          <w:color w:val="auto"/>
          <w:sz w:val="24"/>
          <w:szCs w:val="24"/>
          <w:lang w:val="en-US" w:eastAsia="zh-CN"/>
        </w:rPr>
        <w:t>进行了现场验收监测，监测报告编号：HNJY25T111701。依据相关技术规范编制、本项目监测报告编制完成了本项目竣工环境保护验收监测报告。验收检测期间，生产设施能够达到产能9</w:t>
      </w:r>
      <w:r>
        <w:rPr>
          <w:rFonts w:hint="eastAsia" w:ascii="Times New Roman" w:hAnsi="Times New Roman" w:cs="Times New Roman"/>
          <w:b w:val="0"/>
          <w:bCs w:val="0"/>
          <w:color w:val="auto"/>
          <w:sz w:val="24"/>
          <w:szCs w:val="24"/>
          <w:lang w:val="en-US" w:eastAsia="zh-CN"/>
        </w:rPr>
        <w:t>0</w:t>
      </w:r>
      <w:r>
        <w:rPr>
          <w:rFonts w:hint="default" w:ascii="Times New Roman" w:hAnsi="Times New Roman" w:eastAsia="宋体" w:cs="Times New Roman"/>
          <w:b w:val="0"/>
          <w:bCs w:val="0"/>
          <w:color w:val="auto"/>
          <w:sz w:val="24"/>
          <w:szCs w:val="24"/>
          <w:lang w:val="en-US" w:eastAsia="zh-CN"/>
        </w:rPr>
        <w:t>%以上。</w:t>
      </w:r>
    </w:p>
    <w:p w14:paraId="2542A8C1">
      <w:pPr>
        <w:spacing w:line="540" w:lineRule="exact"/>
        <w:ind w:firstLine="480"/>
        <w:rPr>
          <w:rFonts w:cs="Times New Roman"/>
          <w:color w:val="auto"/>
        </w:rPr>
      </w:pPr>
      <w:r>
        <w:rPr>
          <w:rFonts w:hint="eastAsia" w:cs="Times New Roman"/>
          <w:color w:val="auto"/>
        </w:rPr>
        <w:t>本次验收项目概况见下表。</w:t>
      </w:r>
    </w:p>
    <w:p w14:paraId="39E2EA7D">
      <w:pPr>
        <w:spacing w:line="540" w:lineRule="exact"/>
        <w:ind w:firstLine="480"/>
        <w:rPr>
          <w:rFonts w:hint="eastAsia" w:hAnsi="黑体" w:eastAsia="黑体"/>
          <w:color w:val="auto"/>
        </w:rPr>
      </w:pPr>
      <w:r>
        <w:rPr>
          <w:rFonts w:hAnsi="黑体" w:eastAsia="黑体"/>
          <w:color w:val="auto"/>
        </w:rPr>
        <w:t>表</w:t>
      </w:r>
      <w:r>
        <w:rPr>
          <w:rFonts w:hint="eastAsia" w:hAnsi="黑体" w:eastAsia="黑体"/>
          <w:color w:val="auto"/>
        </w:rPr>
        <w:t>1</w:t>
      </w:r>
      <w:r>
        <w:rPr>
          <w:rFonts w:hAnsi="黑体" w:eastAsia="黑体"/>
          <w:color w:val="auto"/>
        </w:rPr>
        <w:t xml:space="preserve">-2   </w:t>
      </w:r>
      <w:r>
        <w:rPr>
          <w:rFonts w:hint="eastAsia" w:hAnsi="黑体" w:eastAsia="黑体"/>
          <w:color w:val="auto"/>
        </w:rPr>
        <w:t xml:space="preserve">  </w:t>
      </w:r>
      <w:r>
        <w:rPr>
          <w:rFonts w:hAnsi="黑体" w:eastAsia="黑体"/>
          <w:color w:val="auto"/>
        </w:rPr>
        <w:t xml:space="preserve">       </w:t>
      </w:r>
      <w:r>
        <w:rPr>
          <w:rFonts w:hint="eastAsia" w:hAnsi="黑体" w:eastAsia="黑体"/>
          <w:color w:val="auto"/>
          <w:lang w:val="en-US" w:eastAsia="zh-CN"/>
        </w:rPr>
        <w:t xml:space="preserve">       </w:t>
      </w:r>
      <w:r>
        <w:rPr>
          <w:rFonts w:hAnsi="黑体" w:eastAsia="黑体"/>
          <w:color w:val="auto"/>
        </w:rPr>
        <w:t xml:space="preserve">           </w:t>
      </w:r>
      <w:r>
        <w:rPr>
          <w:rFonts w:hint="eastAsia" w:hAnsi="黑体" w:eastAsia="黑体"/>
          <w:color w:val="auto"/>
          <w:lang w:val="en-US" w:eastAsia="zh-CN"/>
        </w:rPr>
        <w:t xml:space="preserve">     </w:t>
      </w:r>
      <w:r>
        <w:rPr>
          <w:rFonts w:hAnsi="黑体" w:eastAsia="黑体"/>
          <w:color w:val="auto"/>
        </w:rPr>
        <w:t xml:space="preserve">         项目概况一览表</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674"/>
        <w:gridCol w:w="2444"/>
        <w:gridCol w:w="6068"/>
      </w:tblGrid>
      <w:tr w14:paraId="5B224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blHeader/>
          <w:jc w:val="center"/>
        </w:trPr>
        <w:tc>
          <w:tcPr>
            <w:tcW w:w="674" w:type="dxa"/>
            <w:vAlign w:val="center"/>
          </w:tcPr>
          <w:p w14:paraId="41E50979">
            <w:pPr>
              <w:spacing w:line="240" w:lineRule="auto"/>
              <w:ind w:firstLine="0" w:firstLineChars="0"/>
              <w:jc w:val="center"/>
              <w:rPr>
                <w:b/>
                <w:bCs/>
                <w:color w:val="auto"/>
                <w:sz w:val="21"/>
                <w:szCs w:val="21"/>
              </w:rPr>
            </w:pPr>
            <w:r>
              <w:rPr>
                <w:b/>
                <w:bCs/>
                <w:color w:val="auto"/>
                <w:sz w:val="21"/>
                <w:szCs w:val="21"/>
              </w:rPr>
              <w:t>序号</w:t>
            </w:r>
          </w:p>
        </w:tc>
        <w:tc>
          <w:tcPr>
            <w:tcW w:w="2444" w:type="dxa"/>
            <w:vAlign w:val="center"/>
          </w:tcPr>
          <w:p w14:paraId="0AA94D16">
            <w:pPr>
              <w:spacing w:line="240" w:lineRule="auto"/>
              <w:ind w:firstLine="0" w:firstLineChars="0"/>
              <w:jc w:val="center"/>
              <w:rPr>
                <w:b/>
                <w:bCs/>
                <w:color w:val="auto"/>
                <w:sz w:val="21"/>
                <w:szCs w:val="21"/>
              </w:rPr>
            </w:pPr>
            <w:r>
              <w:rPr>
                <w:rFonts w:hint="eastAsia"/>
                <w:b/>
                <w:bCs/>
                <w:color w:val="auto"/>
                <w:sz w:val="21"/>
                <w:szCs w:val="21"/>
              </w:rPr>
              <w:t>项目</w:t>
            </w:r>
          </w:p>
        </w:tc>
        <w:tc>
          <w:tcPr>
            <w:tcW w:w="6068" w:type="dxa"/>
            <w:vAlign w:val="center"/>
          </w:tcPr>
          <w:p w14:paraId="22DEDF1E">
            <w:pPr>
              <w:spacing w:line="240" w:lineRule="auto"/>
              <w:ind w:firstLine="0" w:firstLineChars="0"/>
              <w:jc w:val="center"/>
              <w:rPr>
                <w:b/>
                <w:bCs/>
                <w:color w:val="auto"/>
                <w:sz w:val="21"/>
                <w:szCs w:val="21"/>
              </w:rPr>
            </w:pPr>
            <w:r>
              <w:rPr>
                <w:b/>
                <w:bCs/>
                <w:color w:val="auto"/>
                <w:sz w:val="21"/>
                <w:szCs w:val="21"/>
              </w:rPr>
              <w:t>内容</w:t>
            </w:r>
          </w:p>
        </w:tc>
      </w:tr>
      <w:tr w14:paraId="59334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674" w:type="dxa"/>
            <w:vAlign w:val="center"/>
          </w:tcPr>
          <w:p w14:paraId="59CD0F8F">
            <w:pPr>
              <w:spacing w:line="240" w:lineRule="auto"/>
              <w:ind w:firstLine="0" w:firstLineChars="0"/>
              <w:jc w:val="center"/>
              <w:rPr>
                <w:color w:val="auto"/>
                <w:sz w:val="21"/>
                <w:szCs w:val="21"/>
              </w:rPr>
            </w:pPr>
            <w:r>
              <w:rPr>
                <w:color w:val="auto"/>
                <w:sz w:val="21"/>
                <w:szCs w:val="21"/>
              </w:rPr>
              <w:t>1</w:t>
            </w:r>
          </w:p>
        </w:tc>
        <w:tc>
          <w:tcPr>
            <w:tcW w:w="2444" w:type="dxa"/>
            <w:vAlign w:val="center"/>
          </w:tcPr>
          <w:p w14:paraId="2ADAD5C4">
            <w:pPr>
              <w:spacing w:line="240" w:lineRule="auto"/>
              <w:ind w:firstLine="0" w:firstLineChars="0"/>
              <w:jc w:val="center"/>
              <w:rPr>
                <w:color w:val="auto"/>
                <w:sz w:val="21"/>
                <w:szCs w:val="21"/>
              </w:rPr>
            </w:pPr>
            <w:r>
              <w:rPr>
                <w:color w:val="auto"/>
                <w:sz w:val="21"/>
                <w:szCs w:val="21"/>
              </w:rPr>
              <w:t>项目名称</w:t>
            </w:r>
          </w:p>
        </w:tc>
        <w:tc>
          <w:tcPr>
            <w:tcW w:w="6068" w:type="dxa"/>
            <w:vAlign w:val="center"/>
          </w:tcPr>
          <w:p w14:paraId="28477A80">
            <w:pPr>
              <w:spacing w:line="240" w:lineRule="auto"/>
              <w:ind w:firstLine="0" w:firstLineChars="0"/>
              <w:jc w:val="center"/>
              <w:rPr>
                <w:rFonts w:hint="eastAsia" w:eastAsia="宋体"/>
                <w:color w:val="auto"/>
                <w:sz w:val="21"/>
                <w:szCs w:val="21"/>
                <w:lang w:eastAsia="zh-CN"/>
              </w:rPr>
            </w:pPr>
            <w:r>
              <w:rPr>
                <w:rFonts w:hint="eastAsia"/>
                <w:color w:val="auto"/>
                <w:sz w:val="21"/>
                <w:szCs w:val="21"/>
                <w:lang w:eastAsia="zh-CN"/>
              </w:rPr>
              <w:t>年产2万吨五金件、2万吨汽车配件、800吨钢带、5亿只电池钢壳项目（</w:t>
            </w:r>
            <w:r>
              <w:rPr>
                <w:rFonts w:hint="eastAsia"/>
                <w:color w:val="auto"/>
                <w:sz w:val="21"/>
                <w:szCs w:val="21"/>
                <w:lang w:val="en-US" w:eastAsia="zh-CN"/>
              </w:rPr>
              <w:t>一期</w:t>
            </w:r>
            <w:r>
              <w:rPr>
                <w:rFonts w:hint="eastAsia"/>
                <w:color w:val="auto"/>
                <w:sz w:val="21"/>
                <w:szCs w:val="21"/>
                <w:lang w:eastAsia="zh-CN"/>
              </w:rPr>
              <w:t>）</w:t>
            </w:r>
          </w:p>
        </w:tc>
      </w:tr>
      <w:tr w14:paraId="2B139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674" w:type="dxa"/>
            <w:vAlign w:val="center"/>
          </w:tcPr>
          <w:p w14:paraId="1E2F7A8B">
            <w:pPr>
              <w:spacing w:line="240" w:lineRule="auto"/>
              <w:ind w:firstLine="0" w:firstLineChars="0"/>
              <w:jc w:val="center"/>
              <w:rPr>
                <w:color w:val="auto"/>
                <w:sz w:val="21"/>
                <w:szCs w:val="21"/>
              </w:rPr>
            </w:pPr>
            <w:r>
              <w:rPr>
                <w:color w:val="auto"/>
                <w:sz w:val="21"/>
                <w:szCs w:val="21"/>
              </w:rPr>
              <w:t>2</w:t>
            </w:r>
          </w:p>
        </w:tc>
        <w:tc>
          <w:tcPr>
            <w:tcW w:w="2444" w:type="dxa"/>
            <w:vAlign w:val="center"/>
          </w:tcPr>
          <w:p w14:paraId="1E7CF074">
            <w:pPr>
              <w:spacing w:line="240" w:lineRule="auto"/>
              <w:ind w:firstLine="0" w:firstLineChars="0"/>
              <w:jc w:val="center"/>
              <w:rPr>
                <w:color w:val="auto"/>
                <w:sz w:val="21"/>
                <w:szCs w:val="21"/>
              </w:rPr>
            </w:pPr>
            <w:r>
              <w:rPr>
                <w:color w:val="auto"/>
                <w:sz w:val="21"/>
                <w:szCs w:val="21"/>
              </w:rPr>
              <w:t>建设单位</w:t>
            </w:r>
          </w:p>
        </w:tc>
        <w:tc>
          <w:tcPr>
            <w:tcW w:w="6068" w:type="dxa"/>
            <w:vAlign w:val="center"/>
          </w:tcPr>
          <w:p w14:paraId="3A215055">
            <w:pPr>
              <w:spacing w:line="240" w:lineRule="auto"/>
              <w:ind w:firstLine="0" w:firstLineChars="0"/>
              <w:jc w:val="center"/>
              <w:rPr>
                <w:color w:val="auto"/>
                <w:sz w:val="21"/>
                <w:szCs w:val="21"/>
              </w:rPr>
            </w:pPr>
            <w:r>
              <w:rPr>
                <w:rFonts w:hint="eastAsia"/>
                <w:color w:val="auto"/>
                <w:sz w:val="21"/>
                <w:szCs w:val="21"/>
              </w:rPr>
              <w:t>新乡市万宝科技有限公司</w:t>
            </w:r>
          </w:p>
        </w:tc>
      </w:tr>
      <w:tr w14:paraId="7DCCC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674" w:type="dxa"/>
            <w:vAlign w:val="center"/>
          </w:tcPr>
          <w:p w14:paraId="2A91024C">
            <w:pPr>
              <w:spacing w:line="240" w:lineRule="auto"/>
              <w:ind w:firstLine="0" w:firstLineChars="0"/>
              <w:jc w:val="center"/>
              <w:rPr>
                <w:color w:val="auto"/>
                <w:sz w:val="21"/>
                <w:szCs w:val="21"/>
              </w:rPr>
            </w:pPr>
            <w:r>
              <w:rPr>
                <w:color w:val="auto"/>
                <w:sz w:val="21"/>
                <w:szCs w:val="21"/>
              </w:rPr>
              <w:t>3</w:t>
            </w:r>
          </w:p>
        </w:tc>
        <w:tc>
          <w:tcPr>
            <w:tcW w:w="2444" w:type="dxa"/>
            <w:vAlign w:val="center"/>
          </w:tcPr>
          <w:p w14:paraId="1811D4AF">
            <w:pPr>
              <w:spacing w:line="240" w:lineRule="auto"/>
              <w:ind w:firstLine="0" w:firstLineChars="0"/>
              <w:jc w:val="center"/>
              <w:rPr>
                <w:color w:val="auto"/>
                <w:sz w:val="21"/>
                <w:szCs w:val="21"/>
              </w:rPr>
            </w:pPr>
            <w:r>
              <w:rPr>
                <w:color w:val="auto"/>
                <w:sz w:val="21"/>
                <w:szCs w:val="21"/>
              </w:rPr>
              <w:t>项目性质</w:t>
            </w:r>
          </w:p>
        </w:tc>
        <w:tc>
          <w:tcPr>
            <w:tcW w:w="6068" w:type="dxa"/>
            <w:vAlign w:val="center"/>
          </w:tcPr>
          <w:p w14:paraId="7F190474">
            <w:pPr>
              <w:spacing w:line="240" w:lineRule="auto"/>
              <w:ind w:firstLine="0" w:firstLineChars="0"/>
              <w:jc w:val="center"/>
              <w:rPr>
                <w:rFonts w:hint="eastAsia" w:eastAsia="宋体"/>
                <w:color w:val="auto"/>
                <w:sz w:val="21"/>
                <w:szCs w:val="21"/>
                <w:lang w:eastAsia="zh-CN"/>
              </w:rPr>
            </w:pPr>
            <w:r>
              <w:rPr>
                <w:rFonts w:hint="eastAsia"/>
                <w:color w:val="auto"/>
                <w:sz w:val="21"/>
                <w:szCs w:val="21"/>
                <w:lang w:val="en-US" w:eastAsia="zh-CN"/>
              </w:rPr>
              <w:t>扩建</w:t>
            </w:r>
          </w:p>
        </w:tc>
      </w:tr>
      <w:tr w14:paraId="2D571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674" w:type="dxa"/>
            <w:vAlign w:val="center"/>
          </w:tcPr>
          <w:p w14:paraId="35508AD7">
            <w:pPr>
              <w:spacing w:line="240" w:lineRule="auto"/>
              <w:ind w:firstLine="0" w:firstLineChars="0"/>
              <w:jc w:val="center"/>
              <w:rPr>
                <w:color w:val="auto"/>
                <w:sz w:val="21"/>
                <w:szCs w:val="21"/>
              </w:rPr>
            </w:pPr>
            <w:r>
              <w:rPr>
                <w:color w:val="auto"/>
                <w:sz w:val="21"/>
                <w:szCs w:val="21"/>
              </w:rPr>
              <w:t>4</w:t>
            </w:r>
          </w:p>
        </w:tc>
        <w:tc>
          <w:tcPr>
            <w:tcW w:w="2444" w:type="dxa"/>
            <w:vAlign w:val="center"/>
          </w:tcPr>
          <w:p w14:paraId="6DEB1D50">
            <w:pPr>
              <w:spacing w:line="240" w:lineRule="auto"/>
              <w:ind w:firstLine="0" w:firstLineChars="0"/>
              <w:jc w:val="center"/>
              <w:rPr>
                <w:color w:val="auto"/>
                <w:sz w:val="21"/>
                <w:szCs w:val="21"/>
              </w:rPr>
            </w:pPr>
            <w:r>
              <w:rPr>
                <w:color w:val="auto"/>
                <w:sz w:val="21"/>
                <w:szCs w:val="21"/>
              </w:rPr>
              <w:t>建设地点</w:t>
            </w:r>
          </w:p>
        </w:tc>
        <w:tc>
          <w:tcPr>
            <w:tcW w:w="6068" w:type="dxa"/>
            <w:vAlign w:val="center"/>
          </w:tcPr>
          <w:p w14:paraId="6FD083A4">
            <w:pPr>
              <w:spacing w:line="240" w:lineRule="auto"/>
              <w:ind w:firstLine="0" w:firstLineChars="0"/>
              <w:jc w:val="center"/>
              <w:rPr>
                <w:color w:val="auto"/>
                <w:sz w:val="21"/>
                <w:szCs w:val="21"/>
              </w:rPr>
            </w:pPr>
            <w:r>
              <w:rPr>
                <w:color w:val="auto"/>
                <w:sz w:val="21"/>
                <w:szCs w:val="21"/>
              </w:rPr>
              <w:t>新乡市凤泉区大块镇陈堡村丰源路5号</w:t>
            </w:r>
          </w:p>
        </w:tc>
      </w:tr>
      <w:tr w14:paraId="278B6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674" w:type="dxa"/>
            <w:vAlign w:val="center"/>
          </w:tcPr>
          <w:p w14:paraId="00C9B22C">
            <w:pPr>
              <w:spacing w:line="240" w:lineRule="auto"/>
              <w:ind w:firstLine="0" w:firstLineChars="0"/>
              <w:jc w:val="center"/>
              <w:rPr>
                <w:color w:val="auto"/>
                <w:sz w:val="21"/>
                <w:szCs w:val="21"/>
              </w:rPr>
            </w:pPr>
            <w:r>
              <w:rPr>
                <w:color w:val="auto"/>
                <w:sz w:val="21"/>
                <w:szCs w:val="21"/>
              </w:rPr>
              <w:t>5</w:t>
            </w:r>
          </w:p>
        </w:tc>
        <w:tc>
          <w:tcPr>
            <w:tcW w:w="2444" w:type="dxa"/>
            <w:vAlign w:val="center"/>
          </w:tcPr>
          <w:p w14:paraId="54C4E3B3">
            <w:pPr>
              <w:spacing w:line="240" w:lineRule="auto"/>
              <w:ind w:firstLine="0" w:firstLineChars="0"/>
              <w:jc w:val="center"/>
              <w:rPr>
                <w:color w:val="auto"/>
                <w:sz w:val="21"/>
                <w:szCs w:val="21"/>
              </w:rPr>
            </w:pPr>
            <w:r>
              <w:rPr>
                <w:color w:val="auto"/>
                <w:sz w:val="21"/>
                <w:szCs w:val="21"/>
              </w:rPr>
              <w:t>环评报告</w:t>
            </w:r>
            <w:r>
              <w:rPr>
                <w:rFonts w:hint="eastAsia"/>
                <w:color w:val="auto"/>
                <w:sz w:val="21"/>
                <w:szCs w:val="21"/>
              </w:rPr>
              <w:t>书</w:t>
            </w:r>
            <w:r>
              <w:rPr>
                <w:color w:val="auto"/>
                <w:sz w:val="21"/>
                <w:szCs w:val="21"/>
              </w:rPr>
              <w:t>编制单位及完成时间</w:t>
            </w:r>
          </w:p>
        </w:tc>
        <w:tc>
          <w:tcPr>
            <w:tcW w:w="6068" w:type="dxa"/>
            <w:vAlign w:val="center"/>
          </w:tcPr>
          <w:p w14:paraId="20604031">
            <w:pPr>
              <w:spacing w:line="240" w:lineRule="auto"/>
              <w:ind w:firstLine="0" w:firstLineChars="0"/>
              <w:jc w:val="center"/>
              <w:rPr>
                <w:color w:val="auto"/>
                <w:sz w:val="21"/>
                <w:szCs w:val="21"/>
              </w:rPr>
            </w:pPr>
            <w:r>
              <w:rPr>
                <w:rFonts w:hint="eastAsia"/>
                <w:color w:val="auto"/>
                <w:sz w:val="21"/>
                <w:szCs w:val="21"/>
                <w:lang w:eastAsia="zh-CN"/>
              </w:rPr>
              <w:t>新乡市世青环境技术有限公司</w:t>
            </w:r>
            <w:r>
              <w:rPr>
                <w:rFonts w:hint="eastAsia"/>
                <w:color w:val="auto"/>
                <w:sz w:val="21"/>
                <w:szCs w:val="21"/>
              </w:rPr>
              <w:t>；</w:t>
            </w:r>
            <w:r>
              <w:rPr>
                <w:color w:val="auto"/>
                <w:sz w:val="21"/>
                <w:szCs w:val="21"/>
              </w:rPr>
              <w:t>20</w:t>
            </w:r>
            <w:r>
              <w:rPr>
                <w:rFonts w:hint="eastAsia"/>
                <w:color w:val="auto"/>
                <w:sz w:val="21"/>
                <w:szCs w:val="21"/>
                <w:lang w:val="en-US" w:eastAsia="zh-CN"/>
              </w:rPr>
              <w:t>25</w:t>
            </w:r>
            <w:r>
              <w:rPr>
                <w:color w:val="auto"/>
                <w:sz w:val="21"/>
                <w:szCs w:val="21"/>
              </w:rPr>
              <w:t>年</w:t>
            </w:r>
            <w:r>
              <w:rPr>
                <w:rFonts w:hint="eastAsia"/>
                <w:color w:val="auto"/>
                <w:sz w:val="21"/>
                <w:szCs w:val="21"/>
                <w:lang w:val="en-US" w:eastAsia="zh-CN"/>
              </w:rPr>
              <w:t>7</w:t>
            </w:r>
            <w:r>
              <w:rPr>
                <w:color w:val="auto"/>
                <w:sz w:val="21"/>
                <w:szCs w:val="21"/>
              </w:rPr>
              <w:t>月</w:t>
            </w:r>
          </w:p>
        </w:tc>
      </w:tr>
      <w:tr w14:paraId="0C05E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674" w:type="dxa"/>
            <w:vAlign w:val="center"/>
          </w:tcPr>
          <w:p w14:paraId="16DFCA6A">
            <w:pPr>
              <w:spacing w:line="240" w:lineRule="auto"/>
              <w:ind w:firstLine="0" w:firstLineChars="0"/>
              <w:jc w:val="center"/>
              <w:rPr>
                <w:color w:val="auto"/>
                <w:sz w:val="21"/>
                <w:szCs w:val="21"/>
              </w:rPr>
            </w:pPr>
            <w:r>
              <w:rPr>
                <w:color w:val="auto"/>
                <w:sz w:val="21"/>
                <w:szCs w:val="21"/>
              </w:rPr>
              <w:t>6</w:t>
            </w:r>
          </w:p>
        </w:tc>
        <w:tc>
          <w:tcPr>
            <w:tcW w:w="2444" w:type="dxa"/>
            <w:vAlign w:val="center"/>
          </w:tcPr>
          <w:p w14:paraId="2264FA9C">
            <w:pPr>
              <w:spacing w:line="240" w:lineRule="auto"/>
              <w:ind w:firstLine="0" w:firstLineChars="0"/>
              <w:jc w:val="center"/>
              <w:rPr>
                <w:color w:val="auto"/>
                <w:sz w:val="21"/>
                <w:szCs w:val="21"/>
              </w:rPr>
            </w:pPr>
            <w:r>
              <w:rPr>
                <w:rFonts w:hint="eastAsia"/>
                <w:color w:val="auto"/>
                <w:sz w:val="21"/>
                <w:szCs w:val="21"/>
              </w:rPr>
              <w:t>验收时间、内容</w:t>
            </w:r>
          </w:p>
        </w:tc>
        <w:tc>
          <w:tcPr>
            <w:tcW w:w="6068" w:type="dxa"/>
            <w:vAlign w:val="center"/>
          </w:tcPr>
          <w:p w14:paraId="66D4C7E8">
            <w:pPr>
              <w:spacing w:line="240" w:lineRule="auto"/>
              <w:ind w:firstLine="0" w:firstLineChars="0"/>
              <w:jc w:val="center"/>
              <w:rPr>
                <w:color w:val="auto"/>
                <w:sz w:val="21"/>
                <w:szCs w:val="21"/>
              </w:rPr>
            </w:pPr>
            <w:r>
              <w:rPr>
                <w:rFonts w:hint="eastAsia"/>
                <w:color w:val="auto"/>
                <w:sz w:val="21"/>
                <w:szCs w:val="21"/>
              </w:rPr>
              <w:t>本项目分期验收，本次验收内容为一期</w:t>
            </w:r>
            <w:r>
              <w:rPr>
                <w:rFonts w:hint="eastAsia"/>
                <w:color w:val="auto"/>
                <w:sz w:val="21"/>
                <w:szCs w:val="21"/>
                <w:lang w:val="en-US" w:eastAsia="zh-CN"/>
              </w:rPr>
              <w:t>部分</w:t>
            </w:r>
            <w:r>
              <w:rPr>
                <w:rFonts w:hint="eastAsia"/>
                <w:color w:val="auto"/>
                <w:sz w:val="21"/>
                <w:szCs w:val="21"/>
              </w:rPr>
              <w:t>：年产</w:t>
            </w:r>
            <w:r>
              <w:rPr>
                <w:rFonts w:hint="eastAsia"/>
                <w:color w:val="auto"/>
                <w:sz w:val="21"/>
                <w:szCs w:val="21"/>
                <w:lang w:val="en-US" w:eastAsia="zh-CN"/>
              </w:rPr>
              <w:t>8000</w:t>
            </w:r>
            <w:r>
              <w:rPr>
                <w:rFonts w:hint="eastAsia"/>
                <w:color w:val="auto"/>
                <w:sz w:val="21"/>
                <w:szCs w:val="21"/>
              </w:rPr>
              <w:t>吨汽车配件、</w:t>
            </w:r>
            <w:r>
              <w:rPr>
                <w:rFonts w:hint="eastAsia"/>
                <w:color w:val="auto"/>
                <w:sz w:val="21"/>
                <w:szCs w:val="21"/>
                <w:lang w:val="en-US" w:eastAsia="zh-CN"/>
              </w:rPr>
              <w:t>58</w:t>
            </w:r>
            <w:r>
              <w:rPr>
                <w:rFonts w:hint="eastAsia"/>
                <w:color w:val="auto"/>
                <w:sz w:val="21"/>
                <w:szCs w:val="21"/>
              </w:rPr>
              <w:t>0吨钢带</w:t>
            </w:r>
          </w:p>
        </w:tc>
      </w:tr>
      <w:tr w14:paraId="0CB7B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674" w:type="dxa"/>
            <w:vAlign w:val="center"/>
          </w:tcPr>
          <w:p w14:paraId="2A1DC310">
            <w:pPr>
              <w:spacing w:line="240" w:lineRule="auto"/>
              <w:ind w:firstLine="0" w:firstLineChars="0"/>
              <w:jc w:val="center"/>
              <w:rPr>
                <w:color w:val="auto"/>
                <w:sz w:val="21"/>
                <w:szCs w:val="21"/>
              </w:rPr>
            </w:pPr>
            <w:r>
              <w:rPr>
                <w:color w:val="auto"/>
                <w:sz w:val="21"/>
                <w:szCs w:val="21"/>
              </w:rPr>
              <w:t>7</w:t>
            </w:r>
          </w:p>
        </w:tc>
        <w:tc>
          <w:tcPr>
            <w:tcW w:w="2444" w:type="dxa"/>
            <w:vAlign w:val="center"/>
          </w:tcPr>
          <w:p w14:paraId="52D114DA">
            <w:pPr>
              <w:spacing w:line="240" w:lineRule="auto"/>
              <w:ind w:firstLine="0" w:firstLineChars="0"/>
              <w:jc w:val="center"/>
              <w:rPr>
                <w:color w:val="auto"/>
                <w:sz w:val="21"/>
                <w:szCs w:val="21"/>
              </w:rPr>
            </w:pPr>
            <w:r>
              <w:rPr>
                <w:color w:val="auto"/>
                <w:sz w:val="21"/>
                <w:szCs w:val="21"/>
              </w:rPr>
              <w:t>环评审批部门、时间及文号</w:t>
            </w:r>
          </w:p>
        </w:tc>
        <w:tc>
          <w:tcPr>
            <w:tcW w:w="6068" w:type="dxa"/>
            <w:vAlign w:val="center"/>
          </w:tcPr>
          <w:p w14:paraId="3A19D972">
            <w:pPr>
              <w:spacing w:line="240" w:lineRule="auto"/>
              <w:ind w:firstLine="0" w:firstLineChars="0"/>
              <w:jc w:val="center"/>
              <w:rPr>
                <w:rFonts w:hint="eastAsia" w:eastAsia="宋体"/>
                <w:color w:val="auto"/>
                <w:sz w:val="21"/>
                <w:szCs w:val="21"/>
                <w:lang w:eastAsia="zh-CN"/>
              </w:rPr>
            </w:pPr>
            <w:r>
              <w:rPr>
                <w:rFonts w:hint="eastAsia"/>
                <w:color w:val="auto"/>
                <w:sz w:val="21"/>
                <w:szCs w:val="21"/>
              </w:rPr>
              <w:t>新乡市生态环境局；202</w:t>
            </w:r>
            <w:r>
              <w:rPr>
                <w:rFonts w:hint="eastAsia"/>
                <w:color w:val="auto"/>
                <w:sz w:val="21"/>
                <w:szCs w:val="21"/>
                <w:lang w:val="en-US" w:eastAsia="zh-CN"/>
              </w:rPr>
              <w:t>5</w:t>
            </w:r>
            <w:r>
              <w:rPr>
                <w:rFonts w:hint="eastAsia"/>
                <w:color w:val="auto"/>
                <w:sz w:val="21"/>
                <w:szCs w:val="21"/>
              </w:rPr>
              <w:t>年</w:t>
            </w:r>
            <w:r>
              <w:rPr>
                <w:rFonts w:hint="eastAsia"/>
                <w:color w:val="auto"/>
                <w:sz w:val="21"/>
                <w:szCs w:val="21"/>
                <w:lang w:val="en-US" w:eastAsia="zh-CN"/>
              </w:rPr>
              <w:t>8</w:t>
            </w:r>
            <w:r>
              <w:rPr>
                <w:rFonts w:hint="eastAsia"/>
                <w:color w:val="auto"/>
                <w:sz w:val="21"/>
                <w:szCs w:val="21"/>
              </w:rPr>
              <w:t>月</w:t>
            </w:r>
            <w:r>
              <w:rPr>
                <w:rFonts w:hint="eastAsia"/>
                <w:color w:val="auto"/>
                <w:sz w:val="21"/>
                <w:szCs w:val="21"/>
                <w:lang w:val="en-US" w:eastAsia="zh-CN"/>
              </w:rPr>
              <w:t>7</w:t>
            </w:r>
            <w:r>
              <w:rPr>
                <w:rFonts w:hint="eastAsia"/>
                <w:color w:val="auto"/>
                <w:sz w:val="21"/>
                <w:szCs w:val="21"/>
              </w:rPr>
              <w:t>日；</w:t>
            </w:r>
            <w:r>
              <w:rPr>
                <w:rFonts w:hint="eastAsia"/>
                <w:color w:val="auto"/>
                <w:sz w:val="21"/>
                <w:szCs w:val="21"/>
                <w:lang w:eastAsia="zh-CN"/>
              </w:rPr>
              <w:t>新环书审[2025]6号</w:t>
            </w:r>
          </w:p>
        </w:tc>
      </w:tr>
      <w:tr w14:paraId="7379C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674" w:type="dxa"/>
            <w:vAlign w:val="center"/>
          </w:tcPr>
          <w:p w14:paraId="7E729FFE">
            <w:pPr>
              <w:spacing w:line="240" w:lineRule="auto"/>
              <w:ind w:firstLine="0" w:firstLineChars="0"/>
              <w:jc w:val="center"/>
              <w:rPr>
                <w:color w:val="auto"/>
                <w:sz w:val="21"/>
                <w:szCs w:val="21"/>
              </w:rPr>
            </w:pPr>
            <w:r>
              <w:rPr>
                <w:color w:val="auto"/>
                <w:sz w:val="21"/>
                <w:szCs w:val="21"/>
              </w:rPr>
              <w:t>8</w:t>
            </w:r>
          </w:p>
        </w:tc>
        <w:tc>
          <w:tcPr>
            <w:tcW w:w="2444" w:type="dxa"/>
            <w:vAlign w:val="center"/>
          </w:tcPr>
          <w:p w14:paraId="0E70CD2F">
            <w:pPr>
              <w:spacing w:line="240" w:lineRule="auto"/>
              <w:ind w:firstLine="0" w:firstLineChars="0"/>
              <w:jc w:val="center"/>
              <w:rPr>
                <w:color w:val="auto"/>
                <w:sz w:val="21"/>
                <w:szCs w:val="21"/>
              </w:rPr>
            </w:pPr>
            <w:r>
              <w:rPr>
                <w:color w:val="auto"/>
                <w:sz w:val="21"/>
                <w:szCs w:val="21"/>
              </w:rPr>
              <w:t>项目开工日期</w:t>
            </w:r>
          </w:p>
        </w:tc>
        <w:tc>
          <w:tcPr>
            <w:tcW w:w="6068" w:type="dxa"/>
            <w:vAlign w:val="center"/>
          </w:tcPr>
          <w:p w14:paraId="187C4BEF">
            <w:pPr>
              <w:spacing w:line="240" w:lineRule="auto"/>
              <w:ind w:firstLine="0" w:firstLineChars="0"/>
              <w:jc w:val="center"/>
              <w:rPr>
                <w:color w:val="auto"/>
                <w:sz w:val="21"/>
                <w:szCs w:val="21"/>
              </w:rPr>
            </w:pPr>
            <w:r>
              <w:rPr>
                <w:color w:val="auto"/>
                <w:sz w:val="21"/>
                <w:szCs w:val="21"/>
              </w:rPr>
              <w:t>202</w:t>
            </w:r>
            <w:r>
              <w:rPr>
                <w:rFonts w:hint="eastAsia"/>
                <w:color w:val="auto"/>
                <w:sz w:val="21"/>
                <w:szCs w:val="21"/>
                <w:lang w:val="en-US" w:eastAsia="zh-CN"/>
              </w:rPr>
              <w:t>5</w:t>
            </w:r>
            <w:r>
              <w:rPr>
                <w:rFonts w:hint="eastAsia"/>
                <w:color w:val="auto"/>
                <w:sz w:val="21"/>
                <w:szCs w:val="21"/>
              </w:rPr>
              <w:t>年</w:t>
            </w:r>
            <w:r>
              <w:rPr>
                <w:rFonts w:hint="eastAsia"/>
                <w:color w:val="auto"/>
                <w:sz w:val="21"/>
                <w:szCs w:val="21"/>
                <w:lang w:val="en-US" w:eastAsia="zh-CN"/>
              </w:rPr>
              <w:t>9</w:t>
            </w:r>
            <w:r>
              <w:rPr>
                <w:rFonts w:hint="eastAsia"/>
                <w:color w:val="auto"/>
                <w:sz w:val="21"/>
                <w:szCs w:val="21"/>
              </w:rPr>
              <w:t>月1日</w:t>
            </w:r>
          </w:p>
        </w:tc>
      </w:tr>
      <w:tr w14:paraId="2AEA6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674" w:type="dxa"/>
            <w:vAlign w:val="center"/>
          </w:tcPr>
          <w:p w14:paraId="2262C5D8">
            <w:pPr>
              <w:spacing w:line="240" w:lineRule="auto"/>
              <w:ind w:firstLine="0" w:firstLineChars="0"/>
              <w:jc w:val="center"/>
              <w:rPr>
                <w:color w:val="auto"/>
                <w:sz w:val="21"/>
                <w:szCs w:val="21"/>
              </w:rPr>
            </w:pPr>
            <w:r>
              <w:rPr>
                <w:color w:val="auto"/>
                <w:sz w:val="21"/>
                <w:szCs w:val="21"/>
              </w:rPr>
              <w:t>9</w:t>
            </w:r>
          </w:p>
        </w:tc>
        <w:tc>
          <w:tcPr>
            <w:tcW w:w="2444" w:type="dxa"/>
            <w:vAlign w:val="center"/>
          </w:tcPr>
          <w:p w14:paraId="424CB095">
            <w:pPr>
              <w:spacing w:line="240" w:lineRule="auto"/>
              <w:ind w:firstLine="0" w:firstLineChars="0"/>
              <w:jc w:val="center"/>
              <w:rPr>
                <w:color w:val="auto"/>
                <w:sz w:val="21"/>
                <w:szCs w:val="21"/>
              </w:rPr>
            </w:pPr>
            <w:r>
              <w:rPr>
                <w:color w:val="auto"/>
                <w:sz w:val="21"/>
                <w:szCs w:val="21"/>
              </w:rPr>
              <w:t>项目竣工日期</w:t>
            </w:r>
          </w:p>
        </w:tc>
        <w:tc>
          <w:tcPr>
            <w:tcW w:w="6068" w:type="dxa"/>
            <w:vAlign w:val="center"/>
          </w:tcPr>
          <w:p w14:paraId="131F180D">
            <w:pPr>
              <w:spacing w:line="240" w:lineRule="auto"/>
              <w:ind w:firstLine="0" w:firstLineChars="0"/>
              <w:jc w:val="center"/>
              <w:rPr>
                <w:color w:val="auto"/>
                <w:sz w:val="21"/>
                <w:szCs w:val="21"/>
              </w:rPr>
            </w:pPr>
            <w:r>
              <w:rPr>
                <w:color w:val="auto"/>
                <w:sz w:val="21"/>
                <w:szCs w:val="21"/>
              </w:rPr>
              <w:t>202</w:t>
            </w:r>
            <w:r>
              <w:rPr>
                <w:rFonts w:hint="eastAsia"/>
                <w:color w:val="auto"/>
                <w:sz w:val="21"/>
                <w:szCs w:val="21"/>
                <w:lang w:val="en-US" w:eastAsia="zh-CN"/>
              </w:rPr>
              <w:t>6</w:t>
            </w:r>
            <w:r>
              <w:rPr>
                <w:rFonts w:hint="eastAsia"/>
                <w:color w:val="auto"/>
                <w:sz w:val="21"/>
                <w:szCs w:val="21"/>
              </w:rPr>
              <w:t>年</w:t>
            </w:r>
            <w:r>
              <w:rPr>
                <w:rFonts w:hint="eastAsia"/>
                <w:color w:val="auto"/>
                <w:sz w:val="21"/>
                <w:szCs w:val="21"/>
                <w:lang w:val="en-US" w:eastAsia="zh-CN"/>
              </w:rPr>
              <w:t>2</w:t>
            </w:r>
            <w:r>
              <w:rPr>
                <w:rFonts w:hint="eastAsia"/>
                <w:color w:val="auto"/>
                <w:sz w:val="21"/>
                <w:szCs w:val="21"/>
              </w:rPr>
              <w:t>月</w:t>
            </w:r>
            <w:r>
              <w:rPr>
                <w:rFonts w:hint="eastAsia"/>
                <w:color w:val="auto"/>
                <w:sz w:val="21"/>
                <w:szCs w:val="21"/>
                <w:lang w:val="en-US" w:eastAsia="zh-CN"/>
              </w:rPr>
              <w:t>28</w:t>
            </w:r>
            <w:r>
              <w:rPr>
                <w:rFonts w:hint="eastAsia"/>
                <w:color w:val="auto"/>
                <w:sz w:val="21"/>
                <w:szCs w:val="21"/>
              </w:rPr>
              <w:t>日</w:t>
            </w:r>
          </w:p>
        </w:tc>
      </w:tr>
      <w:tr w14:paraId="6A310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674" w:type="dxa"/>
            <w:vAlign w:val="center"/>
          </w:tcPr>
          <w:p w14:paraId="7EB07F3A">
            <w:pPr>
              <w:spacing w:line="240" w:lineRule="auto"/>
              <w:ind w:firstLine="0" w:firstLineChars="0"/>
              <w:jc w:val="center"/>
              <w:rPr>
                <w:color w:val="auto"/>
                <w:sz w:val="21"/>
                <w:szCs w:val="21"/>
              </w:rPr>
            </w:pPr>
            <w:r>
              <w:rPr>
                <w:color w:val="auto"/>
                <w:sz w:val="21"/>
                <w:szCs w:val="21"/>
              </w:rPr>
              <w:t>10</w:t>
            </w:r>
          </w:p>
        </w:tc>
        <w:tc>
          <w:tcPr>
            <w:tcW w:w="2444" w:type="dxa"/>
            <w:vAlign w:val="center"/>
          </w:tcPr>
          <w:p w14:paraId="540DD16D">
            <w:pPr>
              <w:spacing w:line="240" w:lineRule="auto"/>
              <w:ind w:firstLine="0" w:firstLineChars="0"/>
              <w:jc w:val="center"/>
              <w:rPr>
                <w:color w:val="auto"/>
                <w:sz w:val="21"/>
                <w:szCs w:val="21"/>
              </w:rPr>
            </w:pPr>
            <w:r>
              <w:rPr>
                <w:color w:val="auto"/>
                <w:sz w:val="21"/>
                <w:szCs w:val="21"/>
              </w:rPr>
              <w:t>调试时间</w:t>
            </w:r>
          </w:p>
        </w:tc>
        <w:tc>
          <w:tcPr>
            <w:tcW w:w="6068" w:type="dxa"/>
            <w:vAlign w:val="center"/>
          </w:tcPr>
          <w:p w14:paraId="31281818">
            <w:pPr>
              <w:spacing w:line="240" w:lineRule="auto"/>
              <w:ind w:firstLine="0" w:firstLineChars="0"/>
              <w:jc w:val="center"/>
              <w:rPr>
                <w:color w:val="auto"/>
                <w:sz w:val="21"/>
                <w:szCs w:val="21"/>
              </w:rPr>
            </w:pPr>
            <w:r>
              <w:rPr>
                <w:color w:val="auto"/>
                <w:sz w:val="21"/>
                <w:szCs w:val="21"/>
              </w:rPr>
              <w:t>202</w:t>
            </w:r>
            <w:r>
              <w:rPr>
                <w:rFonts w:hint="eastAsia"/>
                <w:color w:val="auto"/>
                <w:sz w:val="21"/>
                <w:szCs w:val="21"/>
                <w:lang w:val="en-US" w:eastAsia="zh-CN"/>
              </w:rPr>
              <w:t>6</w:t>
            </w:r>
            <w:r>
              <w:rPr>
                <w:color w:val="auto"/>
                <w:sz w:val="21"/>
                <w:szCs w:val="21"/>
              </w:rPr>
              <w:t>年</w:t>
            </w:r>
            <w:r>
              <w:rPr>
                <w:rFonts w:hint="eastAsia"/>
                <w:color w:val="auto"/>
                <w:sz w:val="21"/>
                <w:szCs w:val="21"/>
                <w:lang w:val="en-US" w:eastAsia="zh-CN"/>
              </w:rPr>
              <w:t>3</w:t>
            </w:r>
            <w:r>
              <w:rPr>
                <w:color w:val="auto"/>
                <w:sz w:val="21"/>
                <w:szCs w:val="21"/>
              </w:rPr>
              <w:t>月</w:t>
            </w:r>
            <w:r>
              <w:rPr>
                <w:rFonts w:hint="eastAsia"/>
                <w:color w:val="auto"/>
                <w:sz w:val="21"/>
                <w:szCs w:val="21"/>
              </w:rPr>
              <w:t>1</w:t>
            </w:r>
            <w:r>
              <w:rPr>
                <w:rFonts w:hint="eastAsia"/>
                <w:color w:val="auto"/>
                <w:sz w:val="21"/>
                <w:szCs w:val="21"/>
                <w:lang w:val="en-US" w:eastAsia="zh-CN"/>
              </w:rPr>
              <w:t>6</w:t>
            </w:r>
            <w:r>
              <w:rPr>
                <w:color w:val="auto"/>
                <w:sz w:val="21"/>
                <w:szCs w:val="21"/>
              </w:rPr>
              <w:t>日~</w:t>
            </w:r>
            <w:r>
              <w:rPr>
                <w:rFonts w:hint="eastAsia"/>
                <w:color w:val="auto"/>
                <w:sz w:val="21"/>
                <w:szCs w:val="21"/>
              </w:rPr>
              <w:t>202</w:t>
            </w:r>
            <w:r>
              <w:rPr>
                <w:rFonts w:hint="eastAsia"/>
                <w:color w:val="auto"/>
                <w:sz w:val="21"/>
                <w:szCs w:val="21"/>
                <w:lang w:val="en-US" w:eastAsia="zh-CN"/>
              </w:rPr>
              <w:t>6</w:t>
            </w:r>
            <w:r>
              <w:rPr>
                <w:rFonts w:hint="eastAsia"/>
                <w:color w:val="auto"/>
                <w:sz w:val="21"/>
                <w:szCs w:val="21"/>
              </w:rPr>
              <w:t>年6</w:t>
            </w:r>
            <w:r>
              <w:rPr>
                <w:color w:val="auto"/>
                <w:sz w:val="21"/>
                <w:szCs w:val="21"/>
              </w:rPr>
              <w:t>月</w:t>
            </w:r>
            <w:r>
              <w:rPr>
                <w:rFonts w:hint="eastAsia"/>
                <w:color w:val="auto"/>
                <w:sz w:val="21"/>
                <w:szCs w:val="21"/>
              </w:rPr>
              <w:t>5</w:t>
            </w:r>
            <w:r>
              <w:rPr>
                <w:color w:val="auto"/>
                <w:sz w:val="21"/>
                <w:szCs w:val="21"/>
              </w:rPr>
              <w:t>日</w:t>
            </w:r>
          </w:p>
        </w:tc>
      </w:tr>
      <w:tr w14:paraId="315B1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674" w:type="dxa"/>
            <w:vAlign w:val="center"/>
          </w:tcPr>
          <w:p w14:paraId="76ED9326">
            <w:pPr>
              <w:spacing w:line="240" w:lineRule="auto"/>
              <w:ind w:firstLine="0" w:firstLineChars="0"/>
              <w:jc w:val="center"/>
              <w:rPr>
                <w:color w:val="auto"/>
                <w:sz w:val="21"/>
                <w:szCs w:val="21"/>
              </w:rPr>
            </w:pPr>
            <w:r>
              <w:rPr>
                <w:color w:val="auto"/>
                <w:sz w:val="21"/>
                <w:szCs w:val="21"/>
              </w:rPr>
              <w:t>11</w:t>
            </w:r>
          </w:p>
        </w:tc>
        <w:tc>
          <w:tcPr>
            <w:tcW w:w="2444" w:type="dxa"/>
            <w:vAlign w:val="center"/>
          </w:tcPr>
          <w:p w14:paraId="13331E08">
            <w:pPr>
              <w:spacing w:line="240" w:lineRule="auto"/>
              <w:ind w:firstLine="0" w:firstLineChars="0"/>
              <w:jc w:val="center"/>
              <w:rPr>
                <w:color w:val="auto"/>
                <w:sz w:val="21"/>
                <w:szCs w:val="21"/>
              </w:rPr>
            </w:pPr>
            <w:r>
              <w:rPr>
                <w:color w:val="auto"/>
                <w:sz w:val="21"/>
                <w:szCs w:val="21"/>
              </w:rPr>
              <w:t>申领排污许可证</w:t>
            </w:r>
            <w:r>
              <w:rPr>
                <w:rFonts w:hint="eastAsia"/>
                <w:color w:val="auto"/>
                <w:sz w:val="21"/>
                <w:szCs w:val="21"/>
              </w:rPr>
              <w:t>情况</w:t>
            </w:r>
          </w:p>
        </w:tc>
        <w:tc>
          <w:tcPr>
            <w:tcW w:w="6068" w:type="dxa"/>
            <w:vAlign w:val="center"/>
          </w:tcPr>
          <w:p w14:paraId="2B13CAE3">
            <w:pPr>
              <w:spacing w:line="240" w:lineRule="auto"/>
              <w:ind w:firstLine="0" w:firstLineChars="0"/>
              <w:jc w:val="center"/>
              <w:rPr>
                <w:rFonts w:hint="eastAsia" w:eastAsia="宋体"/>
                <w:color w:val="auto"/>
                <w:sz w:val="21"/>
                <w:szCs w:val="21"/>
                <w:lang w:eastAsia="zh-CN"/>
              </w:rPr>
            </w:pPr>
            <w:r>
              <w:rPr>
                <w:rFonts w:hint="eastAsia"/>
                <w:color w:val="auto"/>
                <w:sz w:val="21"/>
                <w:szCs w:val="21"/>
                <w:lang w:val="en-US" w:eastAsia="zh-CN"/>
              </w:rPr>
              <w:t>发证</w:t>
            </w:r>
            <w:r>
              <w:rPr>
                <w:rFonts w:hint="eastAsia"/>
                <w:color w:val="auto"/>
                <w:sz w:val="21"/>
                <w:szCs w:val="21"/>
              </w:rPr>
              <w:t>日期：202</w:t>
            </w:r>
            <w:r>
              <w:rPr>
                <w:rFonts w:hint="eastAsia"/>
                <w:color w:val="auto"/>
                <w:sz w:val="21"/>
                <w:szCs w:val="21"/>
                <w:lang w:val="en-US" w:eastAsia="zh-CN"/>
              </w:rPr>
              <w:t>6</w:t>
            </w:r>
            <w:r>
              <w:rPr>
                <w:rFonts w:hint="eastAsia"/>
                <w:color w:val="auto"/>
                <w:sz w:val="21"/>
                <w:szCs w:val="21"/>
              </w:rPr>
              <w:t>年3月13日；证书编号：</w:t>
            </w:r>
            <w:r>
              <w:rPr>
                <w:rFonts w:hint="eastAsia"/>
                <w:bCs/>
                <w:color w:val="auto"/>
                <w:sz w:val="21"/>
                <w:szCs w:val="21"/>
                <w:lang w:eastAsia="zh-CN"/>
              </w:rPr>
              <w:t>91410704MA9GB3524A001V</w:t>
            </w:r>
            <w:r>
              <w:rPr>
                <w:rFonts w:hint="eastAsia"/>
                <w:color w:val="auto"/>
                <w:sz w:val="21"/>
                <w:szCs w:val="21"/>
              </w:rPr>
              <w:t>、有效期：202</w:t>
            </w:r>
            <w:r>
              <w:rPr>
                <w:rFonts w:hint="eastAsia"/>
                <w:color w:val="auto"/>
                <w:sz w:val="21"/>
                <w:szCs w:val="21"/>
                <w:lang w:val="en-US" w:eastAsia="zh-CN"/>
              </w:rPr>
              <w:t>6</w:t>
            </w:r>
            <w:r>
              <w:rPr>
                <w:rFonts w:hint="eastAsia"/>
                <w:color w:val="auto"/>
                <w:sz w:val="21"/>
                <w:szCs w:val="21"/>
              </w:rPr>
              <w:t>年3月13日~</w:t>
            </w:r>
            <w:r>
              <w:rPr>
                <w:color w:val="auto"/>
                <w:sz w:val="21"/>
                <w:szCs w:val="21"/>
              </w:rPr>
              <w:t>20</w:t>
            </w:r>
            <w:r>
              <w:rPr>
                <w:rFonts w:hint="eastAsia"/>
                <w:color w:val="auto"/>
                <w:sz w:val="21"/>
                <w:szCs w:val="21"/>
                <w:lang w:val="en-US" w:eastAsia="zh-CN"/>
              </w:rPr>
              <w:t>31</w:t>
            </w:r>
            <w:r>
              <w:rPr>
                <w:rFonts w:hint="eastAsia"/>
                <w:color w:val="auto"/>
                <w:sz w:val="21"/>
                <w:szCs w:val="21"/>
              </w:rPr>
              <w:t>年3月12日</w:t>
            </w:r>
            <w:r>
              <w:rPr>
                <w:rFonts w:hint="eastAsia"/>
                <w:color w:val="auto"/>
                <w:sz w:val="21"/>
                <w:szCs w:val="21"/>
                <w:lang w:eastAsia="zh-CN"/>
              </w:rPr>
              <w:t>（</w:t>
            </w:r>
            <w:r>
              <w:rPr>
                <w:rFonts w:hint="eastAsia"/>
                <w:color w:val="auto"/>
                <w:sz w:val="21"/>
                <w:szCs w:val="21"/>
                <w:lang w:val="en-US" w:eastAsia="zh-CN"/>
              </w:rPr>
              <w:t>最新版</w:t>
            </w:r>
            <w:r>
              <w:rPr>
                <w:rFonts w:hint="eastAsia"/>
                <w:color w:val="auto"/>
                <w:sz w:val="21"/>
                <w:szCs w:val="21"/>
                <w:lang w:eastAsia="zh-CN"/>
              </w:rPr>
              <w:t>）</w:t>
            </w:r>
          </w:p>
        </w:tc>
      </w:tr>
      <w:tr w14:paraId="201F7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674" w:type="dxa"/>
            <w:vAlign w:val="center"/>
          </w:tcPr>
          <w:p w14:paraId="0FE21A02">
            <w:pPr>
              <w:spacing w:line="240" w:lineRule="auto"/>
              <w:ind w:firstLine="0" w:firstLineChars="0"/>
              <w:jc w:val="center"/>
              <w:rPr>
                <w:color w:val="auto"/>
                <w:sz w:val="21"/>
                <w:szCs w:val="21"/>
              </w:rPr>
            </w:pPr>
            <w:r>
              <w:rPr>
                <w:color w:val="auto"/>
                <w:sz w:val="21"/>
                <w:szCs w:val="21"/>
              </w:rPr>
              <w:t>12</w:t>
            </w:r>
          </w:p>
        </w:tc>
        <w:tc>
          <w:tcPr>
            <w:tcW w:w="2444" w:type="dxa"/>
            <w:vAlign w:val="center"/>
          </w:tcPr>
          <w:p w14:paraId="700C8575">
            <w:pPr>
              <w:spacing w:line="240" w:lineRule="auto"/>
              <w:ind w:firstLine="0" w:firstLineChars="0"/>
              <w:jc w:val="center"/>
              <w:rPr>
                <w:color w:val="auto"/>
                <w:sz w:val="21"/>
                <w:szCs w:val="21"/>
              </w:rPr>
            </w:pPr>
            <w:r>
              <w:rPr>
                <w:color w:val="auto"/>
                <w:sz w:val="21"/>
                <w:szCs w:val="21"/>
              </w:rPr>
              <w:t>验收工作组织与启动时间</w:t>
            </w:r>
          </w:p>
        </w:tc>
        <w:tc>
          <w:tcPr>
            <w:tcW w:w="6068" w:type="dxa"/>
            <w:vAlign w:val="center"/>
          </w:tcPr>
          <w:p w14:paraId="6D66E9AD">
            <w:pPr>
              <w:spacing w:line="240" w:lineRule="auto"/>
              <w:ind w:firstLine="0" w:firstLineChars="0"/>
              <w:jc w:val="center"/>
              <w:rPr>
                <w:color w:val="auto"/>
                <w:sz w:val="21"/>
                <w:szCs w:val="21"/>
                <w:highlight w:val="yellow"/>
              </w:rPr>
            </w:pPr>
            <w:r>
              <w:rPr>
                <w:color w:val="auto"/>
                <w:sz w:val="21"/>
                <w:szCs w:val="21"/>
              </w:rPr>
              <w:t>建设单位组织验收</w:t>
            </w:r>
            <w:r>
              <w:rPr>
                <w:rFonts w:hint="eastAsia"/>
                <w:color w:val="auto"/>
                <w:sz w:val="21"/>
                <w:szCs w:val="21"/>
              </w:rPr>
              <w:t>与</w:t>
            </w:r>
            <w:r>
              <w:rPr>
                <w:color w:val="auto"/>
                <w:sz w:val="21"/>
                <w:szCs w:val="21"/>
              </w:rPr>
              <w:t>启动时间：20</w:t>
            </w:r>
            <w:r>
              <w:rPr>
                <w:rFonts w:hint="eastAsia"/>
                <w:color w:val="auto"/>
                <w:sz w:val="21"/>
                <w:szCs w:val="21"/>
              </w:rPr>
              <w:t>2</w:t>
            </w:r>
            <w:r>
              <w:rPr>
                <w:rFonts w:hint="eastAsia"/>
                <w:color w:val="auto"/>
                <w:sz w:val="21"/>
                <w:szCs w:val="21"/>
                <w:lang w:val="en-US" w:eastAsia="zh-CN"/>
              </w:rPr>
              <w:t>6</w:t>
            </w:r>
            <w:r>
              <w:rPr>
                <w:color w:val="auto"/>
                <w:sz w:val="21"/>
                <w:szCs w:val="21"/>
              </w:rPr>
              <w:t>年</w:t>
            </w:r>
            <w:r>
              <w:rPr>
                <w:rFonts w:hint="eastAsia"/>
                <w:color w:val="auto"/>
                <w:sz w:val="21"/>
                <w:szCs w:val="21"/>
              </w:rPr>
              <w:t>4</w:t>
            </w:r>
            <w:r>
              <w:rPr>
                <w:color w:val="auto"/>
                <w:sz w:val="21"/>
                <w:szCs w:val="21"/>
              </w:rPr>
              <w:t>月1日</w:t>
            </w:r>
          </w:p>
        </w:tc>
      </w:tr>
      <w:tr w14:paraId="79F4D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674" w:type="dxa"/>
            <w:vAlign w:val="center"/>
          </w:tcPr>
          <w:p w14:paraId="72AF1705">
            <w:pPr>
              <w:spacing w:line="240" w:lineRule="auto"/>
              <w:ind w:firstLine="0" w:firstLineChars="0"/>
              <w:jc w:val="center"/>
              <w:rPr>
                <w:color w:val="auto"/>
                <w:sz w:val="21"/>
                <w:szCs w:val="21"/>
              </w:rPr>
            </w:pPr>
            <w:r>
              <w:rPr>
                <w:color w:val="auto"/>
                <w:sz w:val="21"/>
                <w:szCs w:val="21"/>
              </w:rPr>
              <w:t>13</w:t>
            </w:r>
          </w:p>
        </w:tc>
        <w:tc>
          <w:tcPr>
            <w:tcW w:w="2444" w:type="dxa"/>
            <w:vAlign w:val="center"/>
          </w:tcPr>
          <w:p w14:paraId="42131A0B">
            <w:pPr>
              <w:spacing w:line="240" w:lineRule="auto"/>
              <w:ind w:firstLine="0" w:firstLineChars="0"/>
              <w:jc w:val="center"/>
              <w:rPr>
                <w:color w:val="auto"/>
                <w:sz w:val="21"/>
                <w:szCs w:val="21"/>
              </w:rPr>
            </w:pPr>
            <w:r>
              <w:rPr>
                <w:color w:val="auto"/>
                <w:sz w:val="21"/>
                <w:szCs w:val="21"/>
              </w:rPr>
              <w:t>是否编制了验收监测方案及时间</w:t>
            </w:r>
          </w:p>
        </w:tc>
        <w:tc>
          <w:tcPr>
            <w:tcW w:w="6068" w:type="dxa"/>
            <w:vAlign w:val="center"/>
          </w:tcPr>
          <w:p w14:paraId="71DB0251">
            <w:pPr>
              <w:spacing w:line="240" w:lineRule="auto"/>
              <w:ind w:firstLine="0" w:firstLineChars="0"/>
              <w:jc w:val="center"/>
              <w:rPr>
                <w:color w:val="auto"/>
                <w:sz w:val="21"/>
                <w:szCs w:val="21"/>
                <w:highlight w:val="yellow"/>
              </w:rPr>
            </w:pPr>
            <w:r>
              <w:rPr>
                <w:rFonts w:hint="eastAsia"/>
                <w:color w:val="auto"/>
                <w:sz w:val="21"/>
                <w:szCs w:val="21"/>
              </w:rPr>
              <w:t>是；202</w:t>
            </w:r>
            <w:r>
              <w:rPr>
                <w:rFonts w:hint="eastAsia"/>
                <w:color w:val="auto"/>
                <w:sz w:val="21"/>
                <w:szCs w:val="21"/>
                <w:lang w:val="en-US" w:eastAsia="zh-CN"/>
              </w:rPr>
              <w:t>6</w:t>
            </w:r>
            <w:r>
              <w:rPr>
                <w:rFonts w:hint="eastAsia"/>
                <w:color w:val="auto"/>
                <w:sz w:val="21"/>
                <w:szCs w:val="21"/>
              </w:rPr>
              <w:t>年</w:t>
            </w:r>
            <w:r>
              <w:rPr>
                <w:rFonts w:hint="eastAsia"/>
                <w:color w:val="auto"/>
                <w:sz w:val="21"/>
                <w:szCs w:val="21"/>
                <w:lang w:val="en-US" w:eastAsia="zh-CN"/>
              </w:rPr>
              <w:t>4</w:t>
            </w:r>
            <w:r>
              <w:rPr>
                <w:rFonts w:hint="eastAsia"/>
                <w:color w:val="auto"/>
                <w:sz w:val="21"/>
                <w:szCs w:val="21"/>
              </w:rPr>
              <w:t>月</w:t>
            </w:r>
            <w:r>
              <w:rPr>
                <w:rFonts w:hint="eastAsia"/>
                <w:color w:val="auto"/>
                <w:sz w:val="21"/>
                <w:szCs w:val="21"/>
                <w:lang w:val="en-US" w:eastAsia="zh-CN"/>
              </w:rPr>
              <w:t>1</w:t>
            </w:r>
            <w:r>
              <w:rPr>
                <w:rFonts w:hint="eastAsia"/>
                <w:color w:val="auto"/>
                <w:sz w:val="21"/>
                <w:szCs w:val="21"/>
              </w:rPr>
              <w:t>日</w:t>
            </w:r>
          </w:p>
        </w:tc>
      </w:tr>
      <w:tr w14:paraId="70DB8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674" w:type="dxa"/>
            <w:vAlign w:val="center"/>
          </w:tcPr>
          <w:p w14:paraId="40746BFE">
            <w:pPr>
              <w:spacing w:line="240" w:lineRule="auto"/>
              <w:ind w:firstLine="0" w:firstLineChars="0"/>
              <w:jc w:val="center"/>
              <w:rPr>
                <w:color w:val="auto"/>
                <w:sz w:val="21"/>
                <w:szCs w:val="21"/>
              </w:rPr>
            </w:pPr>
            <w:r>
              <w:rPr>
                <w:color w:val="auto"/>
                <w:sz w:val="21"/>
                <w:szCs w:val="21"/>
              </w:rPr>
              <w:t>14</w:t>
            </w:r>
          </w:p>
        </w:tc>
        <w:tc>
          <w:tcPr>
            <w:tcW w:w="2444" w:type="dxa"/>
            <w:vAlign w:val="center"/>
          </w:tcPr>
          <w:p w14:paraId="4D5FD134">
            <w:pPr>
              <w:spacing w:line="240" w:lineRule="auto"/>
              <w:ind w:firstLine="0" w:firstLineChars="0"/>
              <w:jc w:val="center"/>
              <w:rPr>
                <w:color w:val="auto"/>
                <w:sz w:val="21"/>
                <w:szCs w:val="21"/>
              </w:rPr>
            </w:pPr>
            <w:r>
              <w:rPr>
                <w:color w:val="auto"/>
                <w:sz w:val="21"/>
                <w:szCs w:val="21"/>
              </w:rPr>
              <w:t>现场验收监测时间</w:t>
            </w:r>
          </w:p>
        </w:tc>
        <w:tc>
          <w:tcPr>
            <w:tcW w:w="6068" w:type="dxa"/>
            <w:vAlign w:val="center"/>
          </w:tcPr>
          <w:p w14:paraId="6FE9A13D">
            <w:pPr>
              <w:spacing w:line="240" w:lineRule="auto"/>
              <w:ind w:firstLine="0" w:firstLineChars="0"/>
              <w:jc w:val="center"/>
              <w:rPr>
                <w:color w:val="auto"/>
                <w:sz w:val="21"/>
                <w:szCs w:val="21"/>
              </w:rPr>
            </w:pPr>
            <w:r>
              <w:rPr>
                <w:rFonts w:hint="default"/>
                <w:color w:val="auto"/>
                <w:sz w:val="21"/>
                <w:szCs w:val="21"/>
                <w:lang w:val="en-US" w:eastAsia="zh-CN"/>
              </w:rPr>
              <w:t>202</w:t>
            </w:r>
            <w:r>
              <w:rPr>
                <w:rFonts w:hint="eastAsia"/>
                <w:color w:val="auto"/>
                <w:sz w:val="21"/>
                <w:szCs w:val="21"/>
                <w:lang w:val="en-US" w:eastAsia="zh-CN"/>
              </w:rPr>
              <w:t>6</w:t>
            </w:r>
            <w:r>
              <w:rPr>
                <w:rFonts w:hint="default"/>
                <w:color w:val="auto"/>
                <w:sz w:val="21"/>
                <w:szCs w:val="21"/>
                <w:lang w:val="en-US" w:eastAsia="zh-CN"/>
              </w:rPr>
              <w:t>年</w:t>
            </w:r>
            <w:r>
              <w:rPr>
                <w:rFonts w:hint="eastAsia"/>
                <w:color w:val="auto"/>
                <w:sz w:val="21"/>
                <w:szCs w:val="21"/>
                <w:lang w:val="en-US" w:eastAsia="zh-CN"/>
              </w:rPr>
              <w:t>5</w:t>
            </w:r>
            <w:r>
              <w:rPr>
                <w:rFonts w:hint="default"/>
                <w:color w:val="auto"/>
                <w:sz w:val="21"/>
                <w:szCs w:val="21"/>
                <w:lang w:val="en-US" w:eastAsia="zh-CN"/>
              </w:rPr>
              <w:t>月</w:t>
            </w:r>
            <w:r>
              <w:rPr>
                <w:rFonts w:hint="eastAsia"/>
                <w:color w:val="auto"/>
                <w:sz w:val="21"/>
                <w:szCs w:val="21"/>
                <w:lang w:val="en-US" w:eastAsia="zh-CN"/>
              </w:rPr>
              <w:t>7</w:t>
            </w:r>
            <w:r>
              <w:rPr>
                <w:rFonts w:hint="default"/>
                <w:color w:val="auto"/>
                <w:sz w:val="21"/>
                <w:szCs w:val="21"/>
                <w:lang w:val="en-US" w:eastAsia="zh-CN"/>
              </w:rPr>
              <w:t>日</w:t>
            </w:r>
            <w:r>
              <w:rPr>
                <w:rFonts w:hint="eastAsia"/>
                <w:color w:val="auto"/>
                <w:sz w:val="21"/>
                <w:szCs w:val="21"/>
                <w:lang w:val="en-US" w:eastAsia="zh-CN"/>
              </w:rPr>
              <w:t>、5月30日</w:t>
            </w:r>
            <w:r>
              <w:rPr>
                <w:rFonts w:hint="default"/>
                <w:color w:val="auto"/>
                <w:sz w:val="21"/>
                <w:szCs w:val="21"/>
                <w:lang w:val="en-US" w:eastAsia="zh-CN"/>
              </w:rPr>
              <w:t>~</w:t>
            </w:r>
            <w:r>
              <w:rPr>
                <w:rFonts w:hint="eastAsia"/>
                <w:color w:val="auto"/>
                <w:sz w:val="21"/>
                <w:szCs w:val="21"/>
                <w:lang w:val="en-US" w:eastAsia="zh-CN"/>
              </w:rPr>
              <w:t>31</w:t>
            </w:r>
            <w:r>
              <w:rPr>
                <w:rFonts w:hint="default"/>
                <w:color w:val="auto"/>
                <w:sz w:val="21"/>
                <w:szCs w:val="21"/>
                <w:lang w:val="en-US" w:eastAsia="zh-CN"/>
              </w:rPr>
              <w:t>日</w:t>
            </w:r>
          </w:p>
        </w:tc>
      </w:tr>
      <w:tr w14:paraId="0617E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674" w:type="dxa"/>
            <w:vAlign w:val="center"/>
          </w:tcPr>
          <w:p w14:paraId="3143A724">
            <w:pPr>
              <w:spacing w:line="240" w:lineRule="auto"/>
              <w:ind w:firstLine="0" w:firstLineChars="0"/>
              <w:jc w:val="center"/>
              <w:rPr>
                <w:color w:val="auto"/>
                <w:sz w:val="21"/>
                <w:szCs w:val="21"/>
              </w:rPr>
            </w:pPr>
            <w:r>
              <w:rPr>
                <w:rFonts w:hint="eastAsia"/>
                <w:color w:val="auto"/>
                <w:sz w:val="21"/>
                <w:szCs w:val="21"/>
              </w:rPr>
              <w:t>1</w:t>
            </w:r>
            <w:r>
              <w:rPr>
                <w:color w:val="auto"/>
                <w:sz w:val="21"/>
                <w:szCs w:val="21"/>
              </w:rPr>
              <w:t>5</w:t>
            </w:r>
          </w:p>
        </w:tc>
        <w:tc>
          <w:tcPr>
            <w:tcW w:w="2444" w:type="dxa"/>
            <w:vAlign w:val="center"/>
          </w:tcPr>
          <w:p w14:paraId="0B6FE62D">
            <w:pPr>
              <w:spacing w:line="240" w:lineRule="auto"/>
              <w:ind w:firstLine="0" w:firstLineChars="0"/>
              <w:jc w:val="center"/>
              <w:rPr>
                <w:color w:val="auto"/>
                <w:sz w:val="21"/>
                <w:szCs w:val="21"/>
              </w:rPr>
            </w:pPr>
            <w:r>
              <w:rPr>
                <w:color w:val="auto"/>
                <w:sz w:val="21"/>
                <w:szCs w:val="21"/>
              </w:rPr>
              <w:t>验收范围</w:t>
            </w:r>
          </w:p>
        </w:tc>
        <w:tc>
          <w:tcPr>
            <w:tcW w:w="6068" w:type="dxa"/>
            <w:vAlign w:val="center"/>
          </w:tcPr>
          <w:p w14:paraId="5EDDF482">
            <w:pPr>
              <w:spacing w:line="240" w:lineRule="auto"/>
              <w:ind w:firstLine="0" w:firstLineChars="0"/>
              <w:rPr>
                <w:color w:val="auto"/>
                <w:sz w:val="21"/>
                <w:szCs w:val="21"/>
              </w:rPr>
            </w:pPr>
            <w:r>
              <w:rPr>
                <w:color w:val="auto"/>
                <w:sz w:val="21"/>
                <w:szCs w:val="21"/>
              </w:rPr>
              <w:t>1、建设项目从立项到生产各阶段执行环境保护法律、法规、规章制度情况；</w:t>
            </w:r>
          </w:p>
          <w:p w14:paraId="03FA06DB">
            <w:pPr>
              <w:spacing w:line="240" w:lineRule="auto"/>
              <w:ind w:firstLine="0" w:firstLineChars="0"/>
              <w:rPr>
                <w:color w:val="auto"/>
                <w:sz w:val="21"/>
                <w:szCs w:val="21"/>
              </w:rPr>
            </w:pPr>
            <w:r>
              <w:rPr>
                <w:color w:val="auto"/>
                <w:sz w:val="21"/>
                <w:szCs w:val="21"/>
              </w:rPr>
              <w:t>2、项目实际建设规模情况；</w:t>
            </w:r>
          </w:p>
          <w:p w14:paraId="29E5BB0E">
            <w:pPr>
              <w:spacing w:line="240" w:lineRule="auto"/>
              <w:ind w:firstLine="0" w:firstLineChars="0"/>
              <w:rPr>
                <w:color w:val="auto"/>
                <w:sz w:val="21"/>
                <w:szCs w:val="21"/>
              </w:rPr>
            </w:pPr>
            <w:r>
              <w:rPr>
                <w:color w:val="auto"/>
                <w:sz w:val="21"/>
                <w:szCs w:val="21"/>
              </w:rPr>
              <w:t>3、项目厂址位置情况；</w:t>
            </w:r>
          </w:p>
          <w:p w14:paraId="6D45C41A">
            <w:pPr>
              <w:spacing w:line="240" w:lineRule="auto"/>
              <w:ind w:firstLine="0" w:firstLineChars="0"/>
              <w:rPr>
                <w:color w:val="auto"/>
                <w:sz w:val="21"/>
                <w:szCs w:val="21"/>
              </w:rPr>
            </w:pPr>
            <w:r>
              <w:rPr>
                <w:color w:val="auto"/>
                <w:sz w:val="21"/>
                <w:szCs w:val="21"/>
              </w:rPr>
              <w:t>4、项目平面布置情况；</w:t>
            </w:r>
          </w:p>
          <w:p w14:paraId="2881063E">
            <w:pPr>
              <w:spacing w:line="240" w:lineRule="auto"/>
              <w:ind w:firstLine="0" w:firstLineChars="0"/>
              <w:rPr>
                <w:color w:val="auto"/>
                <w:sz w:val="21"/>
                <w:szCs w:val="21"/>
              </w:rPr>
            </w:pPr>
            <w:r>
              <w:rPr>
                <w:color w:val="auto"/>
                <w:sz w:val="21"/>
                <w:szCs w:val="21"/>
              </w:rPr>
              <w:t>5、项目生产工艺、生产设备情况；</w:t>
            </w:r>
          </w:p>
          <w:p w14:paraId="78D94878">
            <w:pPr>
              <w:spacing w:line="240" w:lineRule="auto"/>
              <w:ind w:firstLine="0" w:firstLineChars="0"/>
              <w:rPr>
                <w:color w:val="auto"/>
                <w:sz w:val="21"/>
                <w:szCs w:val="21"/>
              </w:rPr>
            </w:pPr>
            <w:r>
              <w:rPr>
                <w:color w:val="auto"/>
                <w:sz w:val="21"/>
                <w:szCs w:val="21"/>
              </w:rPr>
              <w:t>6、项目原辅材料情况；</w:t>
            </w:r>
          </w:p>
          <w:p w14:paraId="42BE1C87">
            <w:pPr>
              <w:spacing w:line="240" w:lineRule="auto"/>
              <w:ind w:firstLine="0" w:firstLineChars="0"/>
              <w:rPr>
                <w:color w:val="auto"/>
                <w:sz w:val="21"/>
                <w:szCs w:val="21"/>
              </w:rPr>
            </w:pPr>
            <w:r>
              <w:rPr>
                <w:color w:val="auto"/>
                <w:sz w:val="21"/>
                <w:szCs w:val="21"/>
              </w:rPr>
              <w:t>7、环保设施建设、工艺、处理效率及达标排放情况；</w:t>
            </w:r>
          </w:p>
          <w:p w14:paraId="1259477B">
            <w:pPr>
              <w:spacing w:line="240" w:lineRule="auto"/>
              <w:ind w:firstLine="0" w:firstLineChars="0"/>
              <w:rPr>
                <w:color w:val="auto"/>
                <w:sz w:val="21"/>
                <w:szCs w:val="21"/>
              </w:rPr>
            </w:pPr>
            <w:r>
              <w:rPr>
                <w:color w:val="auto"/>
                <w:sz w:val="21"/>
                <w:szCs w:val="21"/>
              </w:rPr>
              <w:t>8、固废处理处置情况。</w:t>
            </w:r>
          </w:p>
        </w:tc>
      </w:tr>
    </w:tbl>
    <w:p w14:paraId="18DEF9A2">
      <w:pPr>
        <w:ind w:firstLine="720" w:firstLineChars="300"/>
        <w:rPr>
          <w:color w:val="FF0000"/>
        </w:rPr>
        <w:sectPr>
          <w:footerReference r:id="rId14" w:type="default"/>
          <w:pgSz w:w="11906" w:h="16838"/>
          <w:pgMar w:top="1417" w:right="1417" w:bottom="1417" w:left="1417" w:header="709" w:footer="709" w:gutter="0"/>
          <w:pgNumType w:start="1"/>
          <w:cols w:space="708" w:num="1"/>
          <w:docGrid w:linePitch="360" w:charSpace="0"/>
        </w:sectPr>
      </w:pPr>
      <w:r>
        <w:rPr>
          <w:rFonts w:hint="eastAsia"/>
          <w:color w:val="FF0000"/>
        </w:rPr>
        <w:t xml:space="preserve"> </w:t>
      </w:r>
      <w:r>
        <w:rPr>
          <w:color w:val="FF0000"/>
        </w:rPr>
        <w:t xml:space="preserve">  </w:t>
      </w:r>
    </w:p>
    <w:p w14:paraId="4942C839">
      <w:pPr>
        <w:pStyle w:val="2"/>
        <w:ind w:firstLine="643"/>
        <w:rPr>
          <w:rFonts w:cs="Times New Roman"/>
          <w:color w:val="auto"/>
        </w:rPr>
      </w:pPr>
      <w:bookmarkStart w:id="1" w:name="_Toc172712283"/>
      <w:r>
        <w:rPr>
          <w:rFonts w:cs="Times New Roman"/>
          <w:color w:val="auto"/>
        </w:rPr>
        <w:t>2 验收依据</w:t>
      </w:r>
      <w:bookmarkEnd w:id="1"/>
    </w:p>
    <w:p w14:paraId="29098AD0">
      <w:pPr>
        <w:ind w:firstLine="480"/>
        <w:jc w:val="both"/>
        <w:rPr>
          <w:color w:val="auto"/>
        </w:rPr>
      </w:pPr>
      <w:r>
        <w:rPr>
          <w:rFonts w:hint="eastAsia"/>
          <w:color w:val="auto"/>
        </w:rPr>
        <w:t>1.《中华人民共和国生态环境法典》（2026年3月12日第十四届全国人民代表大会第四次会议通过，2026年8月15日实施）；</w:t>
      </w:r>
    </w:p>
    <w:p w14:paraId="6E1F0E73">
      <w:pPr>
        <w:ind w:firstLine="480"/>
        <w:jc w:val="both"/>
        <w:rPr>
          <w:color w:val="auto"/>
        </w:rPr>
      </w:pPr>
      <w:r>
        <w:rPr>
          <w:rFonts w:hint="eastAsia"/>
          <w:color w:val="auto"/>
          <w:lang w:val="en-US" w:eastAsia="zh-CN"/>
        </w:rPr>
        <w:t>2</w:t>
      </w:r>
      <w:r>
        <w:rPr>
          <w:rFonts w:hint="eastAsia"/>
          <w:color w:val="auto"/>
        </w:rPr>
        <w:t>.《建设项目环境保护管理条例》（国务院令第253号)；</w:t>
      </w:r>
    </w:p>
    <w:p w14:paraId="387A3728">
      <w:pPr>
        <w:ind w:firstLine="480"/>
        <w:jc w:val="both"/>
        <w:rPr>
          <w:color w:val="auto"/>
        </w:rPr>
      </w:pPr>
      <w:r>
        <w:rPr>
          <w:rFonts w:hint="eastAsia"/>
          <w:color w:val="auto"/>
          <w:lang w:val="en-US" w:eastAsia="zh-CN"/>
        </w:rPr>
        <w:t>3</w:t>
      </w:r>
      <w:r>
        <w:rPr>
          <w:rFonts w:hint="eastAsia"/>
          <w:color w:val="auto"/>
        </w:rPr>
        <w:t>.《河南省建设项目环境保护条例》（2016年修正版）；</w:t>
      </w:r>
    </w:p>
    <w:p w14:paraId="43A2CA3B">
      <w:pPr>
        <w:ind w:firstLine="480"/>
        <w:jc w:val="both"/>
        <w:rPr>
          <w:color w:val="auto"/>
        </w:rPr>
      </w:pPr>
      <w:r>
        <w:rPr>
          <w:rFonts w:hint="eastAsia"/>
          <w:color w:val="auto"/>
          <w:lang w:val="en-US" w:eastAsia="zh-CN"/>
        </w:rPr>
        <w:t>4</w:t>
      </w:r>
      <w:r>
        <w:rPr>
          <w:rFonts w:hint="eastAsia"/>
          <w:color w:val="auto"/>
        </w:rPr>
        <w:t>.《关于印发建设项目竣工环境保护验收现场检查及审查要点的通知》（环办〔2015〕113号）；</w:t>
      </w:r>
    </w:p>
    <w:p w14:paraId="573504F6">
      <w:pPr>
        <w:ind w:firstLine="480"/>
        <w:jc w:val="both"/>
        <w:rPr>
          <w:color w:val="auto"/>
        </w:rPr>
      </w:pPr>
      <w:r>
        <w:rPr>
          <w:rFonts w:hint="eastAsia"/>
          <w:color w:val="auto"/>
          <w:lang w:val="en-US" w:eastAsia="zh-CN"/>
        </w:rPr>
        <w:t>5</w:t>
      </w:r>
      <w:r>
        <w:rPr>
          <w:rFonts w:hint="eastAsia"/>
          <w:color w:val="auto"/>
        </w:rPr>
        <w:t>.《建设项目竣工环境保护验收暂行办法》（国环规环评〔2017〕4号，2017.11.22）；</w:t>
      </w:r>
    </w:p>
    <w:p w14:paraId="280C2ECE">
      <w:pPr>
        <w:ind w:firstLine="480"/>
        <w:jc w:val="both"/>
        <w:rPr>
          <w:color w:val="auto"/>
        </w:rPr>
      </w:pPr>
      <w:r>
        <w:rPr>
          <w:rFonts w:hint="eastAsia"/>
          <w:color w:val="auto"/>
          <w:lang w:val="en-US" w:eastAsia="zh-CN"/>
        </w:rPr>
        <w:t>6</w:t>
      </w:r>
      <w:r>
        <w:rPr>
          <w:rFonts w:hint="eastAsia"/>
          <w:color w:val="auto"/>
        </w:rPr>
        <w:t>.《建设项目竣工环境保护验收技术指南污染影响类》（生态环境部，2018.5.16）；</w:t>
      </w:r>
    </w:p>
    <w:p w14:paraId="766C5BB7">
      <w:pPr>
        <w:ind w:firstLine="480"/>
        <w:jc w:val="both"/>
        <w:rPr>
          <w:color w:val="auto"/>
        </w:rPr>
      </w:pPr>
      <w:r>
        <w:rPr>
          <w:rFonts w:hint="eastAsia"/>
          <w:color w:val="auto"/>
          <w:lang w:val="en-US" w:eastAsia="zh-CN"/>
        </w:rPr>
        <w:t>7</w:t>
      </w:r>
      <w:r>
        <w:rPr>
          <w:rFonts w:hint="eastAsia"/>
          <w:color w:val="auto"/>
        </w:rPr>
        <w:t>.关于印发《污染影响类建设项目重大变动清单（试行）》的通知（生态环境部，环办环评函（2020）688号，2020.12.13）；</w:t>
      </w:r>
    </w:p>
    <w:p w14:paraId="3607753D">
      <w:pPr>
        <w:ind w:firstLine="480"/>
        <w:jc w:val="both"/>
        <w:rPr>
          <w:color w:val="auto"/>
        </w:rPr>
      </w:pPr>
      <w:r>
        <w:rPr>
          <w:rFonts w:hint="eastAsia"/>
          <w:color w:val="auto"/>
          <w:lang w:val="en-US" w:eastAsia="zh-CN"/>
        </w:rPr>
        <w:t>8</w:t>
      </w:r>
      <w:r>
        <w:rPr>
          <w:rFonts w:hint="eastAsia"/>
          <w:color w:val="auto"/>
        </w:rPr>
        <w:t>.《排污单位自行监测技术指南  总则》（HJ 819-2017）；</w:t>
      </w:r>
    </w:p>
    <w:p w14:paraId="57298571">
      <w:pPr>
        <w:ind w:firstLine="480"/>
        <w:jc w:val="both"/>
        <w:rPr>
          <w:color w:val="auto"/>
        </w:rPr>
      </w:pPr>
      <w:r>
        <w:rPr>
          <w:rFonts w:hint="eastAsia"/>
          <w:color w:val="auto"/>
          <w:lang w:val="en-US" w:eastAsia="zh-CN"/>
        </w:rPr>
        <w:t>9</w:t>
      </w:r>
      <w:r>
        <w:rPr>
          <w:rFonts w:hint="eastAsia"/>
          <w:color w:val="auto"/>
        </w:rPr>
        <w:t xml:space="preserve">.《排污单位自行监测技术指南 电镀工业》（HJ </w:t>
      </w:r>
      <w:r>
        <w:rPr>
          <w:color w:val="auto"/>
        </w:rPr>
        <w:t>985</w:t>
      </w:r>
      <w:r>
        <w:rPr>
          <w:rFonts w:hint="eastAsia"/>
          <w:color w:val="auto"/>
        </w:rPr>
        <w:t>-20</w:t>
      </w:r>
      <w:r>
        <w:rPr>
          <w:color w:val="auto"/>
        </w:rPr>
        <w:t>18</w:t>
      </w:r>
      <w:r>
        <w:rPr>
          <w:rFonts w:hint="eastAsia"/>
          <w:color w:val="auto"/>
        </w:rPr>
        <w:t>）；</w:t>
      </w:r>
    </w:p>
    <w:p w14:paraId="229B80DD">
      <w:pPr>
        <w:ind w:firstLine="480"/>
        <w:jc w:val="both"/>
        <w:rPr>
          <w:rFonts w:cs="Times New Roman"/>
          <w:color w:val="auto"/>
          <w:szCs w:val="24"/>
        </w:rPr>
      </w:pPr>
      <w:r>
        <w:rPr>
          <w:rFonts w:hint="eastAsia"/>
          <w:color w:val="auto"/>
        </w:rPr>
        <w:t>1</w:t>
      </w:r>
      <w:r>
        <w:rPr>
          <w:rFonts w:hint="eastAsia"/>
          <w:color w:val="auto"/>
          <w:lang w:val="en-US" w:eastAsia="zh-CN"/>
        </w:rPr>
        <w:t>0</w:t>
      </w:r>
      <w:r>
        <w:rPr>
          <w:color w:val="auto"/>
        </w:rPr>
        <w:t>.</w:t>
      </w:r>
      <w:r>
        <w:rPr>
          <w:rFonts w:hint="eastAsia"/>
          <w:color w:val="auto"/>
        </w:rPr>
        <w:t>《关于印发制浆造纸等十四个行业建设项目重大变动清单的通知-附件8电镀建设项目重大变动清单（试行）》（环办环评〔2018〕6 号）</w:t>
      </w:r>
      <w:r>
        <w:rPr>
          <w:rFonts w:cs="Times New Roman"/>
          <w:color w:val="auto"/>
          <w:szCs w:val="24"/>
        </w:rPr>
        <w:t xml:space="preserve"> </w:t>
      </w:r>
    </w:p>
    <w:p w14:paraId="7D45B6A6">
      <w:pPr>
        <w:ind w:firstLine="480"/>
        <w:jc w:val="both"/>
        <w:rPr>
          <w:rFonts w:cs="Times New Roman"/>
          <w:color w:val="auto"/>
        </w:rPr>
      </w:pPr>
      <w:r>
        <w:rPr>
          <w:rFonts w:cs="Times New Roman"/>
          <w:color w:val="auto"/>
        </w:rPr>
        <w:t>1</w:t>
      </w:r>
      <w:r>
        <w:rPr>
          <w:rFonts w:hint="eastAsia" w:cs="Times New Roman"/>
          <w:color w:val="auto"/>
          <w:lang w:val="en-US" w:eastAsia="zh-CN"/>
        </w:rPr>
        <w:t>1</w:t>
      </w:r>
      <w:r>
        <w:rPr>
          <w:rFonts w:cs="Times New Roman"/>
          <w:color w:val="auto"/>
        </w:rPr>
        <w:t>.</w:t>
      </w:r>
      <w:r>
        <w:rPr>
          <w:rFonts w:cs="Times New Roman"/>
          <w:color w:val="auto"/>
          <w:szCs w:val="28"/>
        </w:rPr>
        <w:t>《</w:t>
      </w:r>
      <w:r>
        <w:rPr>
          <w:rFonts w:hint="eastAsia" w:cs="Times New Roman"/>
          <w:color w:val="auto"/>
          <w:szCs w:val="28"/>
        </w:rPr>
        <w:t>新乡市万宝科技有限公司</w:t>
      </w:r>
      <w:r>
        <w:rPr>
          <w:rFonts w:hint="eastAsia" w:cs="Times New Roman"/>
          <w:color w:val="auto"/>
          <w:szCs w:val="28"/>
          <w:lang w:eastAsia="zh-CN"/>
        </w:rPr>
        <w:t>年产2万吨五金件、2万吨汽车配件、800吨钢带、5亿只电池钢壳项目</w:t>
      </w:r>
      <w:r>
        <w:rPr>
          <w:rFonts w:hint="eastAsia" w:cs="Times New Roman"/>
          <w:color w:val="auto"/>
          <w:szCs w:val="28"/>
        </w:rPr>
        <w:t>环境影响报告书</w:t>
      </w:r>
      <w:r>
        <w:rPr>
          <w:rFonts w:cs="Times New Roman"/>
          <w:color w:val="auto"/>
          <w:szCs w:val="28"/>
        </w:rPr>
        <w:t>》</w:t>
      </w:r>
      <w:r>
        <w:rPr>
          <w:rFonts w:cs="Times New Roman"/>
          <w:color w:val="auto"/>
        </w:rPr>
        <w:t>，</w:t>
      </w:r>
      <w:r>
        <w:rPr>
          <w:rFonts w:hint="eastAsia" w:cs="Times New Roman"/>
          <w:color w:val="auto"/>
          <w:szCs w:val="28"/>
          <w:lang w:eastAsia="zh-CN"/>
        </w:rPr>
        <w:t>新乡市世青环境技术有限公司</w:t>
      </w:r>
      <w:r>
        <w:rPr>
          <w:rFonts w:cs="Times New Roman"/>
          <w:color w:val="auto"/>
        </w:rPr>
        <w:t>，20</w:t>
      </w:r>
      <w:r>
        <w:rPr>
          <w:rFonts w:hint="eastAsia" w:cs="Times New Roman"/>
          <w:color w:val="auto"/>
        </w:rPr>
        <w:t>2</w:t>
      </w:r>
      <w:r>
        <w:rPr>
          <w:rFonts w:hint="eastAsia" w:cs="Times New Roman"/>
          <w:color w:val="auto"/>
          <w:lang w:val="en-US" w:eastAsia="zh-CN"/>
        </w:rPr>
        <w:t>5</w:t>
      </w:r>
      <w:r>
        <w:rPr>
          <w:rFonts w:hint="eastAsia" w:cs="Times New Roman"/>
          <w:color w:val="auto"/>
        </w:rPr>
        <w:t>.</w:t>
      </w:r>
      <w:r>
        <w:rPr>
          <w:rFonts w:hint="eastAsia" w:cs="Times New Roman"/>
          <w:color w:val="auto"/>
          <w:lang w:val="en-US" w:eastAsia="zh-CN"/>
        </w:rPr>
        <w:t>7</w:t>
      </w:r>
      <w:r>
        <w:rPr>
          <w:rFonts w:cs="Times New Roman"/>
          <w:color w:val="auto"/>
        </w:rPr>
        <w:t>；</w:t>
      </w:r>
    </w:p>
    <w:p w14:paraId="767CF24A">
      <w:pPr>
        <w:ind w:firstLine="480"/>
        <w:jc w:val="both"/>
        <w:rPr>
          <w:rFonts w:cs="Times New Roman"/>
          <w:color w:val="auto"/>
        </w:rPr>
      </w:pPr>
      <w:r>
        <w:rPr>
          <w:rFonts w:cs="Times New Roman"/>
          <w:color w:val="auto"/>
        </w:rPr>
        <w:t>1</w:t>
      </w:r>
      <w:r>
        <w:rPr>
          <w:rFonts w:hint="eastAsia" w:cs="Times New Roman"/>
          <w:color w:val="auto"/>
          <w:lang w:val="en-US" w:eastAsia="zh-CN"/>
        </w:rPr>
        <w:t>2</w:t>
      </w:r>
      <w:r>
        <w:rPr>
          <w:rFonts w:cs="Times New Roman"/>
          <w:color w:val="auto"/>
        </w:rPr>
        <w:t>.</w:t>
      </w:r>
      <w:r>
        <w:rPr>
          <w:rFonts w:cs="Times New Roman"/>
          <w:color w:val="auto"/>
          <w:szCs w:val="28"/>
        </w:rPr>
        <w:t>《</w:t>
      </w:r>
      <w:r>
        <w:rPr>
          <w:rFonts w:hint="eastAsia" w:cs="Times New Roman"/>
          <w:color w:val="auto"/>
          <w:szCs w:val="28"/>
        </w:rPr>
        <w:t>新乡市万宝科技有限公司</w:t>
      </w:r>
      <w:r>
        <w:rPr>
          <w:rFonts w:hint="eastAsia" w:cs="Times New Roman"/>
          <w:color w:val="auto"/>
          <w:szCs w:val="28"/>
          <w:lang w:eastAsia="zh-CN"/>
        </w:rPr>
        <w:t>年产2万吨五金件、2万吨汽车配件、800吨钢带、5亿只电池钢壳项目</w:t>
      </w:r>
      <w:r>
        <w:rPr>
          <w:rFonts w:hint="eastAsia" w:cs="Times New Roman"/>
          <w:color w:val="auto"/>
          <w:szCs w:val="28"/>
        </w:rPr>
        <w:t>环境影响报告书</w:t>
      </w:r>
      <w:r>
        <w:rPr>
          <w:rFonts w:cs="Times New Roman"/>
          <w:color w:val="auto"/>
          <w:szCs w:val="28"/>
        </w:rPr>
        <w:t>》</w:t>
      </w:r>
      <w:r>
        <w:rPr>
          <w:rFonts w:cs="Times New Roman"/>
          <w:color w:val="auto"/>
        </w:rPr>
        <w:t>的</w:t>
      </w:r>
      <w:r>
        <w:rPr>
          <w:rFonts w:hint="eastAsia" w:cs="Times New Roman"/>
          <w:color w:val="auto"/>
        </w:rPr>
        <w:t>批复</w:t>
      </w:r>
      <w:r>
        <w:rPr>
          <w:rFonts w:cs="Times New Roman"/>
          <w:color w:val="auto"/>
        </w:rPr>
        <w:t>（</w:t>
      </w:r>
      <w:r>
        <w:rPr>
          <w:rFonts w:hint="eastAsia" w:cs="Times New Roman"/>
          <w:color w:val="auto"/>
          <w:lang w:eastAsia="zh-CN"/>
        </w:rPr>
        <w:t>新环书审[2025]6号</w:t>
      </w:r>
      <w:r>
        <w:rPr>
          <w:rFonts w:cs="Times New Roman"/>
          <w:color w:val="auto"/>
        </w:rPr>
        <w:t>），新乡市</w:t>
      </w:r>
      <w:r>
        <w:rPr>
          <w:rFonts w:hint="eastAsia" w:cs="Times New Roman"/>
          <w:color w:val="auto"/>
        </w:rPr>
        <w:t>生态环境局</w:t>
      </w:r>
      <w:r>
        <w:rPr>
          <w:rFonts w:cs="Times New Roman"/>
          <w:color w:val="auto"/>
        </w:rPr>
        <w:t>，202</w:t>
      </w:r>
      <w:r>
        <w:rPr>
          <w:rFonts w:hint="eastAsia" w:cs="Times New Roman"/>
          <w:color w:val="auto"/>
          <w:lang w:val="en-US" w:eastAsia="zh-CN"/>
        </w:rPr>
        <w:t>5</w:t>
      </w:r>
      <w:r>
        <w:rPr>
          <w:rFonts w:cs="Times New Roman"/>
          <w:color w:val="auto"/>
        </w:rPr>
        <w:t>.</w:t>
      </w:r>
      <w:r>
        <w:rPr>
          <w:rFonts w:hint="eastAsia" w:cs="Times New Roman"/>
          <w:color w:val="auto"/>
          <w:lang w:val="en-US" w:eastAsia="zh-CN"/>
        </w:rPr>
        <w:t>8</w:t>
      </w:r>
      <w:r>
        <w:rPr>
          <w:rFonts w:hint="eastAsia" w:cs="Times New Roman"/>
          <w:color w:val="auto"/>
        </w:rPr>
        <w:t>.</w:t>
      </w:r>
      <w:r>
        <w:rPr>
          <w:rFonts w:hint="eastAsia" w:cs="Times New Roman"/>
          <w:color w:val="auto"/>
          <w:lang w:val="en-US" w:eastAsia="zh-CN"/>
        </w:rPr>
        <w:t>7</w:t>
      </w:r>
      <w:r>
        <w:rPr>
          <w:rFonts w:cs="Times New Roman"/>
          <w:color w:val="auto"/>
        </w:rPr>
        <w:t>；</w:t>
      </w:r>
    </w:p>
    <w:p w14:paraId="326807FB">
      <w:pPr>
        <w:ind w:firstLine="480"/>
        <w:jc w:val="both"/>
        <w:rPr>
          <w:rFonts w:cs="Times New Roman"/>
          <w:color w:val="auto"/>
        </w:rPr>
      </w:pPr>
      <w:r>
        <w:rPr>
          <w:rFonts w:cs="Times New Roman"/>
          <w:color w:val="auto"/>
        </w:rPr>
        <w:t>1</w:t>
      </w:r>
      <w:r>
        <w:rPr>
          <w:rFonts w:hint="eastAsia" w:cs="Times New Roman"/>
          <w:color w:val="auto"/>
          <w:lang w:val="en-US" w:eastAsia="zh-CN"/>
        </w:rPr>
        <w:t>3</w:t>
      </w:r>
      <w:r>
        <w:rPr>
          <w:rFonts w:cs="Times New Roman"/>
          <w:color w:val="auto"/>
        </w:rPr>
        <w:t>.</w:t>
      </w:r>
      <w:r>
        <w:rPr>
          <w:rFonts w:hint="eastAsia" w:cs="Times New Roman"/>
          <w:color w:val="auto"/>
          <w:lang w:eastAsia="zh-CN"/>
        </w:rPr>
        <w:t>年产2万吨五金件、2万吨汽车配件、800吨钢带、5亿只电池钢壳项目（</w:t>
      </w:r>
      <w:r>
        <w:rPr>
          <w:rFonts w:hint="eastAsia" w:cs="Times New Roman"/>
          <w:color w:val="auto"/>
          <w:lang w:val="en-US" w:eastAsia="zh-CN"/>
        </w:rPr>
        <w:t>一期</w:t>
      </w:r>
      <w:r>
        <w:rPr>
          <w:rFonts w:hint="eastAsia" w:cs="Times New Roman"/>
          <w:color w:val="auto"/>
          <w:lang w:eastAsia="zh-CN"/>
        </w:rPr>
        <w:t>）</w:t>
      </w:r>
      <w:r>
        <w:rPr>
          <w:rFonts w:hint="eastAsia" w:cs="Times New Roman"/>
          <w:color w:val="auto"/>
        </w:rPr>
        <w:t>验收检测</w:t>
      </w:r>
      <w:r>
        <w:rPr>
          <w:rFonts w:cs="Times New Roman"/>
          <w:color w:val="auto"/>
        </w:rPr>
        <w:t>报告（</w:t>
      </w:r>
      <w:r>
        <w:rPr>
          <w:rFonts w:hint="eastAsia" w:cs="Times New Roman"/>
          <w:color w:val="auto"/>
          <w:szCs w:val="21"/>
        </w:rPr>
        <w:t>报告编号：</w:t>
      </w:r>
      <w:r>
        <w:rPr>
          <w:rFonts w:hint="eastAsia" w:cs="Times New Roman"/>
          <w:color w:val="auto"/>
          <w:szCs w:val="21"/>
          <w:lang w:eastAsia="zh-CN"/>
        </w:rPr>
        <w:t>HNJY25T111701</w:t>
      </w:r>
      <w:r>
        <w:rPr>
          <w:rFonts w:cs="Times New Roman"/>
          <w:color w:val="auto"/>
        </w:rPr>
        <w:t>）</w:t>
      </w:r>
      <w:r>
        <w:rPr>
          <w:rFonts w:hint="eastAsia" w:cs="Times New Roman"/>
          <w:color w:val="auto"/>
        </w:rPr>
        <w:t>；</w:t>
      </w:r>
    </w:p>
    <w:p w14:paraId="455F3EBE">
      <w:pPr>
        <w:ind w:firstLine="480"/>
        <w:jc w:val="both"/>
        <w:rPr>
          <w:rFonts w:cs="Times New Roman"/>
          <w:color w:val="auto"/>
        </w:rPr>
      </w:pPr>
      <w:r>
        <w:rPr>
          <w:rFonts w:hint="eastAsia" w:cs="Times New Roman"/>
          <w:color w:val="auto"/>
        </w:rPr>
        <w:t>1</w:t>
      </w:r>
      <w:r>
        <w:rPr>
          <w:rFonts w:hint="eastAsia" w:cs="Times New Roman"/>
          <w:color w:val="auto"/>
          <w:lang w:val="en-US" w:eastAsia="zh-CN"/>
        </w:rPr>
        <w:t>4</w:t>
      </w:r>
      <w:r>
        <w:rPr>
          <w:rFonts w:cs="Times New Roman"/>
          <w:color w:val="auto"/>
        </w:rPr>
        <w:t>.新乡市万宝科技有限公司</w:t>
      </w:r>
      <w:r>
        <w:rPr>
          <w:rFonts w:hint="eastAsia" w:cs="Times New Roman"/>
          <w:color w:val="auto"/>
        </w:rPr>
        <w:t>排污许可证（排污许可证编号：</w:t>
      </w:r>
      <w:r>
        <w:rPr>
          <w:rFonts w:hint="eastAsia" w:cs="Times New Roman"/>
          <w:bCs/>
          <w:color w:val="auto"/>
          <w:lang w:eastAsia="zh-CN"/>
        </w:rPr>
        <w:t>91410704MA9GB3524A001V，</w:t>
      </w:r>
      <w:r>
        <w:rPr>
          <w:rFonts w:hint="eastAsia" w:cs="Times New Roman"/>
          <w:bCs/>
          <w:color w:val="auto"/>
          <w:lang w:val="en-US" w:eastAsia="zh-CN"/>
        </w:rPr>
        <w:t>有效期为2026年3月13日至2031年3月12日，包括本项目一期生产线</w:t>
      </w:r>
      <w:r>
        <w:rPr>
          <w:rFonts w:hint="eastAsia" w:cs="Times New Roman"/>
          <w:color w:val="auto"/>
        </w:rPr>
        <w:t>）。</w:t>
      </w:r>
    </w:p>
    <w:p w14:paraId="5C06EED7">
      <w:pPr>
        <w:pStyle w:val="2"/>
        <w:ind w:firstLine="643"/>
        <w:rPr>
          <w:rFonts w:cs="Times New Roman"/>
          <w:color w:val="auto"/>
        </w:rPr>
      </w:pPr>
      <w:bookmarkStart w:id="2" w:name="_Toc172712284"/>
      <w:r>
        <w:rPr>
          <w:rFonts w:cs="Times New Roman"/>
          <w:color w:val="auto"/>
        </w:rPr>
        <w:t>3项目建设情况</w:t>
      </w:r>
      <w:bookmarkEnd w:id="2"/>
    </w:p>
    <w:p w14:paraId="110592F6">
      <w:pPr>
        <w:pStyle w:val="3"/>
        <w:spacing w:before="156" w:after="156"/>
        <w:ind w:firstLine="643"/>
        <w:rPr>
          <w:rFonts w:hint="default" w:eastAsia="楷体" w:cs="Times New Roman"/>
          <w:color w:val="auto"/>
          <w:lang w:val="en-US" w:eastAsia="zh-CN"/>
        </w:rPr>
      </w:pPr>
      <w:bookmarkStart w:id="3" w:name="_Toc172712285"/>
      <w:r>
        <w:rPr>
          <w:rFonts w:cs="Times New Roman"/>
          <w:color w:val="auto"/>
        </w:rPr>
        <w:t>3.1地理位置</w:t>
      </w:r>
      <w:bookmarkEnd w:id="3"/>
      <w:r>
        <w:rPr>
          <w:rFonts w:hint="eastAsia" w:cs="Times New Roman"/>
          <w:color w:val="auto"/>
          <w:lang w:val="en-US" w:eastAsia="zh-CN"/>
        </w:rPr>
        <w:t>及平面布置</w:t>
      </w:r>
    </w:p>
    <w:p w14:paraId="095B52A9">
      <w:pPr>
        <w:ind w:firstLine="480" w:firstLineChars="0"/>
        <w:jc w:val="both"/>
        <w:rPr>
          <w:rFonts w:hint="eastAsia"/>
          <w:color w:val="auto"/>
        </w:rPr>
      </w:pPr>
      <w:r>
        <w:rPr>
          <w:rFonts w:hint="eastAsia" w:cs="Times New Roman"/>
          <w:color w:val="auto"/>
        </w:rPr>
        <w:t>本项目位于</w:t>
      </w:r>
      <w:r>
        <w:rPr>
          <w:rFonts w:cs="Times New Roman"/>
          <w:color w:val="auto"/>
        </w:rPr>
        <w:t>新乡市凤泉区大块镇陈堡村丰源路5号段</w:t>
      </w:r>
      <w:r>
        <w:rPr>
          <w:rFonts w:hint="eastAsia" w:cs="Times New Roman"/>
          <w:color w:val="auto"/>
        </w:rPr>
        <w:t>（</w:t>
      </w:r>
      <w:r>
        <w:rPr>
          <w:rFonts w:cs="Times New Roman"/>
          <w:color w:val="auto"/>
        </w:rPr>
        <w:t>厂区中心坐标为：</w:t>
      </w:r>
      <w:r>
        <w:rPr>
          <w:rFonts w:hint="eastAsia" w:cs="Times New Roman"/>
          <w:color w:val="auto"/>
        </w:rPr>
        <w:t>东经</w:t>
      </w:r>
      <w:r>
        <w:rPr>
          <w:rFonts w:cs="Times New Roman"/>
          <w:color w:val="auto"/>
        </w:rPr>
        <w:t>113°50´36.977˝</w:t>
      </w:r>
      <w:r>
        <w:rPr>
          <w:rFonts w:hint="eastAsia" w:cs="Times New Roman"/>
          <w:color w:val="auto"/>
        </w:rPr>
        <w:t>、北纬</w:t>
      </w:r>
      <w:r>
        <w:rPr>
          <w:rFonts w:cs="Times New Roman"/>
          <w:color w:val="auto"/>
        </w:rPr>
        <w:t>35°24´56.518˝</w:t>
      </w:r>
      <w:r>
        <w:rPr>
          <w:rFonts w:hint="eastAsia" w:cs="Times New Roman"/>
          <w:color w:val="auto"/>
        </w:rPr>
        <w:t>）。</w:t>
      </w:r>
      <w:r>
        <w:rPr>
          <w:rFonts w:hint="eastAsia"/>
          <w:bCs/>
          <w:color w:val="auto"/>
        </w:rPr>
        <w:t>新乡市万宝科技有限公司</w:t>
      </w:r>
      <w:r>
        <w:rPr>
          <w:color w:val="auto"/>
        </w:rPr>
        <w:t>四周环境为：</w:t>
      </w:r>
      <w:r>
        <w:rPr>
          <w:rFonts w:hint="eastAsia"/>
          <w:color w:val="auto"/>
        </w:rPr>
        <w:t>东隔小路为新乡市亿丰混凝土有限公司，西侧、南侧为</w:t>
      </w:r>
      <w:r>
        <w:rPr>
          <w:rFonts w:hint="eastAsia"/>
          <w:color w:val="FF0000"/>
          <w:lang w:val="en-US" w:eastAsia="zh-CN"/>
        </w:rPr>
        <w:t>表面处理产业园</w:t>
      </w:r>
      <w:r>
        <w:rPr>
          <w:rFonts w:hint="eastAsia"/>
          <w:color w:val="auto"/>
        </w:rPr>
        <w:t>，北隔丰源路为新乡市恒泰锻造有限公司。</w:t>
      </w:r>
      <w:r>
        <w:rPr>
          <w:rFonts w:cs="Times New Roman"/>
          <w:color w:val="auto"/>
          <w:szCs w:val="24"/>
        </w:rPr>
        <w:t>距离项目最近的敏感点为：</w:t>
      </w:r>
      <w:r>
        <w:rPr>
          <w:rFonts w:hint="eastAsia"/>
          <w:color w:val="auto"/>
        </w:rPr>
        <w:t>本项目距离周围环境敏感点较远，最近的敏感点为北侧</w:t>
      </w:r>
      <w:r>
        <w:rPr>
          <w:rFonts w:hint="eastAsia"/>
          <w:color w:val="FF0000"/>
          <w:lang w:val="en-US" w:eastAsia="zh-CN"/>
        </w:rPr>
        <w:t>6</w:t>
      </w:r>
      <w:r>
        <w:rPr>
          <w:rFonts w:hint="eastAsia"/>
          <w:color w:val="FF0000"/>
        </w:rPr>
        <w:t>00m</w:t>
      </w:r>
      <w:r>
        <w:rPr>
          <w:rFonts w:hint="eastAsia"/>
          <w:color w:val="auto"/>
        </w:rPr>
        <w:t>处的陈堡村。</w:t>
      </w:r>
    </w:p>
    <w:p w14:paraId="21497E7D">
      <w:pPr>
        <w:ind w:firstLine="480"/>
        <w:jc w:val="both"/>
        <w:rPr>
          <w:rFonts w:cs="Times New Roman"/>
          <w:color w:val="auto"/>
        </w:rPr>
      </w:pPr>
      <w:r>
        <w:rPr>
          <w:rFonts w:hint="eastAsia" w:cs="Times New Roman"/>
          <w:color w:val="auto"/>
        </w:rPr>
        <w:t>经现场勘查，项目实际建设地点以及周边环境与环评及批复一致。</w:t>
      </w:r>
      <w:r>
        <w:rPr>
          <w:rFonts w:cs="Times New Roman"/>
          <w:color w:val="auto"/>
        </w:rPr>
        <w:t>本项目周边环境示意图见图3-1</w:t>
      </w:r>
      <w:r>
        <w:rPr>
          <w:rFonts w:hint="eastAsia" w:cs="Times New Roman"/>
          <w:color w:val="auto"/>
        </w:rPr>
        <w:t>，</w:t>
      </w:r>
      <w:r>
        <w:rPr>
          <w:rFonts w:cs="Times New Roman"/>
          <w:color w:val="auto"/>
        </w:rPr>
        <w:t>周边环境保护目标示意图见图3-</w:t>
      </w:r>
      <w:r>
        <w:rPr>
          <w:rFonts w:hint="eastAsia" w:cs="Times New Roman"/>
          <w:color w:val="auto"/>
        </w:rPr>
        <w:t>2</w:t>
      </w:r>
      <w:r>
        <w:rPr>
          <w:rFonts w:cs="Times New Roman"/>
          <w:color w:val="auto"/>
        </w:rPr>
        <w:t>。</w:t>
      </w:r>
    </w:p>
    <w:p w14:paraId="1B2E329D">
      <w:pPr>
        <w:spacing w:line="360" w:lineRule="auto"/>
        <w:ind w:firstLine="0" w:firstLineChars="0"/>
        <w:jc w:val="center"/>
      </w:pPr>
      <w:r>
        <w:drawing>
          <wp:inline distT="0" distB="0" distL="114300" distR="114300">
            <wp:extent cx="5742305" cy="3983355"/>
            <wp:effectExtent l="0" t="0" r="10795" b="17145"/>
            <wp:docPr id="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0"/>
                    <pic:cNvPicPr>
                      <a:picLocks noChangeAspect="1"/>
                    </pic:cNvPicPr>
                  </pic:nvPicPr>
                  <pic:blipFill>
                    <a:blip r:embed="rId17"/>
                    <a:stretch>
                      <a:fillRect/>
                    </a:stretch>
                  </pic:blipFill>
                  <pic:spPr>
                    <a:xfrm>
                      <a:off x="0" y="0"/>
                      <a:ext cx="5742305" cy="3983355"/>
                    </a:xfrm>
                    <a:prstGeom prst="rect">
                      <a:avLst/>
                    </a:prstGeom>
                    <a:noFill/>
                    <a:ln>
                      <a:noFill/>
                    </a:ln>
                  </pic:spPr>
                </pic:pic>
              </a:graphicData>
            </a:graphic>
          </wp:inline>
        </w:drawing>
      </w:r>
    </w:p>
    <w:p w14:paraId="1E1E30D0">
      <w:pPr>
        <w:spacing w:line="360" w:lineRule="auto"/>
        <w:ind w:firstLine="0" w:firstLineChars="0"/>
        <w:jc w:val="center"/>
        <w:rPr>
          <w:rFonts w:ascii="Times New Roman" w:hAnsi="Times New Roman" w:eastAsia="宋体" w:cs="Times New Roman"/>
          <w:b/>
          <w:color w:val="auto"/>
          <w:sz w:val="24"/>
          <w:szCs w:val="24"/>
          <w:lang w:val="en-US" w:eastAsia="zh-CN" w:bidi="ar-SA"/>
        </w:rPr>
      </w:pPr>
      <w:r>
        <w:rPr>
          <w:rFonts w:ascii="Times New Roman" w:hAnsi="Times New Roman" w:eastAsia="宋体" w:cs="Times New Roman"/>
          <w:b/>
          <w:color w:val="auto"/>
          <w:sz w:val="24"/>
          <w:szCs w:val="24"/>
          <w:lang w:val="en-US" w:eastAsia="zh-CN" w:bidi="ar-SA"/>
        </w:rPr>
        <w:t>图3-1  项目周围环境示意图</w:t>
      </w:r>
    </w:p>
    <w:p w14:paraId="60D70F37">
      <w:pPr>
        <w:pStyle w:val="38"/>
      </w:pPr>
      <w:r>
        <w:drawing>
          <wp:inline distT="0" distB="0" distL="114300" distR="114300">
            <wp:extent cx="5859780" cy="4950460"/>
            <wp:effectExtent l="0" t="0" r="7620" b="2540"/>
            <wp:docPr id="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1"/>
                    <pic:cNvPicPr>
                      <a:picLocks noChangeAspect="1"/>
                    </pic:cNvPicPr>
                  </pic:nvPicPr>
                  <pic:blipFill>
                    <a:blip r:embed="rId18"/>
                    <a:stretch>
                      <a:fillRect/>
                    </a:stretch>
                  </pic:blipFill>
                  <pic:spPr>
                    <a:xfrm>
                      <a:off x="0" y="0"/>
                      <a:ext cx="5859780" cy="4950460"/>
                    </a:xfrm>
                    <a:prstGeom prst="rect">
                      <a:avLst/>
                    </a:prstGeom>
                    <a:noFill/>
                    <a:ln>
                      <a:noFill/>
                    </a:ln>
                  </pic:spPr>
                </pic:pic>
              </a:graphicData>
            </a:graphic>
          </wp:inline>
        </w:drawing>
      </w:r>
    </w:p>
    <w:p w14:paraId="57F9E304">
      <w:pPr>
        <w:pStyle w:val="38"/>
        <w:rPr>
          <w:rFonts w:cs="Times New Roman"/>
          <w:color w:val="auto"/>
          <w:szCs w:val="24"/>
        </w:rPr>
      </w:pPr>
      <w:r>
        <w:rPr>
          <w:rFonts w:cs="Times New Roman"/>
          <w:color w:val="auto"/>
          <w:szCs w:val="24"/>
        </w:rPr>
        <w:t>图3-</w:t>
      </w:r>
      <w:r>
        <w:rPr>
          <w:rFonts w:hint="eastAsia" w:cs="Times New Roman"/>
          <w:color w:val="auto"/>
          <w:szCs w:val="24"/>
        </w:rPr>
        <w:t>2</w:t>
      </w:r>
      <w:r>
        <w:rPr>
          <w:rFonts w:cs="Times New Roman"/>
          <w:color w:val="auto"/>
          <w:szCs w:val="24"/>
        </w:rPr>
        <w:t xml:space="preserve">  项目环境保护目标示意图</w:t>
      </w:r>
    </w:p>
    <w:p w14:paraId="2C945847">
      <w:pPr>
        <w:ind w:firstLine="480"/>
        <w:jc w:val="both"/>
        <w:rPr>
          <w:rFonts w:hint="eastAsia" w:ascii="Times New Roman" w:hAnsi="Times New Roman" w:eastAsia="宋体" w:cs="Times New Roman"/>
          <w:color w:val="000000" w:themeColor="text1"/>
          <w:sz w:val="24"/>
          <w:szCs w:val="24"/>
          <w:lang w:eastAsia="zh-CN"/>
          <w14:textFill>
            <w14:solidFill>
              <w14:schemeClr w14:val="tx1"/>
            </w14:solidFill>
          </w14:textFill>
        </w:rPr>
      </w:pPr>
      <w:r>
        <w:rPr>
          <w:rFonts w:hint="eastAsia" w:cs="Times New Roman"/>
          <w:color w:val="auto"/>
          <w:lang w:val="en-US" w:eastAsia="zh-CN"/>
        </w:rPr>
        <w:t>本项目（一期）生产主要依托现有生产车间进行建设，</w:t>
      </w:r>
      <w:r>
        <w:rPr>
          <w:rFonts w:ascii="Times New Roman" w:hAnsi="Times New Roman" w:eastAsia="宋体" w:cs="Times New Roman"/>
          <w:color w:val="000000" w:themeColor="text1"/>
          <w:sz w:val="24"/>
          <w:szCs w:val="24"/>
          <w14:textFill>
            <w14:solidFill>
              <w14:schemeClr w14:val="tx1"/>
            </w14:solidFill>
          </w14:textFill>
        </w:rPr>
        <w:t>其中</w:t>
      </w:r>
      <w:r>
        <w:rPr>
          <w:rFonts w:hint="eastAsia" w:cs="Times New Roman"/>
          <w:color w:val="000000" w:themeColor="text1"/>
          <w:sz w:val="24"/>
          <w:szCs w:val="24"/>
          <w:lang w:val="en-US" w:eastAsia="zh-CN"/>
          <w14:textFill>
            <w14:solidFill>
              <w14:schemeClr w14:val="tx1"/>
            </w14:solidFill>
          </w14:textFill>
        </w:rPr>
        <w:t>2</w:t>
      </w:r>
      <w:r>
        <w:rPr>
          <w:rFonts w:ascii="Times New Roman" w:hAnsi="Times New Roman" w:eastAsia="宋体" w:cs="Times New Roman"/>
          <w:color w:val="000000" w:themeColor="text1"/>
          <w:sz w:val="24"/>
          <w:szCs w:val="24"/>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钢带镀镍</w:t>
      </w:r>
      <w:r>
        <w:rPr>
          <w:rFonts w:ascii="Times New Roman" w:hAnsi="Times New Roman" w:eastAsia="宋体" w:cs="Times New Roman"/>
          <w:color w:val="000000" w:themeColor="text1"/>
          <w:sz w:val="24"/>
          <w:szCs w:val="24"/>
          <w14:textFill>
            <w14:solidFill>
              <w14:schemeClr w14:val="tx1"/>
            </w14:solidFill>
          </w14:textFill>
        </w:rPr>
        <w:t>生产线由2</w:t>
      </w:r>
      <w:r>
        <w:rPr>
          <w:rFonts w:hint="eastAsia" w:ascii="Times New Roman" w:hAnsi="Times New Roman" w:eastAsia="宋体" w:cs="Times New Roman"/>
          <w:color w:val="000000" w:themeColor="text1"/>
          <w:sz w:val="24"/>
          <w:szCs w:val="24"/>
          <w14:textFill>
            <w14:solidFill>
              <w14:schemeClr w14:val="tx1"/>
            </w14:solidFill>
          </w14:textFill>
        </w:rPr>
        <w:t>#</w:t>
      </w:r>
      <w:r>
        <w:rPr>
          <w:rFonts w:ascii="Times New Roman" w:hAnsi="Times New Roman" w:eastAsia="宋体" w:cs="Times New Roman"/>
          <w:color w:val="000000" w:themeColor="text1"/>
          <w:sz w:val="24"/>
          <w:szCs w:val="24"/>
          <w14:textFill>
            <w14:solidFill>
              <w14:schemeClr w14:val="tx1"/>
            </w14:solidFill>
          </w14:textFill>
        </w:rPr>
        <w:t>车间调整到1</w:t>
      </w:r>
      <w:r>
        <w:rPr>
          <w:rFonts w:hint="eastAsia" w:ascii="Times New Roman" w:hAnsi="Times New Roman" w:eastAsia="宋体" w:cs="Times New Roman"/>
          <w:color w:val="000000" w:themeColor="text1"/>
          <w:sz w:val="24"/>
          <w:szCs w:val="24"/>
          <w14:textFill>
            <w14:solidFill>
              <w14:schemeClr w14:val="tx1"/>
            </w14:solidFill>
          </w14:textFill>
        </w:rPr>
        <w:t>#</w:t>
      </w:r>
      <w:r>
        <w:rPr>
          <w:rFonts w:ascii="Times New Roman" w:hAnsi="Times New Roman" w:eastAsia="宋体" w:cs="Times New Roman"/>
          <w:color w:val="000000" w:themeColor="text1"/>
          <w:sz w:val="24"/>
          <w:szCs w:val="24"/>
          <w14:textFill>
            <w14:solidFill>
              <w14:schemeClr w14:val="tx1"/>
            </w14:solidFill>
          </w14:textFill>
        </w:rPr>
        <w:t>车间</w:t>
      </w:r>
      <w:r>
        <w:rPr>
          <w:rFonts w:hint="eastAsia" w:ascii="Times New Roman" w:hAnsi="Times New Roman" w:eastAsia="宋体" w:cs="Times New Roman"/>
          <w:color w:val="000000" w:themeColor="text1"/>
          <w:sz w:val="24"/>
          <w:szCs w:val="24"/>
          <w:lang w:eastAsia="zh-CN"/>
          <w14:textFill>
            <w14:solidFill>
              <w14:schemeClr w14:val="tx1"/>
            </w14:solidFill>
          </w14:textFill>
        </w:rPr>
        <w:t>。</w:t>
      </w:r>
      <w:r>
        <w:rPr>
          <w:rFonts w:ascii="Times New Roman" w:hAnsi="Times New Roman" w:eastAsia="宋体" w:cs="Times New Roman"/>
          <w:color w:val="000000" w:themeColor="text1"/>
          <w:sz w:val="24"/>
          <w:szCs w:val="24"/>
          <w14:textFill>
            <w14:solidFill>
              <w14:schemeClr w14:val="tx1"/>
            </w14:solidFill>
          </w14:textFill>
        </w:rPr>
        <w:t>根据环评报告中内容：“根据HJ2.2-2018，大气环境二级评价项目不需要设置大气环境防护距离”。根据以上分</w:t>
      </w:r>
      <w:r>
        <w:rPr>
          <w:rFonts w:ascii="Times New Roman" w:hAnsi="Times New Roman" w:eastAsia="宋体" w:cs="Times New Roman"/>
          <w:sz w:val="24"/>
          <w:szCs w:val="24"/>
        </w:rPr>
        <w:t>析，本次产品平面布置（生产线建设位置）变化调整后，未导致环境敏感</w:t>
      </w:r>
      <w:r>
        <w:rPr>
          <w:rFonts w:ascii="Times New Roman" w:hAnsi="Times New Roman" w:eastAsia="宋体" w:cs="Times New Roman"/>
          <w:color w:val="000000" w:themeColor="text1"/>
          <w:sz w:val="24"/>
          <w:szCs w:val="24"/>
          <w14:textFill>
            <w14:solidFill>
              <w14:schemeClr w14:val="tx1"/>
            </w14:solidFill>
          </w14:textFill>
        </w:rPr>
        <w:t>程度增加或环境防护距离变化，不增加环境敏感点。对比《电镀建设项目重大变动清单综合重大变动清单（试行）》中“2.项目重新选址；在原厂址附近调整（包括总平面布置变化）导致防护距离内新增敏感点。”从建设地点来分析，本次实际建设总平面布置发生变化，不属于重大变动。</w:t>
      </w:r>
    </w:p>
    <w:p w14:paraId="040EC9BF">
      <w:pPr>
        <w:pStyle w:val="38"/>
        <w:jc w:val="both"/>
        <w:rPr>
          <w:rFonts w:cs="Times New Roman"/>
          <w:color w:val="auto"/>
          <w:szCs w:val="24"/>
        </w:rPr>
      </w:pPr>
      <w:r>
        <w:drawing>
          <wp:inline distT="0" distB="0" distL="114300" distR="114300">
            <wp:extent cx="5821680" cy="6047105"/>
            <wp:effectExtent l="0" t="0" r="7620" b="10795"/>
            <wp:docPr id="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2"/>
                    <pic:cNvPicPr>
                      <a:picLocks noChangeAspect="1"/>
                    </pic:cNvPicPr>
                  </pic:nvPicPr>
                  <pic:blipFill>
                    <a:blip r:embed="rId19"/>
                    <a:stretch>
                      <a:fillRect/>
                    </a:stretch>
                  </pic:blipFill>
                  <pic:spPr>
                    <a:xfrm>
                      <a:off x="0" y="0"/>
                      <a:ext cx="5821680" cy="6047105"/>
                    </a:xfrm>
                    <a:prstGeom prst="rect">
                      <a:avLst/>
                    </a:prstGeom>
                    <a:noFill/>
                    <a:ln>
                      <a:noFill/>
                    </a:ln>
                  </pic:spPr>
                </pic:pic>
              </a:graphicData>
            </a:graphic>
          </wp:inline>
        </w:drawing>
      </w:r>
    </w:p>
    <w:p w14:paraId="76F482ED">
      <w:pPr>
        <w:pStyle w:val="38"/>
        <w:rPr>
          <w:rFonts w:cs="Times New Roman"/>
          <w:color w:val="auto"/>
          <w:szCs w:val="24"/>
        </w:rPr>
      </w:pPr>
      <w:r>
        <w:rPr>
          <w:rFonts w:cs="Times New Roman"/>
          <w:color w:val="auto"/>
          <w:szCs w:val="24"/>
        </w:rPr>
        <w:t>图3-</w:t>
      </w:r>
      <w:r>
        <w:rPr>
          <w:rFonts w:hint="eastAsia" w:cs="Times New Roman"/>
          <w:color w:val="auto"/>
          <w:szCs w:val="24"/>
          <w:lang w:val="en-US" w:eastAsia="zh-CN"/>
        </w:rPr>
        <w:t>3</w:t>
      </w:r>
      <w:r>
        <w:rPr>
          <w:rFonts w:cs="Times New Roman"/>
          <w:color w:val="auto"/>
          <w:szCs w:val="24"/>
        </w:rPr>
        <w:t xml:space="preserve">  项目</w:t>
      </w:r>
      <w:r>
        <w:rPr>
          <w:rFonts w:hint="eastAsia" w:cs="Times New Roman"/>
          <w:color w:val="auto"/>
          <w:szCs w:val="24"/>
          <w:lang w:val="en-US" w:eastAsia="zh-CN"/>
        </w:rPr>
        <w:t>环评中初步设计平面布置</w:t>
      </w:r>
      <w:r>
        <w:rPr>
          <w:rFonts w:cs="Times New Roman"/>
          <w:color w:val="auto"/>
          <w:szCs w:val="24"/>
        </w:rPr>
        <w:t>图</w:t>
      </w:r>
    </w:p>
    <w:p w14:paraId="5E966CAE">
      <w:pPr>
        <w:pStyle w:val="38"/>
        <w:jc w:val="both"/>
        <w:rPr>
          <w:rFonts w:hint="eastAsia" w:eastAsia="宋体" w:cs="Times New Roman"/>
          <w:color w:val="auto"/>
          <w:szCs w:val="24"/>
          <w:lang w:eastAsia="zh-CN"/>
        </w:rPr>
      </w:pPr>
      <w:r>
        <w:rPr>
          <w:rFonts w:ascii="宋体" w:hAnsi="宋体" w:eastAsia="宋体" w:cs="宋体"/>
          <w:sz w:val="24"/>
          <w:szCs w:val="24"/>
        </w:rPr>
        <w:drawing>
          <wp:inline distT="0" distB="0" distL="114300" distR="114300">
            <wp:extent cx="6048375" cy="4794885"/>
            <wp:effectExtent l="0" t="0" r="9525" b="5715"/>
            <wp:docPr id="6" name="图片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0" descr="IMG_256"/>
                    <pic:cNvPicPr>
                      <a:picLocks noChangeAspect="1"/>
                    </pic:cNvPicPr>
                  </pic:nvPicPr>
                  <pic:blipFill>
                    <a:blip r:embed="rId20"/>
                    <a:stretch>
                      <a:fillRect/>
                    </a:stretch>
                  </pic:blipFill>
                  <pic:spPr>
                    <a:xfrm>
                      <a:off x="0" y="0"/>
                      <a:ext cx="6048375" cy="4794885"/>
                    </a:xfrm>
                    <a:prstGeom prst="rect">
                      <a:avLst/>
                    </a:prstGeom>
                    <a:noFill/>
                    <a:ln w="9525">
                      <a:noFill/>
                    </a:ln>
                  </pic:spPr>
                </pic:pic>
              </a:graphicData>
            </a:graphic>
          </wp:inline>
        </w:drawing>
      </w:r>
    </w:p>
    <w:p w14:paraId="66E0EEA5">
      <w:pPr>
        <w:pStyle w:val="38"/>
        <w:rPr>
          <w:rFonts w:cs="Times New Roman"/>
          <w:color w:val="FF0000"/>
          <w:szCs w:val="24"/>
        </w:rPr>
      </w:pPr>
      <w:r>
        <w:rPr>
          <w:rFonts w:cs="Times New Roman"/>
          <w:color w:val="FF0000"/>
          <w:szCs w:val="24"/>
        </w:rPr>
        <w:t>图3-</w:t>
      </w:r>
      <w:r>
        <w:rPr>
          <w:rFonts w:hint="eastAsia" w:cs="Times New Roman"/>
          <w:color w:val="FF0000"/>
          <w:szCs w:val="24"/>
          <w:lang w:val="en-US" w:eastAsia="zh-CN"/>
        </w:rPr>
        <w:t>4</w:t>
      </w:r>
      <w:r>
        <w:rPr>
          <w:rFonts w:cs="Times New Roman"/>
          <w:color w:val="FF0000"/>
          <w:szCs w:val="24"/>
        </w:rPr>
        <w:t xml:space="preserve">  </w:t>
      </w:r>
      <w:r>
        <w:rPr>
          <w:rFonts w:hint="eastAsia" w:cs="Times New Roman"/>
          <w:color w:val="FF0000"/>
          <w:szCs w:val="24"/>
          <w:lang w:val="en-US" w:eastAsia="zh-CN"/>
        </w:rPr>
        <w:t>本</w:t>
      </w:r>
      <w:r>
        <w:rPr>
          <w:rFonts w:cs="Times New Roman"/>
          <w:color w:val="FF0000"/>
          <w:szCs w:val="24"/>
        </w:rPr>
        <w:t>项目</w:t>
      </w:r>
      <w:r>
        <w:rPr>
          <w:rFonts w:hint="eastAsia" w:cs="Times New Roman"/>
          <w:color w:val="FF0000"/>
          <w:szCs w:val="24"/>
          <w:lang w:val="en-US" w:eastAsia="zh-CN"/>
        </w:rPr>
        <w:t>（一期）实际建设平面布置</w:t>
      </w:r>
      <w:r>
        <w:rPr>
          <w:rFonts w:cs="Times New Roman"/>
          <w:color w:val="FF0000"/>
          <w:szCs w:val="24"/>
        </w:rPr>
        <w:t>图</w:t>
      </w:r>
    </w:p>
    <w:p w14:paraId="201A6F31">
      <w:pPr>
        <w:pStyle w:val="3"/>
        <w:spacing w:before="156" w:after="156"/>
        <w:ind w:firstLine="643"/>
        <w:rPr>
          <w:rFonts w:cs="Times New Roman"/>
          <w:color w:val="auto"/>
        </w:rPr>
      </w:pPr>
      <w:bookmarkStart w:id="4" w:name="_Toc172712286"/>
      <w:r>
        <w:rPr>
          <w:rFonts w:cs="Times New Roman"/>
          <w:color w:val="auto"/>
        </w:rPr>
        <w:t>3.2建设内容</w:t>
      </w:r>
      <w:bookmarkEnd w:id="4"/>
    </w:p>
    <w:p w14:paraId="1E30A9DD">
      <w:pPr>
        <w:ind w:firstLine="482"/>
        <w:outlineLvl w:val="2"/>
        <w:rPr>
          <w:rFonts w:cs="Times New Roman"/>
          <w:b/>
          <w:bCs/>
          <w:color w:val="auto"/>
        </w:rPr>
      </w:pPr>
      <w:r>
        <w:rPr>
          <w:rFonts w:hint="eastAsia" w:cs="Times New Roman"/>
          <w:b/>
          <w:bCs/>
          <w:color w:val="auto"/>
        </w:rPr>
        <w:t>3</w:t>
      </w:r>
      <w:r>
        <w:rPr>
          <w:rFonts w:cs="Times New Roman"/>
          <w:b/>
          <w:bCs/>
          <w:color w:val="auto"/>
        </w:rPr>
        <w:t xml:space="preserve">.2.1 </w:t>
      </w:r>
      <w:r>
        <w:rPr>
          <w:rFonts w:hint="eastAsia" w:cs="Times New Roman"/>
          <w:b/>
          <w:bCs/>
          <w:color w:val="auto"/>
        </w:rPr>
        <w:t>项目基本概况</w:t>
      </w:r>
    </w:p>
    <w:p w14:paraId="31286206">
      <w:pPr>
        <w:ind w:firstLine="480"/>
        <w:rPr>
          <w:rFonts w:cs="Times New Roman"/>
          <w:color w:val="auto"/>
        </w:rPr>
      </w:pPr>
      <w:r>
        <w:rPr>
          <w:rFonts w:cs="Times New Roman"/>
          <w:color w:val="auto"/>
        </w:rPr>
        <w:t>本项目基本概况与环评一致性分析</w:t>
      </w:r>
      <w:r>
        <w:rPr>
          <w:rFonts w:hint="eastAsia" w:cs="Times New Roman"/>
          <w:color w:val="auto"/>
          <w:lang w:val="en-US" w:eastAsia="zh-CN"/>
        </w:rPr>
        <w:t>见下</w:t>
      </w:r>
      <w:r>
        <w:rPr>
          <w:rFonts w:cs="Times New Roman"/>
          <w:color w:val="auto"/>
        </w:rPr>
        <w:t>表。</w:t>
      </w:r>
    </w:p>
    <w:p w14:paraId="754554FF">
      <w:pPr>
        <w:pStyle w:val="40"/>
        <w:adjustRightInd w:val="0"/>
        <w:snapToGrid w:val="0"/>
        <w:spacing w:beforeLines="0" w:line="520" w:lineRule="exact"/>
        <w:rPr>
          <w:color w:val="auto"/>
        </w:rPr>
      </w:pPr>
      <w:r>
        <w:rPr>
          <w:color w:val="auto"/>
        </w:rPr>
        <w:t xml:space="preserve">表3-1               </w:t>
      </w:r>
      <w:r>
        <w:rPr>
          <w:rFonts w:hint="eastAsia"/>
          <w:color w:val="auto"/>
          <w:lang w:val="en-US" w:eastAsia="zh-CN"/>
        </w:rPr>
        <w:t xml:space="preserve">     </w:t>
      </w:r>
      <w:r>
        <w:rPr>
          <w:color w:val="auto"/>
        </w:rPr>
        <w:t xml:space="preserve">             本项目基本概况一览表</w:t>
      </w:r>
    </w:p>
    <w:tbl>
      <w:tblPr>
        <w:tblStyle w:val="26"/>
        <w:tblW w:w="5000" w:type="pct"/>
        <w:jc w:val="center"/>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Layout w:type="fixed"/>
        <w:tblCellMar>
          <w:top w:w="0" w:type="dxa"/>
          <w:left w:w="28" w:type="dxa"/>
          <w:bottom w:w="0" w:type="dxa"/>
          <w:right w:w="28" w:type="dxa"/>
        </w:tblCellMar>
      </w:tblPr>
      <w:tblGrid>
        <w:gridCol w:w="589"/>
        <w:gridCol w:w="1150"/>
        <w:gridCol w:w="3175"/>
        <w:gridCol w:w="3292"/>
        <w:gridCol w:w="922"/>
      </w:tblGrid>
      <w:tr w14:paraId="10473842">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cantSplit/>
          <w:trHeight w:val="417" w:hRule="atLeast"/>
          <w:tblHeader/>
          <w:jc w:val="center"/>
        </w:trPr>
        <w:tc>
          <w:tcPr>
            <w:tcW w:w="589" w:type="dxa"/>
            <w:tcBorders>
              <w:bottom w:val="single" w:color="auto" w:sz="4" w:space="0"/>
              <w:right w:val="single" w:color="auto" w:sz="4" w:space="0"/>
            </w:tcBorders>
            <w:vAlign w:val="center"/>
          </w:tcPr>
          <w:p w14:paraId="7FDAAC26">
            <w:pPr>
              <w:pStyle w:val="39"/>
              <w:rPr>
                <w:b/>
                <w:color w:val="auto"/>
              </w:rPr>
            </w:pPr>
            <w:r>
              <w:rPr>
                <w:b/>
                <w:color w:val="auto"/>
              </w:rPr>
              <w:t>序号</w:t>
            </w:r>
          </w:p>
        </w:tc>
        <w:tc>
          <w:tcPr>
            <w:tcW w:w="1150" w:type="dxa"/>
            <w:tcBorders>
              <w:left w:val="single" w:color="auto" w:sz="4" w:space="0"/>
              <w:bottom w:val="single" w:color="auto" w:sz="4" w:space="0"/>
              <w:right w:val="single" w:color="auto" w:sz="4" w:space="0"/>
            </w:tcBorders>
            <w:vAlign w:val="center"/>
          </w:tcPr>
          <w:p w14:paraId="030B3534">
            <w:pPr>
              <w:pStyle w:val="39"/>
              <w:rPr>
                <w:b/>
                <w:color w:val="auto"/>
              </w:rPr>
            </w:pPr>
            <w:r>
              <w:rPr>
                <w:b/>
                <w:color w:val="auto"/>
              </w:rPr>
              <w:t>项目名称</w:t>
            </w:r>
          </w:p>
        </w:tc>
        <w:tc>
          <w:tcPr>
            <w:tcW w:w="3175" w:type="dxa"/>
            <w:tcBorders>
              <w:left w:val="single" w:color="auto" w:sz="4" w:space="0"/>
              <w:bottom w:val="single" w:color="auto" w:sz="4" w:space="0"/>
              <w:right w:val="single" w:color="auto" w:sz="4" w:space="0"/>
            </w:tcBorders>
            <w:vAlign w:val="center"/>
          </w:tcPr>
          <w:p w14:paraId="6004C80E">
            <w:pPr>
              <w:pStyle w:val="39"/>
              <w:rPr>
                <w:b/>
                <w:color w:val="auto"/>
              </w:rPr>
            </w:pPr>
            <w:r>
              <w:rPr>
                <w:b/>
                <w:color w:val="auto"/>
              </w:rPr>
              <w:t>环评内容</w:t>
            </w:r>
          </w:p>
        </w:tc>
        <w:tc>
          <w:tcPr>
            <w:tcW w:w="3292" w:type="dxa"/>
            <w:tcBorders>
              <w:top w:val="single" w:color="auto" w:sz="8" w:space="0"/>
              <w:left w:val="single" w:color="auto" w:sz="4" w:space="0"/>
              <w:bottom w:val="single" w:color="auto" w:sz="4" w:space="0"/>
              <w:right w:val="single" w:color="auto" w:sz="4" w:space="0"/>
            </w:tcBorders>
            <w:vAlign w:val="center"/>
          </w:tcPr>
          <w:p w14:paraId="327BBBD2">
            <w:pPr>
              <w:pStyle w:val="39"/>
              <w:rPr>
                <w:b/>
                <w:color w:val="auto"/>
              </w:rPr>
            </w:pPr>
            <w:r>
              <w:rPr>
                <w:b/>
                <w:color w:val="auto"/>
              </w:rPr>
              <w:t>实际建设内容</w:t>
            </w:r>
          </w:p>
        </w:tc>
        <w:tc>
          <w:tcPr>
            <w:tcW w:w="922" w:type="dxa"/>
            <w:tcBorders>
              <w:left w:val="single" w:color="auto" w:sz="4" w:space="0"/>
              <w:bottom w:val="single" w:color="auto" w:sz="4" w:space="0"/>
            </w:tcBorders>
            <w:vAlign w:val="center"/>
          </w:tcPr>
          <w:p w14:paraId="4FE145FF">
            <w:pPr>
              <w:adjustRightInd/>
              <w:snapToGrid/>
              <w:spacing w:line="240" w:lineRule="auto"/>
              <w:ind w:firstLine="0" w:firstLineChars="0"/>
              <w:jc w:val="center"/>
              <w:rPr>
                <w:rFonts w:cs="Times New Roman"/>
                <w:b/>
                <w:color w:val="auto"/>
                <w:kern w:val="2"/>
                <w:sz w:val="21"/>
                <w:szCs w:val="20"/>
              </w:rPr>
            </w:pPr>
            <w:r>
              <w:rPr>
                <w:rFonts w:cs="Times New Roman"/>
                <w:b/>
                <w:color w:val="auto"/>
                <w:kern w:val="2"/>
                <w:sz w:val="21"/>
                <w:szCs w:val="20"/>
              </w:rPr>
              <w:t>一致性</w:t>
            </w:r>
          </w:p>
        </w:tc>
      </w:tr>
      <w:tr w14:paraId="5BFFADEC">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cantSplit/>
          <w:trHeight w:val="397" w:hRule="atLeast"/>
          <w:jc w:val="center"/>
        </w:trPr>
        <w:tc>
          <w:tcPr>
            <w:tcW w:w="589" w:type="dxa"/>
            <w:tcBorders>
              <w:top w:val="single" w:color="auto" w:sz="4" w:space="0"/>
              <w:bottom w:val="single" w:color="auto" w:sz="4" w:space="0"/>
              <w:right w:val="single" w:color="auto" w:sz="4" w:space="0"/>
            </w:tcBorders>
            <w:vAlign w:val="center"/>
          </w:tcPr>
          <w:p w14:paraId="6D5F232F">
            <w:pPr>
              <w:pStyle w:val="39"/>
              <w:rPr>
                <w:color w:val="auto"/>
              </w:rPr>
            </w:pPr>
            <w:r>
              <w:rPr>
                <w:color w:val="auto"/>
              </w:rPr>
              <w:t>1</w:t>
            </w:r>
          </w:p>
        </w:tc>
        <w:tc>
          <w:tcPr>
            <w:tcW w:w="1150" w:type="dxa"/>
            <w:tcBorders>
              <w:top w:val="single" w:color="auto" w:sz="4" w:space="0"/>
              <w:left w:val="single" w:color="auto" w:sz="4" w:space="0"/>
              <w:bottom w:val="single" w:color="auto" w:sz="4" w:space="0"/>
              <w:right w:val="single" w:color="auto" w:sz="4" w:space="0"/>
            </w:tcBorders>
            <w:vAlign w:val="center"/>
          </w:tcPr>
          <w:p w14:paraId="75D5A101">
            <w:pPr>
              <w:pStyle w:val="39"/>
              <w:rPr>
                <w:color w:val="auto"/>
              </w:rPr>
            </w:pPr>
            <w:r>
              <w:rPr>
                <w:rFonts w:hint="eastAsia"/>
                <w:color w:val="auto"/>
              </w:rPr>
              <w:t>项目名称</w:t>
            </w:r>
          </w:p>
        </w:tc>
        <w:tc>
          <w:tcPr>
            <w:tcW w:w="3175" w:type="dxa"/>
            <w:tcBorders>
              <w:top w:val="single" w:color="auto" w:sz="4" w:space="0"/>
              <w:left w:val="single" w:color="auto" w:sz="4" w:space="0"/>
              <w:bottom w:val="single" w:color="auto" w:sz="4" w:space="0"/>
              <w:right w:val="single" w:color="auto" w:sz="4" w:space="0"/>
            </w:tcBorders>
            <w:vAlign w:val="center"/>
          </w:tcPr>
          <w:p w14:paraId="1F8EA8F6">
            <w:pPr>
              <w:pStyle w:val="39"/>
              <w:rPr>
                <w:rFonts w:hint="eastAsia" w:eastAsia="宋体"/>
                <w:color w:val="auto"/>
                <w:lang w:eastAsia="zh-CN"/>
              </w:rPr>
            </w:pPr>
            <w:r>
              <w:rPr>
                <w:rFonts w:hint="eastAsia"/>
                <w:color w:val="auto"/>
                <w:lang w:eastAsia="zh-CN"/>
              </w:rPr>
              <w:t>年产2万吨五金件、2万吨汽车配件、800吨钢带、5亿只电池钢壳项目</w:t>
            </w:r>
          </w:p>
        </w:tc>
        <w:tc>
          <w:tcPr>
            <w:tcW w:w="3292" w:type="dxa"/>
            <w:tcBorders>
              <w:top w:val="single" w:color="auto" w:sz="4" w:space="0"/>
              <w:left w:val="single" w:color="auto" w:sz="4" w:space="0"/>
              <w:bottom w:val="single" w:color="auto" w:sz="4" w:space="0"/>
              <w:right w:val="single" w:color="auto" w:sz="4" w:space="0"/>
            </w:tcBorders>
            <w:vAlign w:val="center"/>
          </w:tcPr>
          <w:p w14:paraId="3EF4BA1D">
            <w:pPr>
              <w:pStyle w:val="39"/>
              <w:rPr>
                <w:color w:val="auto"/>
              </w:rPr>
            </w:pPr>
            <w:r>
              <w:rPr>
                <w:rFonts w:hint="eastAsia"/>
                <w:color w:val="auto"/>
                <w:lang w:eastAsia="zh-CN"/>
              </w:rPr>
              <w:t>年产2万吨五金件、2万吨汽车配件、800吨钢带、5亿只电池钢壳项目</w:t>
            </w:r>
            <w:r>
              <w:rPr>
                <w:rFonts w:hint="eastAsia"/>
                <w:color w:val="auto"/>
              </w:rPr>
              <w:t>（一期）</w:t>
            </w:r>
          </w:p>
        </w:tc>
        <w:tc>
          <w:tcPr>
            <w:tcW w:w="922" w:type="dxa"/>
            <w:tcBorders>
              <w:top w:val="single" w:color="auto" w:sz="4" w:space="0"/>
              <w:left w:val="single" w:color="auto" w:sz="4" w:space="0"/>
              <w:bottom w:val="single" w:color="auto" w:sz="4" w:space="0"/>
            </w:tcBorders>
            <w:vAlign w:val="center"/>
          </w:tcPr>
          <w:p w14:paraId="4D94AEB8">
            <w:pPr>
              <w:pStyle w:val="39"/>
              <w:rPr>
                <w:color w:val="auto"/>
              </w:rPr>
            </w:pPr>
            <w:r>
              <w:rPr>
                <w:rFonts w:hint="eastAsia"/>
                <w:color w:val="auto"/>
              </w:rPr>
              <w:t>分期建设</w:t>
            </w:r>
          </w:p>
        </w:tc>
      </w:tr>
      <w:tr w14:paraId="53017BFC">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cantSplit/>
          <w:trHeight w:val="397" w:hRule="atLeast"/>
          <w:jc w:val="center"/>
        </w:trPr>
        <w:tc>
          <w:tcPr>
            <w:tcW w:w="589" w:type="dxa"/>
            <w:tcBorders>
              <w:top w:val="single" w:color="auto" w:sz="4" w:space="0"/>
              <w:bottom w:val="single" w:color="auto" w:sz="4" w:space="0"/>
              <w:right w:val="single" w:color="auto" w:sz="4" w:space="0"/>
            </w:tcBorders>
            <w:vAlign w:val="center"/>
          </w:tcPr>
          <w:p w14:paraId="1745EFAE">
            <w:pPr>
              <w:pStyle w:val="39"/>
              <w:rPr>
                <w:color w:val="auto"/>
              </w:rPr>
            </w:pPr>
            <w:r>
              <w:rPr>
                <w:color w:val="auto"/>
              </w:rPr>
              <w:t>2</w:t>
            </w:r>
          </w:p>
        </w:tc>
        <w:tc>
          <w:tcPr>
            <w:tcW w:w="1150" w:type="dxa"/>
            <w:tcBorders>
              <w:top w:val="single" w:color="auto" w:sz="4" w:space="0"/>
              <w:left w:val="single" w:color="auto" w:sz="4" w:space="0"/>
              <w:bottom w:val="single" w:color="auto" w:sz="4" w:space="0"/>
              <w:right w:val="single" w:color="auto" w:sz="4" w:space="0"/>
            </w:tcBorders>
            <w:vAlign w:val="center"/>
          </w:tcPr>
          <w:p w14:paraId="7108A66C">
            <w:pPr>
              <w:pStyle w:val="39"/>
              <w:rPr>
                <w:color w:val="auto"/>
              </w:rPr>
            </w:pPr>
            <w:r>
              <w:rPr>
                <w:color w:val="auto"/>
              </w:rPr>
              <w:t>建设单位</w:t>
            </w:r>
          </w:p>
        </w:tc>
        <w:tc>
          <w:tcPr>
            <w:tcW w:w="3175" w:type="dxa"/>
            <w:tcBorders>
              <w:top w:val="single" w:color="auto" w:sz="4" w:space="0"/>
              <w:left w:val="single" w:color="auto" w:sz="4" w:space="0"/>
              <w:bottom w:val="single" w:color="auto" w:sz="4" w:space="0"/>
              <w:right w:val="single" w:color="auto" w:sz="4" w:space="0"/>
            </w:tcBorders>
            <w:vAlign w:val="center"/>
          </w:tcPr>
          <w:p w14:paraId="73E5709F">
            <w:pPr>
              <w:pStyle w:val="39"/>
              <w:rPr>
                <w:color w:val="auto"/>
              </w:rPr>
            </w:pPr>
            <w:r>
              <w:rPr>
                <w:color w:val="auto"/>
              </w:rPr>
              <w:t>新乡市万宝科技有限公司</w:t>
            </w:r>
          </w:p>
        </w:tc>
        <w:tc>
          <w:tcPr>
            <w:tcW w:w="3292" w:type="dxa"/>
            <w:tcBorders>
              <w:top w:val="single" w:color="auto" w:sz="4" w:space="0"/>
              <w:left w:val="single" w:color="auto" w:sz="4" w:space="0"/>
              <w:bottom w:val="single" w:color="auto" w:sz="4" w:space="0"/>
              <w:right w:val="single" w:color="auto" w:sz="4" w:space="0"/>
            </w:tcBorders>
            <w:vAlign w:val="center"/>
          </w:tcPr>
          <w:p w14:paraId="441E7979">
            <w:pPr>
              <w:pStyle w:val="39"/>
              <w:rPr>
                <w:color w:val="auto"/>
              </w:rPr>
            </w:pPr>
            <w:r>
              <w:rPr>
                <w:color w:val="auto"/>
              </w:rPr>
              <w:t>新乡市万宝科技有限公司</w:t>
            </w:r>
          </w:p>
        </w:tc>
        <w:tc>
          <w:tcPr>
            <w:tcW w:w="922" w:type="dxa"/>
            <w:tcBorders>
              <w:top w:val="single" w:color="auto" w:sz="4" w:space="0"/>
              <w:left w:val="single" w:color="auto" w:sz="4" w:space="0"/>
              <w:bottom w:val="single" w:color="auto" w:sz="4" w:space="0"/>
            </w:tcBorders>
            <w:vAlign w:val="center"/>
          </w:tcPr>
          <w:p w14:paraId="6026FE95">
            <w:pPr>
              <w:pStyle w:val="39"/>
              <w:rPr>
                <w:color w:val="auto"/>
              </w:rPr>
            </w:pPr>
            <w:r>
              <w:rPr>
                <w:color w:val="auto"/>
              </w:rPr>
              <w:t>一致</w:t>
            </w:r>
          </w:p>
        </w:tc>
      </w:tr>
      <w:tr w14:paraId="46B52C11">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cantSplit/>
          <w:trHeight w:val="397" w:hRule="atLeast"/>
          <w:jc w:val="center"/>
        </w:trPr>
        <w:tc>
          <w:tcPr>
            <w:tcW w:w="589" w:type="dxa"/>
            <w:tcBorders>
              <w:top w:val="single" w:color="auto" w:sz="4" w:space="0"/>
              <w:bottom w:val="single" w:color="auto" w:sz="4" w:space="0"/>
              <w:right w:val="single" w:color="auto" w:sz="4" w:space="0"/>
            </w:tcBorders>
            <w:vAlign w:val="center"/>
          </w:tcPr>
          <w:p w14:paraId="7AFE54ED">
            <w:pPr>
              <w:pStyle w:val="39"/>
              <w:rPr>
                <w:color w:val="auto"/>
              </w:rPr>
            </w:pPr>
            <w:r>
              <w:rPr>
                <w:color w:val="auto"/>
              </w:rPr>
              <w:t>4</w:t>
            </w:r>
          </w:p>
        </w:tc>
        <w:tc>
          <w:tcPr>
            <w:tcW w:w="1150" w:type="dxa"/>
            <w:tcBorders>
              <w:top w:val="single" w:color="auto" w:sz="4" w:space="0"/>
              <w:left w:val="single" w:color="auto" w:sz="4" w:space="0"/>
              <w:bottom w:val="single" w:color="auto" w:sz="4" w:space="0"/>
              <w:right w:val="single" w:color="auto" w:sz="4" w:space="0"/>
            </w:tcBorders>
            <w:vAlign w:val="center"/>
          </w:tcPr>
          <w:p w14:paraId="0A0CF4E6">
            <w:pPr>
              <w:pStyle w:val="39"/>
              <w:rPr>
                <w:color w:val="auto"/>
              </w:rPr>
            </w:pPr>
            <w:r>
              <w:rPr>
                <w:color w:val="auto"/>
              </w:rPr>
              <w:t>项目投资</w:t>
            </w:r>
          </w:p>
        </w:tc>
        <w:tc>
          <w:tcPr>
            <w:tcW w:w="3175" w:type="dxa"/>
            <w:tcBorders>
              <w:top w:val="single" w:color="auto" w:sz="4" w:space="0"/>
              <w:left w:val="single" w:color="auto" w:sz="4" w:space="0"/>
              <w:bottom w:val="single" w:color="auto" w:sz="4" w:space="0"/>
              <w:right w:val="single" w:color="auto" w:sz="4" w:space="0"/>
            </w:tcBorders>
            <w:vAlign w:val="center"/>
          </w:tcPr>
          <w:p w14:paraId="2E1BC524">
            <w:pPr>
              <w:pStyle w:val="39"/>
              <w:rPr>
                <w:color w:val="auto"/>
              </w:rPr>
            </w:pPr>
            <w:r>
              <w:rPr>
                <w:rFonts w:hint="eastAsia"/>
                <w:color w:val="auto"/>
                <w:lang w:val="en-US" w:eastAsia="zh-CN"/>
              </w:rPr>
              <w:t>2</w:t>
            </w:r>
            <w:r>
              <w:rPr>
                <w:rFonts w:hint="eastAsia"/>
                <w:color w:val="auto"/>
              </w:rPr>
              <w:t>0</w:t>
            </w:r>
            <w:r>
              <w:rPr>
                <w:color w:val="auto"/>
              </w:rPr>
              <w:t>00</w:t>
            </w:r>
            <w:r>
              <w:rPr>
                <w:rFonts w:hint="eastAsia"/>
                <w:color w:val="auto"/>
              </w:rPr>
              <w:t>万元</w:t>
            </w:r>
          </w:p>
        </w:tc>
        <w:tc>
          <w:tcPr>
            <w:tcW w:w="3292" w:type="dxa"/>
            <w:tcBorders>
              <w:top w:val="single" w:color="auto" w:sz="4" w:space="0"/>
              <w:left w:val="single" w:color="auto" w:sz="4" w:space="0"/>
              <w:bottom w:val="single" w:color="auto" w:sz="4" w:space="0"/>
              <w:right w:val="single" w:color="auto" w:sz="4" w:space="0"/>
            </w:tcBorders>
            <w:vAlign w:val="center"/>
          </w:tcPr>
          <w:p w14:paraId="7A66C8A5">
            <w:pPr>
              <w:pStyle w:val="39"/>
              <w:rPr>
                <w:rFonts w:hint="eastAsia"/>
                <w:color w:val="auto"/>
                <w:lang w:eastAsia="zh-CN"/>
              </w:rPr>
            </w:pPr>
            <w:r>
              <w:rPr>
                <w:rFonts w:hint="eastAsia"/>
                <w:color w:val="auto"/>
                <w:lang w:eastAsia="zh-CN"/>
              </w:rPr>
              <w:t>1000万元</w:t>
            </w:r>
          </w:p>
        </w:tc>
        <w:tc>
          <w:tcPr>
            <w:tcW w:w="922" w:type="dxa"/>
            <w:tcBorders>
              <w:top w:val="single" w:color="auto" w:sz="4" w:space="0"/>
              <w:left w:val="single" w:color="auto" w:sz="4" w:space="0"/>
              <w:bottom w:val="single" w:color="auto" w:sz="4" w:space="0"/>
            </w:tcBorders>
            <w:vAlign w:val="center"/>
          </w:tcPr>
          <w:p w14:paraId="542C6896">
            <w:pPr>
              <w:pStyle w:val="39"/>
              <w:rPr>
                <w:color w:val="auto"/>
              </w:rPr>
            </w:pPr>
            <w:r>
              <w:rPr>
                <w:rFonts w:hint="eastAsia"/>
                <w:color w:val="auto"/>
              </w:rPr>
              <w:t>分期建设</w:t>
            </w:r>
          </w:p>
        </w:tc>
      </w:tr>
      <w:tr w14:paraId="28F6C11D">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cantSplit/>
          <w:trHeight w:val="397" w:hRule="atLeast"/>
          <w:jc w:val="center"/>
        </w:trPr>
        <w:tc>
          <w:tcPr>
            <w:tcW w:w="589" w:type="dxa"/>
            <w:tcBorders>
              <w:top w:val="single" w:color="auto" w:sz="4" w:space="0"/>
              <w:bottom w:val="single" w:color="auto" w:sz="4" w:space="0"/>
              <w:right w:val="single" w:color="auto" w:sz="4" w:space="0"/>
            </w:tcBorders>
            <w:vAlign w:val="center"/>
          </w:tcPr>
          <w:p w14:paraId="51AF54D2">
            <w:pPr>
              <w:pStyle w:val="39"/>
              <w:rPr>
                <w:color w:val="auto"/>
              </w:rPr>
            </w:pPr>
            <w:r>
              <w:rPr>
                <w:color w:val="auto"/>
              </w:rPr>
              <w:t>5</w:t>
            </w:r>
          </w:p>
        </w:tc>
        <w:tc>
          <w:tcPr>
            <w:tcW w:w="1150" w:type="dxa"/>
            <w:tcBorders>
              <w:top w:val="single" w:color="auto" w:sz="4" w:space="0"/>
              <w:left w:val="single" w:color="auto" w:sz="4" w:space="0"/>
              <w:bottom w:val="single" w:color="auto" w:sz="4" w:space="0"/>
              <w:right w:val="single" w:color="auto" w:sz="4" w:space="0"/>
            </w:tcBorders>
            <w:vAlign w:val="center"/>
          </w:tcPr>
          <w:p w14:paraId="4E55EABC">
            <w:pPr>
              <w:pStyle w:val="39"/>
              <w:rPr>
                <w:color w:val="auto"/>
              </w:rPr>
            </w:pPr>
            <w:r>
              <w:rPr>
                <w:rFonts w:hint="eastAsia"/>
                <w:color w:val="auto"/>
              </w:rPr>
              <w:t>产品方案</w:t>
            </w:r>
          </w:p>
        </w:tc>
        <w:tc>
          <w:tcPr>
            <w:tcW w:w="3175" w:type="dxa"/>
            <w:tcBorders>
              <w:top w:val="single" w:color="auto" w:sz="4" w:space="0"/>
              <w:left w:val="single" w:color="auto" w:sz="4" w:space="0"/>
              <w:bottom w:val="single" w:color="auto" w:sz="4" w:space="0"/>
              <w:right w:val="single" w:color="auto" w:sz="4" w:space="0"/>
            </w:tcBorders>
            <w:vAlign w:val="center"/>
          </w:tcPr>
          <w:p w14:paraId="511AFE18">
            <w:pPr>
              <w:pStyle w:val="39"/>
              <w:rPr>
                <w:color w:val="auto"/>
              </w:rPr>
            </w:pPr>
            <w:r>
              <w:rPr>
                <w:rFonts w:hint="eastAsia"/>
                <w:color w:val="auto"/>
                <w:lang w:eastAsia="zh-CN"/>
              </w:rPr>
              <w:t>年产2万吨五金件、2万吨汽车配件、800吨钢带、5亿只电池钢壳</w:t>
            </w:r>
          </w:p>
        </w:tc>
        <w:tc>
          <w:tcPr>
            <w:tcW w:w="3292" w:type="dxa"/>
            <w:tcBorders>
              <w:top w:val="single" w:color="auto" w:sz="4" w:space="0"/>
              <w:left w:val="single" w:color="auto" w:sz="4" w:space="0"/>
              <w:bottom w:val="single" w:color="auto" w:sz="4" w:space="0"/>
              <w:right w:val="single" w:color="auto" w:sz="4" w:space="0"/>
            </w:tcBorders>
            <w:vAlign w:val="center"/>
          </w:tcPr>
          <w:p w14:paraId="1392C9B8">
            <w:pPr>
              <w:pStyle w:val="39"/>
              <w:rPr>
                <w:rFonts w:hint="eastAsia"/>
                <w:color w:val="auto"/>
                <w:lang w:eastAsia="zh-CN"/>
              </w:rPr>
            </w:pPr>
            <w:r>
              <w:rPr>
                <w:rFonts w:hint="eastAsia"/>
                <w:color w:val="auto"/>
                <w:lang w:eastAsia="zh-CN"/>
              </w:rPr>
              <w:t>年产</w:t>
            </w:r>
            <w:r>
              <w:rPr>
                <w:rFonts w:hint="eastAsia"/>
                <w:color w:val="auto"/>
                <w:lang w:val="en-US" w:eastAsia="zh-CN"/>
              </w:rPr>
              <w:t>8000</w:t>
            </w:r>
            <w:r>
              <w:rPr>
                <w:rFonts w:hint="eastAsia"/>
                <w:color w:val="auto"/>
                <w:lang w:eastAsia="zh-CN"/>
              </w:rPr>
              <w:t>吨汽车配件、</w:t>
            </w:r>
            <w:r>
              <w:rPr>
                <w:rFonts w:hint="eastAsia"/>
                <w:color w:val="auto"/>
                <w:lang w:val="en-US" w:eastAsia="zh-CN"/>
              </w:rPr>
              <w:t>58</w:t>
            </w:r>
            <w:r>
              <w:rPr>
                <w:rFonts w:hint="eastAsia"/>
                <w:color w:val="auto"/>
                <w:lang w:eastAsia="zh-CN"/>
              </w:rPr>
              <w:t>0吨钢带</w:t>
            </w:r>
          </w:p>
        </w:tc>
        <w:tc>
          <w:tcPr>
            <w:tcW w:w="922" w:type="dxa"/>
            <w:tcBorders>
              <w:top w:val="single" w:color="auto" w:sz="4" w:space="0"/>
              <w:left w:val="single" w:color="auto" w:sz="4" w:space="0"/>
              <w:bottom w:val="single" w:color="auto" w:sz="4" w:space="0"/>
            </w:tcBorders>
            <w:vAlign w:val="center"/>
          </w:tcPr>
          <w:p w14:paraId="01515A02">
            <w:pPr>
              <w:pStyle w:val="39"/>
              <w:rPr>
                <w:rFonts w:hint="default" w:eastAsia="宋体"/>
                <w:color w:val="auto"/>
                <w:lang w:val="en-US" w:eastAsia="zh-CN"/>
              </w:rPr>
            </w:pPr>
            <w:r>
              <w:rPr>
                <w:rFonts w:hint="eastAsia"/>
                <w:color w:val="FF0000"/>
                <w:lang w:val="en-US" w:eastAsia="zh-CN"/>
              </w:rPr>
              <w:t>分期建设，本次一期内容</w:t>
            </w:r>
          </w:p>
        </w:tc>
      </w:tr>
      <w:tr w14:paraId="3909C839">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cantSplit/>
          <w:trHeight w:val="397" w:hRule="atLeast"/>
          <w:jc w:val="center"/>
        </w:trPr>
        <w:tc>
          <w:tcPr>
            <w:tcW w:w="589" w:type="dxa"/>
            <w:tcBorders>
              <w:top w:val="single" w:color="auto" w:sz="4" w:space="0"/>
              <w:bottom w:val="single" w:color="auto" w:sz="4" w:space="0"/>
              <w:right w:val="single" w:color="auto" w:sz="4" w:space="0"/>
            </w:tcBorders>
            <w:vAlign w:val="center"/>
          </w:tcPr>
          <w:p w14:paraId="1664F90F">
            <w:pPr>
              <w:pStyle w:val="39"/>
              <w:rPr>
                <w:color w:val="auto"/>
              </w:rPr>
            </w:pPr>
            <w:r>
              <w:rPr>
                <w:color w:val="auto"/>
              </w:rPr>
              <w:t>6</w:t>
            </w:r>
          </w:p>
        </w:tc>
        <w:tc>
          <w:tcPr>
            <w:tcW w:w="1150" w:type="dxa"/>
            <w:tcBorders>
              <w:top w:val="single" w:color="auto" w:sz="4" w:space="0"/>
              <w:left w:val="single" w:color="auto" w:sz="4" w:space="0"/>
              <w:bottom w:val="single" w:color="auto" w:sz="4" w:space="0"/>
              <w:right w:val="single" w:color="auto" w:sz="4" w:space="0"/>
            </w:tcBorders>
            <w:vAlign w:val="center"/>
          </w:tcPr>
          <w:p w14:paraId="3AB37A35">
            <w:pPr>
              <w:pStyle w:val="39"/>
              <w:rPr>
                <w:color w:val="auto"/>
              </w:rPr>
            </w:pPr>
            <w:r>
              <w:rPr>
                <w:color w:val="auto"/>
              </w:rPr>
              <w:t>占地面积</w:t>
            </w:r>
          </w:p>
        </w:tc>
        <w:tc>
          <w:tcPr>
            <w:tcW w:w="3175" w:type="dxa"/>
            <w:tcBorders>
              <w:top w:val="single" w:color="auto" w:sz="4" w:space="0"/>
              <w:left w:val="single" w:color="auto" w:sz="4" w:space="0"/>
              <w:bottom w:val="single" w:color="auto" w:sz="4" w:space="0"/>
              <w:right w:val="single" w:color="auto" w:sz="4" w:space="0"/>
            </w:tcBorders>
            <w:vAlign w:val="center"/>
          </w:tcPr>
          <w:p w14:paraId="12642138">
            <w:pPr>
              <w:pStyle w:val="39"/>
              <w:rPr>
                <w:rFonts w:hint="default" w:eastAsia="宋体"/>
                <w:color w:val="auto"/>
                <w:lang w:val="en-US" w:eastAsia="zh-CN"/>
              </w:rPr>
            </w:pPr>
            <w:r>
              <w:rPr>
                <w:rFonts w:hint="eastAsia"/>
                <w:color w:val="auto"/>
                <w:lang w:val="en-US" w:eastAsia="zh-CN"/>
              </w:rPr>
              <w:t>不新增用地</w:t>
            </w:r>
          </w:p>
        </w:tc>
        <w:tc>
          <w:tcPr>
            <w:tcW w:w="3292" w:type="dxa"/>
            <w:tcBorders>
              <w:top w:val="single" w:color="auto" w:sz="4" w:space="0"/>
              <w:left w:val="single" w:color="auto" w:sz="4" w:space="0"/>
              <w:bottom w:val="single" w:color="auto" w:sz="4" w:space="0"/>
              <w:right w:val="single" w:color="auto" w:sz="4" w:space="0"/>
            </w:tcBorders>
            <w:vAlign w:val="center"/>
          </w:tcPr>
          <w:p w14:paraId="265B0C48">
            <w:pPr>
              <w:pStyle w:val="39"/>
              <w:rPr>
                <w:rFonts w:hint="eastAsia"/>
                <w:color w:val="auto"/>
                <w:lang w:eastAsia="zh-CN"/>
              </w:rPr>
            </w:pPr>
            <w:r>
              <w:rPr>
                <w:rFonts w:hint="eastAsia"/>
                <w:color w:val="auto"/>
                <w:lang w:val="en-US" w:eastAsia="zh-CN"/>
              </w:rPr>
              <w:t>不新增用地</w:t>
            </w:r>
          </w:p>
        </w:tc>
        <w:tc>
          <w:tcPr>
            <w:tcW w:w="922" w:type="dxa"/>
            <w:tcBorders>
              <w:top w:val="single" w:color="auto" w:sz="4" w:space="0"/>
              <w:left w:val="single" w:color="auto" w:sz="4" w:space="0"/>
              <w:bottom w:val="single" w:color="auto" w:sz="4" w:space="0"/>
            </w:tcBorders>
            <w:vAlign w:val="center"/>
          </w:tcPr>
          <w:p w14:paraId="0DF2DCB5">
            <w:pPr>
              <w:pStyle w:val="39"/>
              <w:rPr>
                <w:rFonts w:hint="eastAsia" w:eastAsia="宋体"/>
                <w:color w:val="auto"/>
                <w:lang w:eastAsia="zh-CN"/>
              </w:rPr>
            </w:pPr>
            <w:r>
              <w:rPr>
                <w:rFonts w:hint="eastAsia"/>
                <w:color w:val="auto"/>
                <w:lang w:val="en-US" w:eastAsia="zh-CN"/>
              </w:rPr>
              <w:t>一致</w:t>
            </w:r>
          </w:p>
        </w:tc>
      </w:tr>
      <w:tr w14:paraId="25B67CFC">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cantSplit/>
          <w:trHeight w:val="397" w:hRule="atLeast"/>
          <w:jc w:val="center"/>
        </w:trPr>
        <w:tc>
          <w:tcPr>
            <w:tcW w:w="589" w:type="dxa"/>
            <w:tcBorders>
              <w:top w:val="single" w:color="auto" w:sz="4" w:space="0"/>
              <w:right w:val="single" w:color="auto" w:sz="4" w:space="0"/>
            </w:tcBorders>
            <w:vAlign w:val="center"/>
          </w:tcPr>
          <w:p w14:paraId="2F685F65">
            <w:pPr>
              <w:pStyle w:val="39"/>
              <w:rPr>
                <w:color w:val="auto"/>
              </w:rPr>
            </w:pPr>
            <w:r>
              <w:rPr>
                <w:color w:val="auto"/>
              </w:rPr>
              <w:t>7</w:t>
            </w:r>
          </w:p>
        </w:tc>
        <w:tc>
          <w:tcPr>
            <w:tcW w:w="1150" w:type="dxa"/>
            <w:tcBorders>
              <w:top w:val="single" w:color="auto" w:sz="4" w:space="0"/>
              <w:left w:val="single" w:color="auto" w:sz="4" w:space="0"/>
              <w:right w:val="single" w:color="auto" w:sz="4" w:space="0"/>
            </w:tcBorders>
            <w:vAlign w:val="center"/>
          </w:tcPr>
          <w:p w14:paraId="522069A7">
            <w:pPr>
              <w:pStyle w:val="39"/>
              <w:rPr>
                <w:color w:val="auto"/>
              </w:rPr>
            </w:pPr>
            <w:r>
              <w:rPr>
                <w:color w:val="auto"/>
              </w:rPr>
              <w:t>项目选址</w:t>
            </w:r>
          </w:p>
        </w:tc>
        <w:tc>
          <w:tcPr>
            <w:tcW w:w="3175" w:type="dxa"/>
            <w:tcBorders>
              <w:top w:val="single" w:color="auto" w:sz="4" w:space="0"/>
              <w:left w:val="single" w:color="auto" w:sz="4" w:space="0"/>
              <w:right w:val="single" w:color="auto" w:sz="4" w:space="0"/>
            </w:tcBorders>
            <w:vAlign w:val="center"/>
          </w:tcPr>
          <w:p w14:paraId="4081FBD7">
            <w:pPr>
              <w:pStyle w:val="39"/>
              <w:rPr>
                <w:color w:val="auto"/>
              </w:rPr>
            </w:pPr>
            <w:r>
              <w:rPr>
                <w:color w:val="auto"/>
              </w:rPr>
              <w:t>新乡市凤泉区大块镇陈堡村丰源路5号</w:t>
            </w:r>
          </w:p>
        </w:tc>
        <w:tc>
          <w:tcPr>
            <w:tcW w:w="3292" w:type="dxa"/>
            <w:tcBorders>
              <w:top w:val="single" w:color="auto" w:sz="4" w:space="0"/>
              <w:left w:val="single" w:color="auto" w:sz="4" w:space="0"/>
              <w:right w:val="single" w:color="auto" w:sz="4" w:space="0"/>
            </w:tcBorders>
            <w:vAlign w:val="center"/>
          </w:tcPr>
          <w:p w14:paraId="55A74E95">
            <w:pPr>
              <w:pStyle w:val="39"/>
              <w:rPr>
                <w:rFonts w:hint="eastAsia"/>
                <w:color w:val="auto"/>
                <w:lang w:eastAsia="zh-CN"/>
              </w:rPr>
            </w:pPr>
            <w:r>
              <w:rPr>
                <w:rFonts w:hint="eastAsia"/>
                <w:color w:val="auto"/>
                <w:lang w:eastAsia="zh-CN"/>
              </w:rPr>
              <w:t>新乡市凤泉区大块镇陈堡村丰源路5号</w:t>
            </w:r>
          </w:p>
        </w:tc>
        <w:tc>
          <w:tcPr>
            <w:tcW w:w="922" w:type="dxa"/>
            <w:tcBorders>
              <w:top w:val="single" w:color="auto" w:sz="4" w:space="0"/>
              <w:left w:val="single" w:color="auto" w:sz="4" w:space="0"/>
            </w:tcBorders>
            <w:vAlign w:val="center"/>
          </w:tcPr>
          <w:p w14:paraId="0E7E7E0D">
            <w:pPr>
              <w:pStyle w:val="39"/>
              <w:rPr>
                <w:color w:val="auto"/>
              </w:rPr>
            </w:pPr>
            <w:r>
              <w:rPr>
                <w:color w:val="auto"/>
              </w:rPr>
              <w:t>一致</w:t>
            </w:r>
          </w:p>
        </w:tc>
      </w:tr>
      <w:tr w14:paraId="1F342BD4">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cantSplit/>
          <w:trHeight w:val="397" w:hRule="atLeast"/>
          <w:jc w:val="center"/>
        </w:trPr>
        <w:tc>
          <w:tcPr>
            <w:tcW w:w="589" w:type="dxa"/>
            <w:tcBorders>
              <w:left w:val="single" w:color="auto" w:sz="8" w:space="0"/>
              <w:bottom w:val="single" w:color="auto" w:sz="4" w:space="0"/>
              <w:right w:val="single" w:color="auto" w:sz="4" w:space="0"/>
            </w:tcBorders>
            <w:vAlign w:val="center"/>
          </w:tcPr>
          <w:p w14:paraId="64E5953A">
            <w:pPr>
              <w:pStyle w:val="39"/>
              <w:rPr>
                <w:color w:val="auto"/>
              </w:rPr>
            </w:pPr>
            <w:r>
              <w:rPr>
                <w:rFonts w:hint="eastAsia"/>
                <w:color w:val="auto"/>
              </w:rPr>
              <w:t>8</w:t>
            </w:r>
          </w:p>
        </w:tc>
        <w:tc>
          <w:tcPr>
            <w:tcW w:w="1150" w:type="dxa"/>
            <w:tcBorders>
              <w:left w:val="single" w:color="auto" w:sz="4" w:space="0"/>
              <w:bottom w:val="single" w:color="auto" w:sz="4" w:space="0"/>
              <w:right w:val="single" w:color="auto" w:sz="4" w:space="0"/>
            </w:tcBorders>
            <w:vAlign w:val="center"/>
          </w:tcPr>
          <w:p w14:paraId="569ACF6D">
            <w:pPr>
              <w:pStyle w:val="39"/>
              <w:rPr>
                <w:color w:val="auto"/>
              </w:rPr>
            </w:pPr>
            <w:r>
              <w:rPr>
                <w:color w:val="auto"/>
              </w:rPr>
              <w:t>职工人数</w:t>
            </w:r>
          </w:p>
        </w:tc>
        <w:tc>
          <w:tcPr>
            <w:tcW w:w="3175" w:type="dxa"/>
            <w:tcBorders>
              <w:left w:val="single" w:color="auto" w:sz="4" w:space="0"/>
              <w:bottom w:val="single" w:color="auto" w:sz="4" w:space="0"/>
              <w:right w:val="single" w:color="auto" w:sz="4" w:space="0"/>
            </w:tcBorders>
            <w:vAlign w:val="center"/>
          </w:tcPr>
          <w:p w14:paraId="0C145E05">
            <w:pPr>
              <w:pStyle w:val="39"/>
              <w:rPr>
                <w:color w:val="auto"/>
              </w:rPr>
            </w:pPr>
            <w:r>
              <w:rPr>
                <w:color w:val="auto"/>
              </w:rPr>
              <w:t>新增职工</w:t>
            </w:r>
            <w:r>
              <w:rPr>
                <w:rFonts w:hint="eastAsia"/>
                <w:color w:val="auto"/>
                <w:lang w:val="en-US" w:eastAsia="zh-CN"/>
              </w:rPr>
              <w:t>8</w:t>
            </w:r>
            <w:r>
              <w:rPr>
                <w:rFonts w:hint="eastAsia"/>
                <w:color w:val="auto"/>
              </w:rPr>
              <w:t>0人</w:t>
            </w:r>
            <w:r>
              <w:rPr>
                <w:color w:val="auto"/>
              </w:rPr>
              <w:t xml:space="preserve"> </w:t>
            </w:r>
          </w:p>
        </w:tc>
        <w:tc>
          <w:tcPr>
            <w:tcW w:w="3292" w:type="dxa"/>
            <w:tcBorders>
              <w:left w:val="single" w:color="auto" w:sz="4" w:space="0"/>
              <w:bottom w:val="single" w:color="auto" w:sz="4" w:space="0"/>
              <w:right w:val="single" w:color="auto" w:sz="4" w:space="0"/>
            </w:tcBorders>
            <w:vAlign w:val="center"/>
          </w:tcPr>
          <w:p w14:paraId="04679BFE">
            <w:pPr>
              <w:pStyle w:val="39"/>
              <w:rPr>
                <w:color w:val="auto"/>
              </w:rPr>
            </w:pPr>
            <w:r>
              <w:rPr>
                <w:color w:val="auto"/>
              </w:rPr>
              <w:t>新增职工</w:t>
            </w:r>
            <w:r>
              <w:rPr>
                <w:rFonts w:hint="eastAsia"/>
                <w:color w:val="auto"/>
                <w:lang w:val="en-US" w:eastAsia="zh-CN"/>
              </w:rPr>
              <w:t>3</w:t>
            </w:r>
            <w:r>
              <w:rPr>
                <w:rFonts w:hint="eastAsia"/>
                <w:color w:val="auto"/>
              </w:rPr>
              <w:t>0人</w:t>
            </w:r>
          </w:p>
        </w:tc>
        <w:tc>
          <w:tcPr>
            <w:tcW w:w="922" w:type="dxa"/>
            <w:tcBorders>
              <w:left w:val="single" w:color="auto" w:sz="4" w:space="0"/>
              <w:bottom w:val="single" w:color="auto" w:sz="4" w:space="0"/>
            </w:tcBorders>
            <w:vAlign w:val="center"/>
          </w:tcPr>
          <w:p w14:paraId="15D81F44">
            <w:pPr>
              <w:pStyle w:val="39"/>
              <w:rPr>
                <w:color w:val="auto"/>
              </w:rPr>
            </w:pPr>
            <w:r>
              <w:rPr>
                <w:rFonts w:hint="eastAsia"/>
                <w:color w:val="auto"/>
              </w:rPr>
              <w:t>分期建设</w:t>
            </w:r>
          </w:p>
        </w:tc>
      </w:tr>
      <w:tr w14:paraId="69AFA542">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28" w:type="dxa"/>
            <w:bottom w:w="0" w:type="dxa"/>
            <w:right w:w="28" w:type="dxa"/>
          </w:tblCellMar>
        </w:tblPrEx>
        <w:trPr>
          <w:cantSplit/>
          <w:trHeight w:val="397" w:hRule="atLeast"/>
          <w:jc w:val="center"/>
        </w:trPr>
        <w:tc>
          <w:tcPr>
            <w:tcW w:w="589" w:type="dxa"/>
            <w:tcBorders>
              <w:top w:val="single" w:color="auto" w:sz="4" w:space="0"/>
              <w:bottom w:val="single" w:color="auto" w:sz="4" w:space="0"/>
              <w:right w:val="single" w:color="auto" w:sz="4" w:space="0"/>
            </w:tcBorders>
            <w:vAlign w:val="center"/>
          </w:tcPr>
          <w:p w14:paraId="2F82195E">
            <w:pPr>
              <w:pStyle w:val="39"/>
              <w:rPr>
                <w:color w:val="auto"/>
              </w:rPr>
            </w:pPr>
            <w:r>
              <w:rPr>
                <w:rFonts w:hint="eastAsia"/>
                <w:color w:val="auto"/>
              </w:rPr>
              <w:t>9</w:t>
            </w:r>
          </w:p>
        </w:tc>
        <w:tc>
          <w:tcPr>
            <w:tcW w:w="1150" w:type="dxa"/>
            <w:tcBorders>
              <w:top w:val="single" w:color="auto" w:sz="4" w:space="0"/>
              <w:left w:val="single" w:color="auto" w:sz="4" w:space="0"/>
              <w:bottom w:val="single" w:color="auto" w:sz="4" w:space="0"/>
              <w:right w:val="single" w:color="auto" w:sz="4" w:space="0"/>
            </w:tcBorders>
            <w:vAlign w:val="center"/>
          </w:tcPr>
          <w:p w14:paraId="2D13EB37">
            <w:pPr>
              <w:pStyle w:val="39"/>
              <w:rPr>
                <w:color w:val="auto"/>
              </w:rPr>
            </w:pPr>
            <w:r>
              <w:rPr>
                <w:color w:val="auto"/>
              </w:rPr>
              <w:t>生产制度</w:t>
            </w:r>
          </w:p>
        </w:tc>
        <w:tc>
          <w:tcPr>
            <w:tcW w:w="3175" w:type="dxa"/>
            <w:tcBorders>
              <w:top w:val="single" w:color="auto" w:sz="4" w:space="0"/>
              <w:left w:val="single" w:color="auto" w:sz="4" w:space="0"/>
              <w:bottom w:val="single" w:color="auto" w:sz="4" w:space="0"/>
              <w:right w:val="single" w:color="auto" w:sz="4" w:space="0"/>
            </w:tcBorders>
            <w:vAlign w:val="center"/>
          </w:tcPr>
          <w:p w14:paraId="70335C11">
            <w:pPr>
              <w:pStyle w:val="39"/>
              <w:rPr>
                <w:color w:val="auto"/>
              </w:rPr>
            </w:pPr>
            <w:r>
              <w:rPr>
                <w:rFonts w:hint="eastAsia"/>
                <w:color w:val="auto"/>
              </w:rPr>
              <w:t>年工作300天，三班制（每班8h），年生产7200h</w:t>
            </w:r>
          </w:p>
        </w:tc>
        <w:tc>
          <w:tcPr>
            <w:tcW w:w="3292" w:type="dxa"/>
            <w:tcBorders>
              <w:top w:val="single" w:color="auto" w:sz="4" w:space="0"/>
              <w:left w:val="single" w:color="auto" w:sz="4" w:space="0"/>
              <w:bottom w:val="single" w:color="auto" w:sz="4" w:space="0"/>
              <w:right w:val="single" w:color="auto" w:sz="4" w:space="0"/>
            </w:tcBorders>
            <w:vAlign w:val="center"/>
          </w:tcPr>
          <w:p w14:paraId="7D5FF620">
            <w:pPr>
              <w:pStyle w:val="39"/>
              <w:rPr>
                <w:color w:val="auto"/>
              </w:rPr>
            </w:pPr>
            <w:r>
              <w:rPr>
                <w:rFonts w:hint="eastAsia"/>
                <w:color w:val="auto"/>
              </w:rPr>
              <w:t>年工作300天，三班制（每班8h），年生产7200h</w:t>
            </w:r>
          </w:p>
        </w:tc>
        <w:tc>
          <w:tcPr>
            <w:tcW w:w="922" w:type="dxa"/>
            <w:tcBorders>
              <w:top w:val="single" w:color="auto" w:sz="4" w:space="0"/>
              <w:left w:val="single" w:color="auto" w:sz="4" w:space="0"/>
              <w:bottom w:val="single" w:color="auto" w:sz="4" w:space="0"/>
            </w:tcBorders>
            <w:vAlign w:val="center"/>
          </w:tcPr>
          <w:p w14:paraId="657236DD">
            <w:pPr>
              <w:pStyle w:val="39"/>
              <w:rPr>
                <w:color w:val="auto"/>
              </w:rPr>
            </w:pPr>
            <w:r>
              <w:rPr>
                <w:color w:val="auto"/>
              </w:rPr>
              <w:t>一致</w:t>
            </w:r>
          </w:p>
        </w:tc>
      </w:tr>
    </w:tbl>
    <w:p w14:paraId="6EBFED61">
      <w:pPr>
        <w:ind w:firstLine="480"/>
        <w:rPr>
          <w:rFonts w:cs="Times New Roman"/>
          <w:color w:val="auto"/>
        </w:rPr>
      </w:pPr>
      <w:r>
        <w:rPr>
          <w:rFonts w:cs="Times New Roman"/>
          <w:color w:val="auto"/>
        </w:rPr>
        <w:t>本项目建设内容与环评一致性分析见表3-2。</w:t>
      </w:r>
    </w:p>
    <w:p w14:paraId="09627FCB">
      <w:pPr>
        <w:ind w:firstLine="492"/>
        <w:rPr>
          <w:rFonts w:eastAsia="黑体" w:cs="Times New Roman"/>
          <w:color w:val="auto"/>
          <w:spacing w:val="6"/>
          <w:kern w:val="2"/>
          <w:position w:val="10"/>
          <w:szCs w:val="24"/>
        </w:rPr>
      </w:pPr>
      <w:r>
        <w:rPr>
          <w:rFonts w:eastAsia="黑体" w:cs="Times New Roman"/>
          <w:color w:val="auto"/>
          <w:spacing w:val="6"/>
          <w:kern w:val="2"/>
          <w:position w:val="10"/>
          <w:szCs w:val="24"/>
        </w:rPr>
        <w:t>表3-2                            本项目工程组成及建设内容</w:t>
      </w:r>
    </w:p>
    <w:tbl>
      <w:tblPr>
        <w:tblStyle w:val="26"/>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375"/>
        <w:gridCol w:w="617"/>
        <w:gridCol w:w="917"/>
        <w:gridCol w:w="3067"/>
        <w:gridCol w:w="2900"/>
        <w:gridCol w:w="1221"/>
      </w:tblGrid>
      <w:tr w14:paraId="5C5F6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97" w:hRule="atLeast"/>
        </w:trPr>
        <w:tc>
          <w:tcPr>
            <w:tcW w:w="206" w:type="pct"/>
            <w:shd w:val="clear" w:color="auto" w:fill="auto"/>
            <w:vAlign w:val="center"/>
          </w:tcPr>
          <w:p w14:paraId="64DF88A8">
            <w:pPr>
              <w:keepNext w:val="0"/>
              <w:keepLines w:val="0"/>
              <w:pageBreakBefore w:val="0"/>
              <w:widowControl/>
              <w:suppressLineNumbers w:val="0"/>
              <w:kinsoku/>
              <w:wordWrap/>
              <w:overflowPunct/>
              <w:topLinePunct w:val="0"/>
              <w:autoSpaceDE/>
              <w:autoSpaceDN/>
              <w:bidi w:val="0"/>
              <w:snapToGrid w:val="0"/>
              <w:spacing w:line="240" w:lineRule="auto"/>
              <w:ind w:firstLine="0" w:firstLineChars="0"/>
              <w:jc w:val="center"/>
              <w:textAlignment w:val="center"/>
              <w:rPr>
                <w:rFonts w:hint="eastAsia" w:ascii="宋体" w:hAnsi="宋体" w:eastAsia="宋体" w:cs="宋体"/>
                <w:b/>
                <w:bCs/>
                <w:i w:val="0"/>
                <w:iCs w:val="0"/>
                <w:color w:val="auto"/>
                <w:sz w:val="22"/>
                <w:szCs w:val="22"/>
              </w:rPr>
            </w:pPr>
            <w:r>
              <w:rPr>
                <w:rFonts w:hint="eastAsia" w:ascii="宋体" w:hAnsi="宋体" w:eastAsia="宋体" w:cs="宋体"/>
                <w:b/>
                <w:bCs/>
                <w:i w:val="0"/>
                <w:iCs w:val="0"/>
                <w:color w:val="auto"/>
                <w:kern w:val="0"/>
                <w:sz w:val="22"/>
                <w:szCs w:val="22"/>
                <w:lang w:val="en-US" w:eastAsia="zh-CN" w:bidi="ar"/>
              </w:rPr>
              <w:t>序号</w:t>
            </w:r>
          </w:p>
        </w:tc>
        <w:tc>
          <w:tcPr>
            <w:tcW w:w="339" w:type="pct"/>
            <w:shd w:val="clear" w:color="auto" w:fill="auto"/>
            <w:vAlign w:val="center"/>
          </w:tcPr>
          <w:p w14:paraId="084032EF">
            <w:pPr>
              <w:keepNext w:val="0"/>
              <w:keepLines w:val="0"/>
              <w:pageBreakBefore w:val="0"/>
              <w:widowControl/>
              <w:suppressLineNumbers w:val="0"/>
              <w:kinsoku/>
              <w:wordWrap/>
              <w:overflowPunct/>
              <w:topLinePunct w:val="0"/>
              <w:autoSpaceDE/>
              <w:autoSpaceDN/>
              <w:bidi w:val="0"/>
              <w:snapToGrid w:val="0"/>
              <w:spacing w:line="240" w:lineRule="auto"/>
              <w:ind w:firstLine="0" w:firstLineChars="0"/>
              <w:jc w:val="center"/>
              <w:textAlignment w:val="center"/>
              <w:rPr>
                <w:rFonts w:hint="eastAsia" w:ascii="宋体" w:hAnsi="宋体" w:eastAsia="宋体" w:cs="宋体"/>
                <w:b/>
                <w:bCs/>
                <w:i w:val="0"/>
                <w:iCs w:val="0"/>
                <w:color w:val="auto"/>
                <w:sz w:val="22"/>
                <w:szCs w:val="22"/>
              </w:rPr>
            </w:pPr>
            <w:r>
              <w:rPr>
                <w:rFonts w:hint="eastAsia" w:ascii="宋体" w:hAnsi="宋体" w:eastAsia="宋体" w:cs="宋体"/>
                <w:b/>
                <w:bCs/>
                <w:i w:val="0"/>
                <w:iCs w:val="0"/>
                <w:color w:val="auto"/>
                <w:kern w:val="0"/>
                <w:sz w:val="22"/>
                <w:szCs w:val="22"/>
                <w:lang w:val="en-US" w:eastAsia="zh-CN" w:bidi="ar"/>
              </w:rPr>
              <w:t>工程类别</w:t>
            </w:r>
          </w:p>
        </w:tc>
        <w:tc>
          <w:tcPr>
            <w:tcW w:w="504" w:type="pct"/>
            <w:shd w:val="clear" w:color="auto" w:fill="auto"/>
            <w:vAlign w:val="center"/>
          </w:tcPr>
          <w:p w14:paraId="78916EE0">
            <w:pPr>
              <w:keepNext w:val="0"/>
              <w:keepLines w:val="0"/>
              <w:pageBreakBefore w:val="0"/>
              <w:widowControl/>
              <w:suppressLineNumbers w:val="0"/>
              <w:kinsoku/>
              <w:wordWrap/>
              <w:overflowPunct/>
              <w:topLinePunct w:val="0"/>
              <w:autoSpaceDE/>
              <w:autoSpaceDN/>
              <w:bidi w:val="0"/>
              <w:snapToGrid w:val="0"/>
              <w:spacing w:line="240" w:lineRule="auto"/>
              <w:ind w:firstLine="0" w:firstLineChars="0"/>
              <w:jc w:val="center"/>
              <w:textAlignment w:val="center"/>
              <w:rPr>
                <w:rFonts w:hint="eastAsia" w:ascii="宋体" w:hAnsi="宋体" w:eastAsia="宋体" w:cs="宋体"/>
                <w:b/>
                <w:bCs/>
                <w:i w:val="0"/>
                <w:iCs w:val="0"/>
                <w:color w:val="auto"/>
                <w:sz w:val="22"/>
                <w:szCs w:val="22"/>
              </w:rPr>
            </w:pPr>
            <w:r>
              <w:rPr>
                <w:rFonts w:hint="eastAsia" w:ascii="宋体" w:hAnsi="宋体" w:eastAsia="宋体" w:cs="宋体"/>
                <w:b/>
                <w:bCs/>
                <w:i w:val="0"/>
                <w:iCs w:val="0"/>
                <w:color w:val="auto"/>
                <w:kern w:val="0"/>
                <w:sz w:val="22"/>
                <w:szCs w:val="22"/>
                <w:lang w:val="en-US" w:eastAsia="zh-CN" w:bidi="ar"/>
              </w:rPr>
              <w:t>工程名称</w:t>
            </w:r>
          </w:p>
        </w:tc>
        <w:tc>
          <w:tcPr>
            <w:tcW w:w="1685" w:type="pct"/>
            <w:shd w:val="clear" w:color="auto" w:fill="auto"/>
            <w:vAlign w:val="center"/>
          </w:tcPr>
          <w:p w14:paraId="530C424D">
            <w:pPr>
              <w:keepNext w:val="0"/>
              <w:keepLines w:val="0"/>
              <w:pageBreakBefore w:val="0"/>
              <w:widowControl/>
              <w:suppressLineNumbers w:val="0"/>
              <w:kinsoku/>
              <w:wordWrap/>
              <w:overflowPunct/>
              <w:topLinePunct w:val="0"/>
              <w:autoSpaceDE/>
              <w:autoSpaceDN/>
              <w:bidi w:val="0"/>
              <w:snapToGrid w:val="0"/>
              <w:spacing w:line="240" w:lineRule="auto"/>
              <w:ind w:firstLine="0" w:firstLineChars="0"/>
              <w:jc w:val="center"/>
              <w:textAlignment w:val="center"/>
              <w:rPr>
                <w:rFonts w:hint="eastAsia" w:ascii="宋体" w:hAnsi="宋体" w:eastAsia="宋体" w:cs="宋体"/>
                <w:b/>
                <w:bCs/>
                <w:i w:val="0"/>
                <w:iCs w:val="0"/>
                <w:color w:val="auto"/>
                <w:sz w:val="22"/>
                <w:szCs w:val="22"/>
              </w:rPr>
            </w:pPr>
            <w:r>
              <w:rPr>
                <w:rFonts w:hint="eastAsia" w:ascii="宋体" w:hAnsi="宋体" w:eastAsia="宋体" w:cs="宋体"/>
                <w:b/>
                <w:bCs/>
                <w:i w:val="0"/>
                <w:iCs w:val="0"/>
                <w:color w:val="auto"/>
                <w:kern w:val="0"/>
                <w:sz w:val="22"/>
                <w:szCs w:val="22"/>
                <w:lang w:val="en-US" w:eastAsia="zh-CN" w:bidi="ar"/>
              </w:rPr>
              <w:t>环评内容</w:t>
            </w:r>
          </w:p>
        </w:tc>
        <w:tc>
          <w:tcPr>
            <w:tcW w:w="1593" w:type="pct"/>
            <w:shd w:val="clear" w:color="auto" w:fill="auto"/>
            <w:vAlign w:val="center"/>
          </w:tcPr>
          <w:p w14:paraId="2C0DA1F0">
            <w:pPr>
              <w:pStyle w:val="39"/>
              <w:ind w:firstLine="0" w:firstLineChars="0"/>
              <w:rPr>
                <w:rFonts w:hint="eastAsia" w:ascii="宋体" w:hAnsi="宋体" w:eastAsia="宋体" w:cs="宋体"/>
                <w:b/>
                <w:bCs/>
                <w:i w:val="0"/>
                <w:iCs w:val="0"/>
                <w:color w:val="auto"/>
                <w:kern w:val="0"/>
                <w:sz w:val="22"/>
                <w:szCs w:val="22"/>
                <w:lang w:val="en-US" w:eastAsia="zh-CN" w:bidi="ar"/>
              </w:rPr>
            </w:pPr>
            <w:r>
              <w:rPr>
                <w:b/>
                <w:color w:val="auto"/>
              </w:rPr>
              <w:t>实际建设内容</w:t>
            </w:r>
          </w:p>
        </w:tc>
        <w:tc>
          <w:tcPr>
            <w:tcW w:w="671" w:type="pct"/>
            <w:shd w:val="clear" w:color="auto" w:fill="auto"/>
            <w:vAlign w:val="center"/>
          </w:tcPr>
          <w:p w14:paraId="06CEDB62">
            <w:pPr>
              <w:adjustRightInd/>
              <w:snapToGrid/>
              <w:spacing w:line="240" w:lineRule="auto"/>
              <w:ind w:firstLine="0" w:firstLineChars="0"/>
              <w:jc w:val="center"/>
              <w:rPr>
                <w:rFonts w:hint="default" w:eastAsia="宋体" w:cs="Times New Roman"/>
                <w:b/>
                <w:color w:val="auto"/>
                <w:kern w:val="2"/>
                <w:sz w:val="21"/>
                <w:szCs w:val="20"/>
                <w:lang w:val="en-US" w:eastAsia="zh-CN"/>
              </w:rPr>
            </w:pPr>
            <w:r>
              <w:rPr>
                <w:rFonts w:hint="eastAsia" w:eastAsia="宋体" w:cs="Times New Roman"/>
                <w:b/>
                <w:color w:val="auto"/>
                <w:kern w:val="2"/>
                <w:sz w:val="21"/>
                <w:szCs w:val="20"/>
                <w:lang w:val="en-US" w:eastAsia="zh-CN"/>
              </w:rPr>
              <w:t>一致性</w:t>
            </w:r>
          </w:p>
        </w:tc>
      </w:tr>
      <w:tr w14:paraId="28847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206" w:type="pct"/>
            <w:vMerge w:val="restart"/>
            <w:shd w:val="clear" w:color="auto" w:fill="auto"/>
            <w:vAlign w:val="center"/>
          </w:tcPr>
          <w:p w14:paraId="197D0785">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r>
              <w:rPr>
                <w:rFonts w:hint="eastAsia"/>
                <w:color w:val="auto"/>
                <w:lang w:val="en-US" w:eastAsia="zh-CN"/>
              </w:rPr>
              <w:t>1</w:t>
            </w:r>
          </w:p>
        </w:tc>
        <w:tc>
          <w:tcPr>
            <w:tcW w:w="339" w:type="pct"/>
            <w:vMerge w:val="restart"/>
            <w:shd w:val="clear" w:color="auto" w:fill="auto"/>
            <w:vAlign w:val="center"/>
          </w:tcPr>
          <w:p w14:paraId="4BE89877">
            <w:pPr>
              <w:pStyle w:val="69"/>
              <w:keepNext w:val="0"/>
              <w:keepLines w:val="0"/>
              <w:pageBreakBefore w:val="0"/>
              <w:kinsoku/>
              <w:wordWrap/>
              <w:overflowPunct/>
              <w:topLinePunct w:val="0"/>
              <w:autoSpaceDE/>
              <w:autoSpaceDN/>
              <w:bidi w:val="0"/>
              <w:snapToGrid w:val="0"/>
              <w:spacing w:line="240" w:lineRule="auto"/>
              <w:ind w:firstLine="0" w:firstLineChars="0"/>
              <w:rPr>
                <w:rFonts w:hint="default"/>
                <w:color w:val="auto"/>
                <w:lang w:val="en-US" w:eastAsia="zh-CN"/>
              </w:rPr>
            </w:pPr>
            <w:r>
              <w:rPr>
                <w:rFonts w:hint="eastAsia"/>
                <w:color w:val="auto"/>
                <w:lang w:val="en-US" w:eastAsia="zh-CN"/>
              </w:rPr>
              <w:t>主体工程</w:t>
            </w:r>
          </w:p>
        </w:tc>
        <w:tc>
          <w:tcPr>
            <w:tcW w:w="504" w:type="pct"/>
            <w:shd w:val="clear" w:color="auto" w:fill="auto"/>
            <w:vAlign w:val="center"/>
          </w:tcPr>
          <w:p w14:paraId="6AD0E202">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r>
              <w:rPr>
                <w:rFonts w:hint="eastAsia"/>
                <w:color w:val="auto"/>
                <w:lang w:val="en-US" w:eastAsia="zh-CN"/>
              </w:rPr>
              <w:t>生产车间2#</w:t>
            </w:r>
          </w:p>
        </w:tc>
        <w:tc>
          <w:tcPr>
            <w:tcW w:w="1685" w:type="pct"/>
            <w:shd w:val="clear" w:color="auto" w:fill="auto"/>
            <w:vAlign w:val="center"/>
          </w:tcPr>
          <w:p w14:paraId="6357D1FC">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r>
              <w:rPr>
                <w:rFonts w:hint="eastAsia"/>
                <w:color w:val="auto"/>
                <w:lang w:val="en-US" w:eastAsia="zh-CN"/>
              </w:rPr>
              <w:t>1座，1层，建筑面积3600m²，包括4条钢带生产线，其中1#、2#生产线长20m×宽3.8m，3#、4#生产线长24m×宽4m)、2条五金件生产线(每条线长33.5m×宽7m)、1条汽车配件生产线(生产线长40m×宽13m)</w:t>
            </w:r>
          </w:p>
        </w:tc>
        <w:tc>
          <w:tcPr>
            <w:tcW w:w="1593" w:type="pct"/>
            <w:shd w:val="clear" w:color="auto" w:fill="auto"/>
            <w:vAlign w:val="center"/>
          </w:tcPr>
          <w:p w14:paraId="0F442D0F">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r>
              <w:rPr>
                <w:rFonts w:hint="eastAsia"/>
                <w:color w:val="auto"/>
                <w:lang w:val="en-US" w:eastAsia="zh-CN"/>
              </w:rPr>
              <w:t>1座，1层，建筑面积3600m²，包括2条钢带生产线，其中1#生产线长20m×宽3.8m，3#生产线长24m×宽4m)、</w:t>
            </w:r>
            <w:r>
              <w:rPr>
                <w:rFonts w:hint="eastAsia"/>
                <w:color w:val="FF0000"/>
                <w:lang w:val="en-US" w:eastAsia="zh-CN"/>
              </w:rPr>
              <w:t>1条汽车配件生产线(生产线长40m×宽13m)</w:t>
            </w:r>
          </w:p>
        </w:tc>
        <w:tc>
          <w:tcPr>
            <w:tcW w:w="671" w:type="pct"/>
            <w:shd w:val="clear" w:color="auto" w:fill="auto"/>
            <w:vAlign w:val="center"/>
          </w:tcPr>
          <w:p w14:paraId="0062A372">
            <w:pPr>
              <w:pStyle w:val="69"/>
              <w:keepNext w:val="0"/>
              <w:keepLines w:val="0"/>
              <w:pageBreakBefore w:val="0"/>
              <w:kinsoku/>
              <w:wordWrap/>
              <w:overflowPunct/>
              <w:topLinePunct w:val="0"/>
              <w:autoSpaceDE/>
              <w:autoSpaceDN/>
              <w:bidi w:val="0"/>
              <w:snapToGrid w:val="0"/>
              <w:spacing w:line="240" w:lineRule="auto"/>
              <w:ind w:firstLine="0" w:firstLineChars="0"/>
              <w:rPr>
                <w:rFonts w:hint="default"/>
                <w:color w:val="auto"/>
                <w:lang w:val="en-US" w:eastAsia="zh-CN"/>
              </w:rPr>
            </w:pPr>
            <w:r>
              <w:rPr>
                <w:rFonts w:hint="eastAsia"/>
                <w:color w:val="auto"/>
                <w:lang w:val="en-US" w:eastAsia="zh-CN"/>
              </w:rPr>
              <w:t>分期建设</w:t>
            </w:r>
          </w:p>
        </w:tc>
      </w:tr>
      <w:tr w14:paraId="16A60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97" w:hRule="atLeast"/>
        </w:trPr>
        <w:tc>
          <w:tcPr>
            <w:tcW w:w="206" w:type="pct"/>
            <w:vMerge w:val="continue"/>
            <w:shd w:val="clear" w:color="auto" w:fill="auto"/>
            <w:vAlign w:val="center"/>
          </w:tcPr>
          <w:p w14:paraId="43D1FF9F">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p>
        </w:tc>
        <w:tc>
          <w:tcPr>
            <w:tcW w:w="339" w:type="pct"/>
            <w:vMerge w:val="continue"/>
            <w:shd w:val="clear" w:color="auto" w:fill="auto"/>
            <w:vAlign w:val="center"/>
          </w:tcPr>
          <w:p w14:paraId="1E5B5C81">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p>
        </w:tc>
        <w:tc>
          <w:tcPr>
            <w:tcW w:w="504" w:type="pct"/>
            <w:shd w:val="clear" w:color="auto" w:fill="auto"/>
            <w:vAlign w:val="center"/>
          </w:tcPr>
          <w:p w14:paraId="08022A01">
            <w:pPr>
              <w:pStyle w:val="69"/>
              <w:keepNext w:val="0"/>
              <w:keepLines w:val="0"/>
              <w:pageBreakBefore w:val="0"/>
              <w:kinsoku/>
              <w:wordWrap/>
              <w:overflowPunct/>
              <w:topLinePunct w:val="0"/>
              <w:autoSpaceDE/>
              <w:autoSpaceDN/>
              <w:bidi w:val="0"/>
              <w:snapToGrid w:val="0"/>
              <w:spacing w:line="240" w:lineRule="auto"/>
              <w:ind w:firstLine="0" w:firstLineChars="0"/>
              <w:rPr>
                <w:rFonts w:hint="default"/>
                <w:color w:val="auto"/>
                <w:lang w:val="en-US" w:eastAsia="zh-CN"/>
              </w:rPr>
            </w:pPr>
            <w:r>
              <w:rPr>
                <w:rFonts w:hint="eastAsia"/>
                <w:color w:val="auto"/>
                <w:lang w:val="en-US" w:eastAsia="zh-CN"/>
              </w:rPr>
              <w:t>生产车间1#</w:t>
            </w:r>
          </w:p>
        </w:tc>
        <w:tc>
          <w:tcPr>
            <w:tcW w:w="1685" w:type="pct"/>
            <w:shd w:val="clear" w:color="auto" w:fill="auto"/>
            <w:vAlign w:val="center"/>
          </w:tcPr>
          <w:p w14:paraId="1BA5546E">
            <w:pPr>
              <w:pStyle w:val="69"/>
              <w:keepNext w:val="0"/>
              <w:keepLines w:val="0"/>
              <w:pageBreakBefore w:val="0"/>
              <w:kinsoku/>
              <w:wordWrap/>
              <w:overflowPunct/>
              <w:topLinePunct w:val="0"/>
              <w:autoSpaceDE/>
              <w:autoSpaceDN/>
              <w:bidi w:val="0"/>
              <w:snapToGrid w:val="0"/>
              <w:spacing w:line="240" w:lineRule="auto"/>
              <w:ind w:firstLine="0" w:firstLineChars="0"/>
              <w:rPr>
                <w:rFonts w:hint="default"/>
                <w:color w:val="auto"/>
                <w:lang w:val="en-US" w:eastAsia="zh-CN"/>
              </w:rPr>
            </w:pPr>
            <w:r>
              <w:rPr>
                <w:rFonts w:hint="eastAsia"/>
                <w:color w:val="auto"/>
                <w:lang w:val="en-US" w:eastAsia="zh-CN"/>
              </w:rPr>
              <w:t>/</w:t>
            </w:r>
          </w:p>
        </w:tc>
        <w:tc>
          <w:tcPr>
            <w:tcW w:w="1593" w:type="pct"/>
            <w:shd w:val="clear" w:color="auto" w:fill="auto"/>
            <w:vAlign w:val="center"/>
          </w:tcPr>
          <w:p w14:paraId="5E30506B">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r>
              <w:rPr>
                <w:rFonts w:hint="eastAsia"/>
                <w:color w:val="auto"/>
                <w:lang w:val="en-US" w:eastAsia="zh-CN"/>
              </w:rPr>
              <w:t>1座，1层，2#生产线长20m×宽3.8m</w:t>
            </w:r>
          </w:p>
        </w:tc>
        <w:tc>
          <w:tcPr>
            <w:tcW w:w="671" w:type="pct"/>
            <w:shd w:val="clear" w:color="auto" w:fill="auto"/>
            <w:vAlign w:val="center"/>
          </w:tcPr>
          <w:p w14:paraId="631BD10C">
            <w:pPr>
              <w:pStyle w:val="69"/>
              <w:keepNext w:val="0"/>
              <w:keepLines w:val="0"/>
              <w:pageBreakBefore w:val="0"/>
              <w:kinsoku/>
              <w:wordWrap/>
              <w:overflowPunct/>
              <w:topLinePunct w:val="0"/>
              <w:autoSpaceDE/>
              <w:autoSpaceDN/>
              <w:bidi w:val="0"/>
              <w:snapToGrid w:val="0"/>
              <w:spacing w:line="240" w:lineRule="auto"/>
              <w:ind w:firstLine="0" w:firstLineChars="0"/>
              <w:rPr>
                <w:rFonts w:hint="default"/>
                <w:color w:val="auto"/>
                <w:lang w:val="en-US" w:eastAsia="zh-CN"/>
              </w:rPr>
            </w:pPr>
            <w:r>
              <w:rPr>
                <w:rFonts w:hint="eastAsia"/>
                <w:color w:val="auto"/>
                <w:lang w:val="en-US" w:eastAsia="zh-CN"/>
              </w:rPr>
              <w:t>2#生产线位置调整</w:t>
            </w:r>
          </w:p>
        </w:tc>
      </w:tr>
      <w:tr w14:paraId="506A1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206" w:type="pct"/>
            <w:vMerge w:val="continue"/>
            <w:shd w:val="clear" w:color="auto" w:fill="auto"/>
            <w:vAlign w:val="center"/>
          </w:tcPr>
          <w:p w14:paraId="4A87825A">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p>
        </w:tc>
        <w:tc>
          <w:tcPr>
            <w:tcW w:w="339" w:type="pct"/>
            <w:vMerge w:val="continue"/>
            <w:shd w:val="clear" w:color="auto" w:fill="auto"/>
            <w:vAlign w:val="center"/>
          </w:tcPr>
          <w:p w14:paraId="68BEBEE1">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p>
        </w:tc>
        <w:tc>
          <w:tcPr>
            <w:tcW w:w="504" w:type="pct"/>
            <w:shd w:val="clear" w:color="auto" w:fill="auto"/>
            <w:vAlign w:val="center"/>
          </w:tcPr>
          <w:p w14:paraId="509CAB85">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r>
              <w:rPr>
                <w:rFonts w:hint="eastAsia"/>
                <w:color w:val="auto"/>
                <w:lang w:val="en-US" w:eastAsia="zh-CN"/>
              </w:rPr>
              <w:t>生产车间4#</w:t>
            </w:r>
          </w:p>
        </w:tc>
        <w:tc>
          <w:tcPr>
            <w:tcW w:w="1685" w:type="pct"/>
            <w:shd w:val="clear" w:color="auto" w:fill="auto"/>
            <w:vAlign w:val="center"/>
          </w:tcPr>
          <w:p w14:paraId="2B50ECC7">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r>
              <w:rPr>
                <w:rFonts w:hint="eastAsia"/>
                <w:color w:val="auto"/>
                <w:lang w:val="en-US" w:eastAsia="zh-CN"/>
              </w:rPr>
              <w:t>1座，1层，建筑面积2640m²，拟建1条钢壳生产线(生产线长53m×宽8m)</w:t>
            </w:r>
          </w:p>
        </w:tc>
        <w:tc>
          <w:tcPr>
            <w:tcW w:w="1593" w:type="pct"/>
            <w:shd w:val="clear" w:color="auto" w:fill="auto"/>
            <w:vAlign w:val="center"/>
          </w:tcPr>
          <w:p w14:paraId="440A329E">
            <w:pPr>
              <w:pStyle w:val="69"/>
              <w:keepNext w:val="0"/>
              <w:keepLines w:val="0"/>
              <w:pageBreakBefore w:val="0"/>
              <w:kinsoku/>
              <w:wordWrap/>
              <w:overflowPunct/>
              <w:topLinePunct w:val="0"/>
              <w:autoSpaceDE/>
              <w:autoSpaceDN/>
              <w:bidi w:val="0"/>
              <w:snapToGrid w:val="0"/>
              <w:spacing w:line="240" w:lineRule="auto"/>
              <w:ind w:firstLine="0" w:firstLineChars="0"/>
              <w:rPr>
                <w:rFonts w:hint="default"/>
                <w:color w:val="auto"/>
                <w:lang w:val="en-US" w:eastAsia="zh-CN"/>
              </w:rPr>
            </w:pPr>
            <w:r>
              <w:rPr>
                <w:rFonts w:hint="eastAsia"/>
                <w:color w:val="auto"/>
                <w:lang w:val="en-US" w:eastAsia="zh-CN"/>
              </w:rPr>
              <w:t>/</w:t>
            </w:r>
          </w:p>
        </w:tc>
        <w:tc>
          <w:tcPr>
            <w:tcW w:w="671" w:type="pct"/>
            <w:shd w:val="clear" w:color="auto" w:fill="auto"/>
            <w:vAlign w:val="center"/>
          </w:tcPr>
          <w:p w14:paraId="265881A6">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r>
              <w:rPr>
                <w:rFonts w:hint="eastAsia"/>
                <w:color w:val="FF0000"/>
              </w:rPr>
              <w:t>作为二期建设内容，本次一期不涉及</w:t>
            </w:r>
          </w:p>
        </w:tc>
      </w:tr>
      <w:tr w14:paraId="7BA0D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206" w:type="pct"/>
            <w:vMerge w:val="restart"/>
            <w:shd w:val="clear" w:color="auto" w:fill="auto"/>
            <w:vAlign w:val="center"/>
          </w:tcPr>
          <w:p w14:paraId="0CC62B0B">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r>
              <w:rPr>
                <w:rFonts w:hint="eastAsia"/>
                <w:color w:val="auto"/>
                <w:lang w:val="en-US" w:eastAsia="zh-CN"/>
              </w:rPr>
              <w:t>2</w:t>
            </w:r>
          </w:p>
        </w:tc>
        <w:tc>
          <w:tcPr>
            <w:tcW w:w="339" w:type="pct"/>
            <w:vMerge w:val="restart"/>
            <w:shd w:val="clear" w:color="auto" w:fill="auto"/>
            <w:vAlign w:val="center"/>
          </w:tcPr>
          <w:p w14:paraId="663129BD">
            <w:pPr>
              <w:pStyle w:val="69"/>
              <w:keepNext w:val="0"/>
              <w:keepLines w:val="0"/>
              <w:pageBreakBefore w:val="0"/>
              <w:kinsoku/>
              <w:wordWrap/>
              <w:overflowPunct/>
              <w:topLinePunct w:val="0"/>
              <w:autoSpaceDE/>
              <w:autoSpaceDN/>
              <w:bidi w:val="0"/>
              <w:snapToGrid w:val="0"/>
              <w:spacing w:line="240" w:lineRule="auto"/>
              <w:ind w:firstLine="0" w:firstLineChars="0"/>
              <w:rPr>
                <w:rFonts w:hint="default"/>
                <w:color w:val="auto"/>
                <w:lang w:val="en-US" w:eastAsia="zh-CN"/>
              </w:rPr>
            </w:pPr>
            <w:r>
              <w:rPr>
                <w:rFonts w:hint="eastAsia"/>
                <w:color w:val="auto"/>
                <w:lang w:val="en-US" w:eastAsia="zh-CN"/>
              </w:rPr>
              <w:t>辅助工程</w:t>
            </w:r>
          </w:p>
        </w:tc>
        <w:tc>
          <w:tcPr>
            <w:tcW w:w="504" w:type="pct"/>
            <w:shd w:val="clear" w:color="auto" w:fill="auto"/>
            <w:vAlign w:val="center"/>
          </w:tcPr>
          <w:p w14:paraId="037C76DB">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r>
              <w:rPr>
                <w:rFonts w:hint="eastAsia"/>
                <w:color w:val="auto"/>
                <w:lang w:val="en-US" w:eastAsia="zh-CN"/>
              </w:rPr>
              <w:t>原料库</w:t>
            </w:r>
          </w:p>
        </w:tc>
        <w:tc>
          <w:tcPr>
            <w:tcW w:w="1685" w:type="pct"/>
            <w:shd w:val="clear" w:color="auto" w:fill="auto"/>
            <w:vAlign w:val="center"/>
          </w:tcPr>
          <w:p w14:paraId="76BDE463">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r>
              <w:rPr>
                <w:rFonts w:hint="eastAsia"/>
                <w:color w:val="auto"/>
                <w:lang w:val="en-US" w:eastAsia="zh-CN"/>
              </w:rPr>
              <w:t>建筑面积200m²</w:t>
            </w:r>
          </w:p>
        </w:tc>
        <w:tc>
          <w:tcPr>
            <w:tcW w:w="1593" w:type="pct"/>
            <w:shd w:val="clear" w:color="auto" w:fill="auto"/>
            <w:vAlign w:val="center"/>
          </w:tcPr>
          <w:p w14:paraId="182436D8">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r>
              <w:rPr>
                <w:rFonts w:hint="eastAsia"/>
                <w:color w:val="auto"/>
                <w:lang w:val="en-US" w:eastAsia="zh-CN"/>
              </w:rPr>
              <w:t>建筑面积200m²</w:t>
            </w:r>
          </w:p>
        </w:tc>
        <w:tc>
          <w:tcPr>
            <w:tcW w:w="671" w:type="pct"/>
            <w:shd w:val="clear" w:color="auto" w:fill="auto"/>
            <w:vAlign w:val="center"/>
          </w:tcPr>
          <w:p w14:paraId="7995666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lang w:val="en-US" w:eastAsia="zh-CN"/>
              </w:rPr>
            </w:pPr>
            <w:r>
              <w:rPr>
                <w:rFonts w:ascii="Times New Roman" w:hAnsi="Times New Roman" w:eastAsia="宋体" w:cs="Times New Roman"/>
                <w:color w:val="auto"/>
                <w:kern w:val="2"/>
                <w:sz w:val="21"/>
                <w:szCs w:val="21"/>
                <w:lang w:val="en-US" w:eastAsia="zh-CN" w:bidi="ar-SA"/>
              </w:rPr>
              <w:t>一致</w:t>
            </w:r>
          </w:p>
        </w:tc>
      </w:tr>
      <w:tr w14:paraId="42D63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97" w:hRule="atLeast"/>
        </w:trPr>
        <w:tc>
          <w:tcPr>
            <w:tcW w:w="206" w:type="pct"/>
            <w:vMerge w:val="continue"/>
            <w:shd w:val="clear" w:color="auto" w:fill="auto"/>
            <w:vAlign w:val="center"/>
          </w:tcPr>
          <w:p w14:paraId="4B19CBF5">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p>
        </w:tc>
        <w:tc>
          <w:tcPr>
            <w:tcW w:w="339" w:type="pct"/>
            <w:vMerge w:val="continue"/>
            <w:shd w:val="clear" w:color="auto" w:fill="auto"/>
            <w:vAlign w:val="center"/>
          </w:tcPr>
          <w:p w14:paraId="314BD26F">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p>
        </w:tc>
        <w:tc>
          <w:tcPr>
            <w:tcW w:w="504" w:type="pct"/>
            <w:shd w:val="clear" w:color="auto" w:fill="auto"/>
            <w:vAlign w:val="center"/>
          </w:tcPr>
          <w:p w14:paraId="3251F664">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r>
              <w:rPr>
                <w:rFonts w:hint="eastAsia"/>
                <w:color w:val="auto"/>
                <w:lang w:val="en-US" w:eastAsia="zh-CN"/>
              </w:rPr>
              <w:t>产品库</w:t>
            </w:r>
          </w:p>
        </w:tc>
        <w:tc>
          <w:tcPr>
            <w:tcW w:w="1685" w:type="pct"/>
            <w:shd w:val="clear" w:color="auto" w:fill="auto"/>
            <w:vAlign w:val="center"/>
          </w:tcPr>
          <w:p w14:paraId="24C61561">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r>
              <w:rPr>
                <w:rFonts w:hint="eastAsia"/>
                <w:color w:val="auto"/>
                <w:lang w:val="en-US" w:eastAsia="zh-CN"/>
              </w:rPr>
              <w:t>建筑面积200m²</w:t>
            </w:r>
          </w:p>
        </w:tc>
        <w:tc>
          <w:tcPr>
            <w:tcW w:w="1593" w:type="pct"/>
            <w:shd w:val="clear" w:color="auto" w:fill="auto"/>
            <w:vAlign w:val="center"/>
          </w:tcPr>
          <w:p w14:paraId="4327A3FA">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r>
              <w:rPr>
                <w:rFonts w:hint="eastAsia"/>
                <w:color w:val="auto"/>
                <w:lang w:val="en-US" w:eastAsia="zh-CN"/>
              </w:rPr>
              <w:t>建筑面积200m²</w:t>
            </w:r>
          </w:p>
        </w:tc>
        <w:tc>
          <w:tcPr>
            <w:tcW w:w="671" w:type="pct"/>
            <w:shd w:val="clear" w:color="auto" w:fill="auto"/>
            <w:vAlign w:val="center"/>
          </w:tcPr>
          <w:p w14:paraId="16C196D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lang w:val="en-US" w:eastAsia="zh-CN"/>
              </w:rPr>
            </w:pPr>
            <w:r>
              <w:rPr>
                <w:rFonts w:ascii="Times New Roman" w:hAnsi="Times New Roman" w:eastAsia="宋体" w:cs="Times New Roman"/>
                <w:color w:val="auto"/>
                <w:kern w:val="2"/>
                <w:sz w:val="21"/>
                <w:szCs w:val="21"/>
                <w:lang w:val="en-US" w:eastAsia="zh-CN" w:bidi="ar-SA"/>
              </w:rPr>
              <w:t>一致</w:t>
            </w:r>
          </w:p>
        </w:tc>
      </w:tr>
      <w:tr w14:paraId="1121C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206" w:type="pct"/>
            <w:vMerge w:val="continue"/>
            <w:shd w:val="clear" w:color="auto" w:fill="auto"/>
            <w:vAlign w:val="center"/>
          </w:tcPr>
          <w:p w14:paraId="2287F35E">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p>
        </w:tc>
        <w:tc>
          <w:tcPr>
            <w:tcW w:w="339" w:type="pct"/>
            <w:vMerge w:val="continue"/>
            <w:shd w:val="clear" w:color="auto" w:fill="auto"/>
            <w:vAlign w:val="center"/>
          </w:tcPr>
          <w:p w14:paraId="5BD9D291">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p>
        </w:tc>
        <w:tc>
          <w:tcPr>
            <w:tcW w:w="504" w:type="pct"/>
            <w:shd w:val="clear" w:color="auto" w:fill="auto"/>
            <w:vAlign w:val="center"/>
          </w:tcPr>
          <w:p w14:paraId="2CC321DC">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FF0000"/>
                <w:lang w:val="en-US" w:eastAsia="zh-CN"/>
              </w:rPr>
            </w:pPr>
            <w:r>
              <w:rPr>
                <w:rFonts w:hint="eastAsia"/>
                <w:color w:val="FF0000"/>
                <w:lang w:val="en-US" w:eastAsia="zh-CN"/>
              </w:rPr>
              <w:t>化学品库</w:t>
            </w:r>
          </w:p>
        </w:tc>
        <w:tc>
          <w:tcPr>
            <w:tcW w:w="1685" w:type="pct"/>
            <w:shd w:val="clear" w:color="auto" w:fill="auto"/>
            <w:vAlign w:val="center"/>
          </w:tcPr>
          <w:p w14:paraId="4D807776">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FF0000"/>
                <w:lang w:val="en-US" w:eastAsia="zh-CN"/>
              </w:rPr>
            </w:pPr>
            <w:r>
              <w:rPr>
                <w:rFonts w:hint="eastAsia"/>
                <w:color w:val="FF0000"/>
                <w:lang w:val="en-US" w:eastAsia="zh-CN"/>
              </w:rPr>
              <w:t>建筑面积200m²</w:t>
            </w:r>
          </w:p>
        </w:tc>
        <w:tc>
          <w:tcPr>
            <w:tcW w:w="1593" w:type="pct"/>
            <w:shd w:val="clear" w:color="auto" w:fill="auto"/>
            <w:vAlign w:val="center"/>
          </w:tcPr>
          <w:p w14:paraId="14C8AA54">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FF0000"/>
                <w:lang w:val="en-US" w:eastAsia="zh-CN"/>
              </w:rPr>
            </w:pPr>
            <w:r>
              <w:rPr>
                <w:rFonts w:hint="eastAsia"/>
                <w:color w:val="FF0000"/>
                <w:lang w:val="en-US" w:eastAsia="zh-CN"/>
              </w:rPr>
              <w:t>建筑面积200m²</w:t>
            </w:r>
          </w:p>
        </w:tc>
        <w:tc>
          <w:tcPr>
            <w:tcW w:w="671" w:type="pct"/>
            <w:shd w:val="clear" w:color="auto" w:fill="auto"/>
            <w:vAlign w:val="center"/>
          </w:tcPr>
          <w:p w14:paraId="5CF9F58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color w:val="FF0000"/>
                <w:lang w:val="en-US" w:eastAsia="zh-CN"/>
              </w:rPr>
            </w:pPr>
            <w:r>
              <w:rPr>
                <w:rFonts w:ascii="Times New Roman" w:hAnsi="Times New Roman" w:eastAsia="宋体" w:cs="Times New Roman"/>
                <w:color w:val="FF0000"/>
                <w:kern w:val="2"/>
                <w:sz w:val="21"/>
                <w:szCs w:val="21"/>
                <w:lang w:val="en-US" w:eastAsia="zh-CN" w:bidi="ar-SA"/>
              </w:rPr>
              <w:t>一致</w:t>
            </w:r>
          </w:p>
        </w:tc>
      </w:tr>
      <w:tr w14:paraId="66851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206" w:type="pct"/>
            <w:vMerge w:val="continue"/>
            <w:shd w:val="clear" w:color="auto" w:fill="auto"/>
            <w:vAlign w:val="center"/>
          </w:tcPr>
          <w:p w14:paraId="06EA830C">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p>
        </w:tc>
        <w:tc>
          <w:tcPr>
            <w:tcW w:w="339" w:type="pct"/>
            <w:vMerge w:val="continue"/>
            <w:shd w:val="clear" w:color="auto" w:fill="auto"/>
            <w:vAlign w:val="center"/>
          </w:tcPr>
          <w:p w14:paraId="2259174B">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p>
        </w:tc>
        <w:tc>
          <w:tcPr>
            <w:tcW w:w="504" w:type="pct"/>
            <w:shd w:val="clear" w:color="auto" w:fill="auto"/>
            <w:vAlign w:val="center"/>
          </w:tcPr>
          <w:p w14:paraId="07D9DDB4">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r>
              <w:rPr>
                <w:rFonts w:hint="eastAsia"/>
                <w:color w:val="auto"/>
                <w:lang w:val="en-US" w:eastAsia="zh-CN"/>
              </w:rPr>
              <w:t>办公楼</w:t>
            </w:r>
          </w:p>
        </w:tc>
        <w:tc>
          <w:tcPr>
            <w:tcW w:w="1685" w:type="pct"/>
            <w:shd w:val="clear" w:color="auto" w:fill="auto"/>
            <w:vAlign w:val="center"/>
          </w:tcPr>
          <w:p w14:paraId="20380E97">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r>
              <w:rPr>
                <w:rFonts w:hint="eastAsia"/>
                <w:color w:val="auto"/>
                <w:lang w:val="en-US" w:eastAsia="zh-CN"/>
              </w:rPr>
              <w:t>1座，建筑面积120m²</w:t>
            </w:r>
          </w:p>
        </w:tc>
        <w:tc>
          <w:tcPr>
            <w:tcW w:w="1593" w:type="pct"/>
            <w:shd w:val="clear" w:color="auto" w:fill="auto"/>
            <w:vAlign w:val="center"/>
          </w:tcPr>
          <w:p w14:paraId="63B2578A">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r>
              <w:rPr>
                <w:rFonts w:hint="eastAsia"/>
                <w:color w:val="auto"/>
                <w:lang w:val="en-US" w:eastAsia="zh-CN"/>
              </w:rPr>
              <w:t>1座，建筑面积120m²</w:t>
            </w:r>
          </w:p>
        </w:tc>
        <w:tc>
          <w:tcPr>
            <w:tcW w:w="671" w:type="pct"/>
            <w:shd w:val="clear" w:color="auto" w:fill="auto"/>
            <w:vAlign w:val="center"/>
          </w:tcPr>
          <w:p w14:paraId="0EA24C2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lang w:val="en-US" w:eastAsia="zh-CN"/>
              </w:rPr>
            </w:pPr>
            <w:r>
              <w:rPr>
                <w:rFonts w:ascii="Times New Roman" w:hAnsi="Times New Roman" w:eastAsia="宋体" w:cs="Times New Roman"/>
                <w:color w:val="auto"/>
                <w:kern w:val="2"/>
                <w:sz w:val="21"/>
                <w:szCs w:val="21"/>
                <w:lang w:val="en-US" w:eastAsia="zh-CN" w:bidi="ar-SA"/>
              </w:rPr>
              <w:t>一致</w:t>
            </w:r>
          </w:p>
        </w:tc>
      </w:tr>
      <w:tr w14:paraId="4A39E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206" w:type="pct"/>
            <w:vMerge w:val="restart"/>
            <w:shd w:val="clear" w:color="auto" w:fill="auto"/>
            <w:vAlign w:val="center"/>
          </w:tcPr>
          <w:p w14:paraId="30AE2226">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r>
              <w:rPr>
                <w:rFonts w:hint="eastAsia"/>
                <w:color w:val="auto"/>
                <w:lang w:val="en-US" w:eastAsia="zh-CN"/>
              </w:rPr>
              <w:t>3</w:t>
            </w:r>
          </w:p>
        </w:tc>
        <w:tc>
          <w:tcPr>
            <w:tcW w:w="339" w:type="pct"/>
            <w:vMerge w:val="restart"/>
            <w:shd w:val="clear" w:color="auto" w:fill="auto"/>
            <w:vAlign w:val="center"/>
          </w:tcPr>
          <w:p w14:paraId="0FD06809">
            <w:pPr>
              <w:pStyle w:val="69"/>
              <w:keepNext w:val="0"/>
              <w:keepLines w:val="0"/>
              <w:pageBreakBefore w:val="0"/>
              <w:kinsoku/>
              <w:wordWrap/>
              <w:overflowPunct/>
              <w:topLinePunct w:val="0"/>
              <w:autoSpaceDE/>
              <w:autoSpaceDN/>
              <w:bidi w:val="0"/>
              <w:snapToGrid w:val="0"/>
              <w:spacing w:line="240" w:lineRule="auto"/>
              <w:ind w:firstLine="0" w:firstLineChars="0"/>
              <w:rPr>
                <w:rFonts w:hint="default"/>
                <w:color w:val="auto"/>
                <w:lang w:val="en-US" w:eastAsia="zh-CN"/>
              </w:rPr>
            </w:pPr>
            <w:r>
              <w:rPr>
                <w:rFonts w:hint="eastAsia"/>
                <w:color w:val="auto"/>
                <w:lang w:val="en-US" w:eastAsia="zh-CN"/>
              </w:rPr>
              <w:t>公用工程</w:t>
            </w:r>
          </w:p>
        </w:tc>
        <w:tc>
          <w:tcPr>
            <w:tcW w:w="504" w:type="pct"/>
            <w:shd w:val="clear" w:color="auto" w:fill="auto"/>
            <w:vAlign w:val="center"/>
          </w:tcPr>
          <w:p w14:paraId="41FC134F">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r>
              <w:rPr>
                <w:rFonts w:hint="eastAsia"/>
                <w:color w:val="auto"/>
                <w:lang w:val="en-US" w:eastAsia="zh-CN"/>
              </w:rPr>
              <w:t>供水</w:t>
            </w:r>
          </w:p>
        </w:tc>
        <w:tc>
          <w:tcPr>
            <w:tcW w:w="1685" w:type="pct"/>
            <w:shd w:val="clear" w:color="auto" w:fill="auto"/>
            <w:vAlign w:val="center"/>
          </w:tcPr>
          <w:p w14:paraId="421FC0CD">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r>
              <w:rPr>
                <w:rFonts w:hint="eastAsia"/>
                <w:color w:val="auto"/>
                <w:lang w:val="en-US" w:eastAsia="zh-CN"/>
              </w:rPr>
              <w:t>厂区自备井供水</w:t>
            </w:r>
          </w:p>
        </w:tc>
        <w:tc>
          <w:tcPr>
            <w:tcW w:w="1593" w:type="pct"/>
            <w:shd w:val="clear" w:color="auto" w:fill="auto"/>
            <w:vAlign w:val="center"/>
          </w:tcPr>
          <w:p w14:paraId="7DA342CB">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r>
              <w:rPr>
                <w:rFonts w:hint="eastAsia"/>
                <w:color w:val="auto"/>
                <w:lang w:val="en-US" w:eastAsia="zh-CN"/>
              </w:rPr>
              <w:t>厂区自备井供水</w:t>
            </w:r>
          </w:p>
        </w:tc>
        <w:tc>
          <w:tcPr>
            <w:tcW w:w="671" w:type="pct"/>
            <w:shd w:val="clear" w:color="auto" w:fill="auto"/>
            <w:vAlign w:val="center"/>
          </w:tcPr>
          <w:p w14:paraId="06507744">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hint="eastAsia"/>
                <w:color w:val="auto"/>
                <w:lang w:val="en-US" w:eastAsia="zh-CN"/>
              </w:rPr>
            </w:pPr>
            <w:r>
              <w:rPr>
                <w:rFonts w:ascii="Times New Roman" w:hAnsi="Times New Roman" w:eastAsia="宋体" w:cs="Times New Roman"/>
                <w:color w:val="auto"/>
                <w:kern w:val="2"/>
                <w:sz w:val="21"/>
                <w:szCs w:val="21"/>
                <w:lang w:val="en-US" w:eastAsia="zh-CN" w:bidi="ar-SA"/>
              </w:rPr>
              <w:t>一致</w:t>
            </w:r>
          </w:p>
        </w:tc>
      </w:tr>
      <w:tr w14:paraId="2D61E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97" w:hRule="atLeast"/>
        </w:trPr>
        <w:tc>
          <w:tcPr>
            <w:tcW w:w="206" w:type="pct"/>
            <w:vMerge w:val="continue"/>
            <w:shd w:val="clear" w:color="auto" w:fill="auto"/>
            <w:vAlign w:val="center"/>
          </w:tcPr>
          <w:p w14:paraId="4503B626">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p>
        </w:tc>
        <w:tc>
          <w:tcPr>
            <w:tcW w:w="339" w:type="pct"/>
            <w:vMerge w:val="continue"/>
            <w:shd w:val="clear" w:color="auto" w:fill="auto"/>
            <w:vAlign w:val="center"/>
          </w:tcPr>
          <w:p w14:paraId="7E705D1C">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p>
        </w:tc>
        <w:tc>
          <w:tcPr>
            <w:tcW w:w="504" w:type="pct"/>
            <w:shd w:val="clear" w:color="auto" w:fill="auto"/>
            <w:vAlign w:val="center"/>
          </w:tcPr>
          <w:p w14:paraId="07CBDD33">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r>
              <w:rPr>
                <w:rFonts w:hint="eastAsia"/>
                <w:color w:val="auto"/>
                <w:lang w:val="en-US" w:eastAsia="zh-CN"/>
              </w:rPr>
              <w:t>供电</w:t>
            </w:r>
          </w:p>
        </w:tc>
        <w:tc>
          <w:tcPr>
            <w:tcW w:w="1685" w:type="pct"/>
            <w:shd w:val="clear" w:color="auto" w:fill="auto"/>
            <w:vAlign w:val="center"/>
          </w:tcPr>
          <w:p w14:paraId="20D2E0C4">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r>
              <w:rPr>
                <w:rFonts w:hint="eastAsia"/>
                <w:color w:val="auto"/>
                <w:lang w:val="en-US" w:eastAsia="zh-CN"/>
              </w:rPr>
              <w:t>园区统一供电</w:t>
            </w:r>
          </w:p>
        </w:tc>
        <w:tc>
          <w:tcPr>
            <w:tcW w:w="1593" w:type="pct"/>
            <w:shd w:val="clear" w:color="auto" w:fill="auto"/>
            <w:vAlign w:val="center"/>
          </w:tcPr>
          <w:p w14:paraId="37C1304F">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r>
              <w:rPr>
                <w:rFonts w:hint="eastAsia"/>
                <w:color w:val="auto"/>
                <w:lang w:val="en-US" w:eastAsia="zh-CN"/>
              </w:rPr>
              <w:t>园区统一供电</w:t>
            </w:r>
          </w:p>
        </w:tc>
        <w:tc>
          <w:tcPr>
            <w:tcW w:w="671" w:type="pct"/>
            <w:shd w:val="clear" w:color="auto" w:fill="auto"/>
            <w:vAlign w:val="center"/>
          </w:tcPr>
          <w:p w14:paraId="7C6B2F8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lang w:val="en-US" w:eastAsia="zh-CN"/>
              </w:rPr>
            </w:pPr>
            <w:r>
              <w:rPr>
                <w:rFonts w:ascii="Times New Roman" w:hAnsi="Times New Roman" w:eastAsia="宋体" w:cs="Times New Roman"/>
                <w:color w:val="auto"/>
                <w:kern w:val="2"/>
                <w:sz w:val="21"/>
                <w:szCs w:val="21"/>
              </w:rPr>
              <w:t>一致</w:t>
            </w:r>
          </w:p>
        </w:tc>
      </w:tr>
      <w:tr w14:paraId="4CA6D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206" w:type="pct"/>
            <w:vMerge w:val="restart"/>
            <w:shd w:val="clear" w:color="auto" w:fill="auto"/>
            <w:vAlign w:val="center"/>
          </w:tcPr>
          <w:p w14:paraId="499C4E9F">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r>
              <w:rPr>
                <w:rFonts w:hint="eastAsia"/>
                <w:color w:val="auto"/>
                <w:lang w:val="en-US" w:eastAsia="zh-CN"/>
              </w:rPr>
              <w:t>4</w:t>
            </w:r>
          </w:p>
        </w:tc>
        <w:tc>
          <w:tcPr>
            <w:tcW w:w="339" w:type="pct"/>
            <w:vMerge w:val="restart"/>
            <w:shd w:val="clear" w:color="auto" w:fill="auto"/>
            <w:vAlign w:val="center"/>
          </w:tcPr>
          <w:p w14:paraId="2090F65A">
            <w:pPr>
              <w:pStyle w:val="69"/>
              <w:keepNext w:val="0"/>
              <w:keepLines w:val="0"/>
              <w:pageBreakBefore w:val="0"/>
              <w:kinsoku/>
              <w:wordWrap/>
              <w:overflowPunct/>
              <w:topLinePunct w:val="0"/>
              <w:autoSpaceDE/>
              <w:autoSpaceDN/>
              <w:bidi w:val="0"/>
              <w:snapToGrid w:val="0"/>
              <w:spacing w:line="240" w:lineRule="auto"/>
              <w:ind w:firstLine="0" w:firstLineChars="0"/>
              <w:rPr>
                <w:rFonts w:hint="default"/>
                <w:color w:val="auto"/>
                <w:lang w:val="en-US" w:eastAsia="zh-CN"/>
              </w:rPr>
            </w:pPr>
            <w:r>
              <w:rPr>
                <w:rFonts w:hint="eastAsia"/>
                <w:color w:val="auto"/>
                <w:lang w:val="en-US" w:eastAsia="zh-CN"/>
              </w:rPr>
              <w:t>环保工程</w:t>
            </w:r>
          </w:p>
        </w:tc>
        <w:tc>
          <w:tcPr>
            <w:tcW w:w="504" w:type="pct"/>
            <w:vMerge w:val="restart"/>
            <w:shd w:val="clear" w:color="auto" w:fill="auto"/>
            <w:vAlign w:val="center"/>
          </w:tcPr>
          <w:p w14:paraId="6F024E34">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r>
              <w:rPr>
                <w:rFonts w:hint="eastAsia"/>
                <w:color w:val="auto"/>
                <w:lang w:val="en-US" w:eastAsia="zh-CN"/>
              </w:rPr>
              <w:t>废水处理设施</w:t>
            </w:r>
          </w:p>
        </w:tc>
        <w:tc>
          <w:tcPr>
            <w:tcW w:w="1685" w:type="pct"/>
            <w:shd w:val="clear" w:color="auto" w:fill="auto"/>
            <w:vAlign w:val="center"/>
          </w:tcPr>
          <w:p w14:paraId="1AF2ABA8">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r>
              <w:rPr>
                <w:rFonts w:hint="eastAsia"/>
                <w:color w:val="auto"/>
                <w:lang w:val="en-US" w:eastAsia="zh-CN"/>
              </w:rPr>
              <w:t>依托现有综合废水处理系统1座（240m³/d）</w:t>
            </w:r>
          </w:p>
        </w:tc>
        <w:tc>
          <w:tcPr>
            <w:tcW w:w="1593" w:type="pct"/>
            <w:shd w:val="clear" w:color="auto" w:fill="auto"/>
            <w:vAlign w:val="center"/>
          </w:tcPr>
          <w:p w14:paraId="5590D604">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r>
              <w:rPr>
                <w:rFonts w:hint="eastAsia"/>
                <w:color w:val="auto"/>
                <w:lang w:val="en-US" w:eastAsia="zh-CN"/>
              </w:rPr>
              <w:t>依托现有综合废水处理系统1座（240m³/d）</w:t>
            </w:r>
          </w:p>
        </w:tc>
        <w:tc>
          <w:tcPr>
            <w:tcW w:w="671" w:type="pct"/>
            <w:shd w:val="clear" w:color="auto" w:fill="auto"/>
            <w:vAlign w:val="center"/>
          </w:tcPr>
          <w:p w14:paraId="63F2C043">
            <w:pPr>
              <w:pStyle w:val="69"/>
              <w:keepNext w:val="0"/>
              <w:keepLines w:val="0"/>
              <w:pageBreakBefore w:val="0"/>
              <w:kinsoku/>
              <w:wordWrap/>
              <w:overflowPunct/>
              <w:topLinePunct w:val="0"/>
              <w:autoSpaceDE/>
              <w:autoSpaceDN/>
              <w:bidi w:val="0"/>
              <w:snapToGrid w:val="0"/>
              <w:spacing w:line="240" w:lineRule="auto"/>
              <w:ind w:firstLine="0" w:firstLineChars="0"/>
              <w:rPr>
                <w:rFonts w:hint="default"/>
                <w:color w:val="auto"/>
                <w:lang w:val="en-US" w:eastAsia="zh-CN"/>
              </w:rPr>
            </w:pPr>
            <w:r>
              <w:rPr>
                <w:rFonts w:hint="eastAsia"/>
                <w:color w:val="auto"/>
                <w:lang w:val="en-US" w:eastAsia="zh-CN"/>
              </w:rPr>
              <w:t>一致</w:t>
            </w:r>
          </w:p>
        </w:tc>
      </w:tr>
      <w:tr w14:paraId="3471C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206" w:type="pct"/>
            <w:vMerge w:val="continue"/>
            <w:shd w:val="clear" w:color="auto" w:fill="auto"/>
            <w:vAlign w:val="center"/>
          </w:tcPr>
          <w:p w14:paraId="1423DB28">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p>
        </w:tc>
        <w:tc>
          <w:tcPr>
            <w:tcW w:w="339" w:type="pct"/>
            <w:vMerge w:val="continue"/>
            <w:shd w:val="clear" w:color="auto" w:fill="auto"/>
            <w:vAlign w:val="center"/>
          </w:tcPr>
          <w:p w14:paraId="519E9790">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p>
        </w:tc>
        <w:tc>
          <w:tcPr>
            <w:tcW w:w="504" w:type="pct"/>
            <w:vMerge w:val="continue"/>
            <w:shd w:val="clear" w:color="auto" w:fill="auto"/>
            <w:vAlign w:val="center"/>
          </w:tcPr>
          <w:p w14:paraId="62632276">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p>
        </w:tc>
        <w:tc>
          <w:tcPr>
            <w:tcW w:w="1685" w:type="pct"/>
            <w:shd w:val="clear" w:color="auto" w:fill="auto"/>
            <w:vAlign w:val="center"/>
          </w:tcPr>
          <w:p w14:paraId="0C70BBA1">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r>
              <w:rPr>
                <w:rFonts w:hint="eastAsia"/>
                <w:color w:val="auto"/>
                <w:lang w:val="en-US" w:eastAsia="zh-CN"/>
              </w:rPr>
              <w:t>新建含酸废水重金属预处理系统（80m³/d）</w:t>
            </w:r>
          </w:p>
        </w:tc>
        <w:tc>
          <w:tcPr>
            <w:tcW w:w="1593" w:type="pct"/>
            <w:shd w:val="clear" w:color="auto" w:fill="auto"/>
            <w:vAlign w:val="center"/>
          </w:tcPr>
          <w:p w14:paraId="0509E302">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r>
              <w:rPr>
                <w:rFonts w:hint="eastAsia"/>
                <w:color w:val="auto"/>
                <w:lang w:val="en-US" w:eastAsia="zh-CN"/>
              </w:rPr>
              <w:t>新建含酸废水重金属预处理系统（80m³/d）</w:t>
            </w:r>
          </w:p>
        </w:tc>
        <w:tc>
          <w:tcPr>
            <w:tcW w:w="671" w:type="pct"/>
            <w:shd w:val="clear" w:color="auto" w:fill="auto"/>
            <w:vAlign w:val="center"/>
          </w:tcPr>
          <w:p w14:paraId="5240B4F0">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r>
              <w:rPr>
                <w:rFonts w:ascii="Times New Roman" w:hAnsi="Times New Roman" w:eastAsia="宋体" w:cs="Times New Roman"/>
                <w:color w:val="auto"/>
                <w:kern w:val="2"/>
                <w:sz w:val="21"/>
                <w:szCs w:val="21"/>
              </w:rPr>
              <w:t>一致</w:t>
            </w:r>
          </w:p>
        </w:tc>
      </w:tr>
      <w:tr w14:paraId="380AA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206" w:type="pct"/>
            <w:vMerge w:val="continue"/>
            <w:shd w:val="clear" w:color="auto" w:fill="auto"/>
            <w:vAlign w:val="center"/>
          </w:tcPr>
          <w:p w14:paraId="0E9BEB98">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p>
        </w:tc>
        <w:tc>
          <w:tcPr>
            <w:tcW w:w="339" w:type="pct"/>
            <w:vMerge w:val="continue"/>
            <w:shd w:val="clear" w:color="auto" w:fill="auto"/>
            <w:vAlign w:val="center"/>
          </w:tcPr>
          <w:p w14:paraId="6E14B2C8">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p>
        </w:tc>
        <w:tc>
          <w:tcPr>
            <w:tcW w:w="504" w:type="pct"/>
            <w:vMerge w:val="continue"/>
            <w:shd w:val="clear" w:color="auto" w:fill="auto"/>
            <w:vAlign w:val="center"/>
          </w:tcPr>
          <w:p w14:paraId="75935DD5">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p>
        </w:tc>
        <w:tc>
          <w:tcPr>
            <w:tcW w:w="1685" w:type="pct"/>
            <w:shd w:val="clear" w:color="auto" w:fill="auto"/>
            <w:vAlign w:val="center"/>
          </w:tcPr>
          <w:p w14:paraId="0D94795A">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r>
              <w:rPr>
                <w:rFonts w:hint="eastAsia"/>
                <w:color w:val="auto"/>
                <w:lang w:val="en-US" w:eastAsia="zh-CN"/>
              </w:rPr>
              <w:t>新建含镍废水处理系统1座（50m³/d）</w:t>
            </w:r>
          </w:p>
        </w:tc>
        <w:tc>
          <w:tcPr>
            <w:tcW w:w="1593" w:type="pct"/>
            <w:shd w:val="clear" w:color="auto" w:fill="auto"/>
            <w:vAlign w:val="center"/>
          </w:tcPr>
          <w:p w14:paraId="60252E72">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r>
              <w:rPr>
                <w:rFonts w:hint="eastAsia"/>
                <w:color w:val="auto"/>
                <w:lang w:val="en-US" w:eastAsia="zh-CN"/>
              </w:rPr>
              <w:t>依托现有含镍废水处理系统1座（50m³/d）</w:t>
            </w:r>
          </w:p>
        </w:tc>
        <w:tc>
          <w:tcPr>
            <w:tcW w:w="671" w:type="pct"/>
            <w:shd w:val="clear" w:color="auto" w:fill="auto"/>
            <w:vAlign w:val="center"/>
          </w:tcPr>
          <w:p w14:paraId="5A8DCF13">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r>
              <w:rPr>
                <w:rFonts w:hint="eastAsia"/>
                <w:color w:val="auto"/>
                <w:lang w:val="en-US" w:eastAsia="zh-CN"/>
              </w:rPr>
              <w:t>处理措施一致，新建改为依托现有</w:t>
            </w:r>
          </w:p>
        </w:tc>
      </w:tr>
      <w:tr w14:paraId="7F53A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97" w:hRule="atLeast"/>
        </w:trPr>
        <w:tc>
          <w:tcPr>
            <w:tcW w:w="206" w:type="pct"/>
            <w:vMerge w:val="continue"/>
            <w:shd w:val="clear" w:color="auto" w:fill="auto"/>
            <w:vAlign w:val="center"/>
          </w:tcPr>
          <w:p w14:paraId="52591354">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p>
        </w:tc>
        <w:tc>
          <w:tcPr>
            <w:tcW w:w="339" w:type="pct"/>
            <w:vMerge w:val="continue"/>
            <w:shd w:val="clear" w:color="auto" w:fill="auto"/>
            <w:vAlign w:val="center"/>
          </w:tcPr>
          <w:p w14:paraId="2030BCBB">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p>
        </w:tc>
        <w:tc>
          <w:tcPr>
            <w:tcW w:w="504" w:type="pct"/>
            <w:vMerge w:val="continue"/>
            <w:shd w:val="clear" w:color="auto" w:fill="auto"/>
            <w:vAlign w:val="center"/>
          </w:tcPr>
          <w:p w14:paraId="5557A9B1">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p>
        </w:tc>
        <w:tc>
          <w:tcPr>
            <w:tcW w:w="1685" w:type="pct"/>
            <w:shd w:val="clear" w:color="auto" w:fill="auto"/>
            <w:vAlign w:val="center"/>
          </w:tcPr>
          <w:p w14:paraId="120F6552">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r>
              <w:rPr>
                <w:rFonts w:hint="eastAsia"/>
                <w:color w:val="auto"/>
                <w:lang w:val="en-US" w:eastAsia="zh-CN"/>
              </w:rPr>
              <w:t>新建含铬废水处理系统1座（70m³/d）</w:t>
            </w:r>
          </w:p>
        </w:tc>
        <w:tc>
          <w:tcPr>
            <w:tcW w:w="1593" w:type="pct"/>
            <w:shd w:val="clear" w:color="auto" w:fill="auto"/>
            <w:vAlign w:val="center"/>
          </w:tcPr>
          <w:p w14:paraId="7916A4FD">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r>
              <w:rPr>
                <w:rFonts w:hint="eastAsia"/>
                <w:color w:val="auto"/>
                <w:lang w:val="en-US" w:eastAsia="zh-CN"/>
              </w:rPr>
              <w:t>依托现有含铬废水处理系统1座</w:t>
            </w:r>
          </w:p>
        </w:tc>
        <w:tc>
          <w:tcPr>
            <w:tcW w:w="671" w:type="pct"/>
            <w:shd w:val="clear" w:color="auto" w:fill="auto"/>
            <w:vAlign w:val="center"/>
          </w:tcPr>
          <w:p w14:paraId="2BF17302">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r>
              <w:rPr>
                <w:rFonts w:hint="eastAsia"/>
                <w:color w:val="auto"/>
                <w:lang w:val="en-US" w:eastAsia="zh-CN"/>
              </w:rPr>
              <w:t>处理措施一致，新建改为依托现有</w:t>
            </w:r>
          </w:p>
        </w:tc>
      </w:tr>
      <w:tr w14:paraId="0F536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206" w:type="pct"/>
            <w:vMerge w:val="continue"/>
            <w:shd w:val="clear" w:color="auto" w:fill="auto"/>
            <w:vAlign w:val="center"/>
          </w:tcPr>
          <w:p w14:paraId="1AE474A8">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p>
        </w:tc>
        <w:tc>
          <w:tcPr>
            <w:tcW w:w="339" w:type="pct"/>
            <w:vMerge w:val="continue"/>
            <w:shd w:val="clear" w:color="auto" w:fill="auto"/>
            <w:vAlign w:val="center"/>
          </w:tcPr>
          <w:p w14:paraId="0AEAF790">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p>
        </w:tc>
        <w:tc>
          <w:tcPr>
            <w:tcW w:w="504" w:type="pct"/>
            <w:vMerge w:val="continue"/>
            <w:shd w:val="clear" w:color="auto" w:fill="auto"/>
            <w:vAlign w:val="center"/>
          </w:tcPr>
          <w:p w14:paraId="73A6209D">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p>
        </w:tc>
        <w:tc>
          <w:tcPr>
            <w:tcW w:w="1685" w:type="pct"/>
            <w:shd w:val="clear" w:color="auto" w:fill="auto"/>
            <w:vAlign w:val="center"/>
          </w:tcPr>
          <w:p w14:paraId="035C2B86">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r>
              <w:rPr>
                <w:rFonts w:hint="eastAsia"/>
                <w:color w:val="auto"/>
                <w:lang w:val="en-US" w:eastAsia="zh-CN"/>
              </w:rPr>
              <w:t>新建含锌废水处理系统1座（50m³/d）</w:t>
            </w:r>
          </w:p>
        </w:tc>
        <w:tc>
          <w:tcPr>
            <w:tcW w:w="1593" w:type="pct"/>
            <w:shd w:val="clear" w:color="auto" w:fill="auto"/>
            <w:vAlign w:val="center"/>
          </w:tcPr>
          <w:p w14:paraId="66445A6C">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r>
              <w:rPr>
                <w:rFonts w:hint="eastAsia"/>
                <w:color w:val="auto"/>
                <w:lang w:val="en-US" w:eastAsia="zh-CN"/>
              </w:rPr>
              <w:t>新建含锌废水处理系统1座（50m³/d）</w:t>
            </w:r>
          </w:p>
        </w:tc>
        <w:tc>
          <w:tcPr>
            <w:tcW w:w="671" w:type="pct"/>
            <w:shd w:val="clear" w:color="auto" w:fill="auto"/>
            <w:vAlign w:val="center"/>
          </w:tcPr>
          <w:p w14:paraId="08570E74">
            <w:pPr>
              <w:pStyle w:val="69"/>
              <w:keepNext w:val="0"/>
              <w:keepLines w:val="0"/>
              <w:pageBreakBefore w:val="0"/>
              <w:kinsoku/>
              <w:wordWrap/>
              <w:overflowPunct/>
              <w:topLinePunct w:val="0"/>
              <w:autoSpaceDE/>
              <w:autoSpaceDN/>
              <w:bidi w:val="0"/>
              <w:snapToGrid w:val="0"/>
              <w:spacing w:line="240" w:lineRule="auto"/>
              <w:ind w:firstLine="0" w:firstLineChars="0"/>
              <w:rPr>
                <w:rFonts w:hint="default"/>
                <w:color w:val="auto"/>
                <w:lang w:val="en-US" w:eastAsia="zh-CN"/>
              </w:rPr>
            </w:pPr>
            <w:r>
              <w:rPr>
                <w:rFonts w:hint="eastAsia"/>
                <w:color w:val="auto"/>
                <w:lang w:val="en-US" w:eastAsia="zh-CN"/>
              </w:rPr>
              <w:t>一致</w:t>
            </w:r>
          </w:p>
        </w:tc>
      </w:tr>
      <w:tr w14:paraId="72FF6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206" w:type="pct"/>
            <w:vMerge w:val="continue"/>
            <w:shd w:val="clear" w:color="auto" w:fill="auto"/>
            <w:vAlign w:val="center"/>
          </w:tcPr>
          <w:p w14:paraId="00C2480F">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p>
        </w:tc>
        <w:tc>
          <w:tcPr>
            <w:tcW w:w="339" w:type="pct"/>
            <w:vMerge w:val="continue"/>
            <w:shd w:val="clear" w:color="auto" w:fill="auto"/>
            <w:vAlign w:val="center"/>
          </w:tcPr>
          <w:p w14:paraId="60BBCEF1">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p>
        </w:tc>
        <w:tc>
          <w:tcPr>
            <w:tcW w:w="504" w:type="pct"/>
            <w:vMerge w:val="continue"/>
            <w:shd w:val="clear" w:color="auto" w:fill="auto"/>
            <w:vAlign w:val="center"/>
          </w:tcPr>
          <w:p w14:paraId="5616D611">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p>
        </w:tc>
        <w:tc>
          <w:tcPr>
            <w:tcW w:w="1685" w:type="pct"/>
            <w:shd w:val="clear" w:color="auto" w:fill="auto"/>
            <w:vAlign w:val="center"/>
          </w:tcPr>
          <w:p w14:paraId="6C90A694">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r>
              <w:rPr>
                <w:rFonts w:hint="eastAsia"/>
                <w:color w:val="auto"/>
                <w:lang w:val="en-US" w:eastAsia="zh-CN"/>
              </w:rPr>
              <w:t>新建高COD废水处理系统1座（100m³/d）</w:t>
            </w:r>
          </w:p>
        </w:tc>
        <w:tc>
          <w:tcPr>
            <w:tcW w:w="1593" w:type="pct"/>
            <w:shd w:val="clear" w:color="auto" w:fill="auto"/>
            <w:vAlign w:val="center"/>
          </w:tcPr>
          <w:p w14:paraId="46C9317D">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r>
              <w:rPr>
                <w:rFonts w:hint="eastAsia"/>
                <w:color w:val="auto"/>
                <w:lang w:val="en-US" w:eastAsia="zh-CN"/>
              </w:rPr>
              <w:t>新建高COD废水处理系统1座（100m³/d）</w:t>
            </w:r>
          </w:p>
        </w:tc>
        <w:tc>
          <w:tcPr>
            <w:tcW w:w="671" w:type="pct"/>
            <w:shd w:val="clear" w:color="auto" w:fill="auto"/>
            <w:vAlign w:val="center"/>
          </w:tcPr>
          <w:p w14:paraId="69E41518">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ascii="Times New Roman" w:hAnsi="Times New Roman" w:eastAsia="宋体" w:cs="Times New Roman"/>
                <w:color w:val="auto"/>
                <w:kern w:val="2"/>
                <w:sz w:val="21"/>
                <w:szCs w:val="21"/>
                <w:lang w:val="en-US" w:eastAsia="zh-CN" w:bidi="ar-SA"/>
              </w:rPr>
            </w:pPr>
            <w:r>
              <w:rPr>
                <w:rFonts w:hint="eastAsia"/>
                <w:color w:val="auto"/>
                <w:lang w:val="en-US" w:eastAsia="zh-CN"/>
              </w:rPr>
              <w:t>一致</w:t>
            </w:r>
          </w:p>
        </w:tc>
      </w:tr>
      <w:tr w14:paraId="57649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97" w:hRule="atLeast"/>
        </w:trPr>
        <w:tc>
          <w:tcPr>
            <w:tcW w:w="206" w:type="pct"/>
            <w:vMerge w:val="continue"/>
            <w:shd w:val="clear" w:color="auto" w:fill="auto"/>
            <w:vAlign w:val="center"/>
          </w:tcPr>
          <w:p w14:paraId="6B53B964">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p>
        </w:tc>
        <w:tc>
          <w:tcPr>
            <w:tcW w:w="339" w:type="pct"/>
            <w:vMerge w:val="continue"/>
            <w:shd w:val="clear" w:color="auto" w:fill="auto"/>
            <w:vAlign w:val="center"/>
          </w:tcPr>
          <w:p w14:paraId="1981FD1E">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p>
        </w:tc>
        <w:tc>
          <w:tcPr>
            <w:tcW w:w="504" w:type="pct"/>
            <w:vMerge w:val="restart"/>
            <w:shd w:val="clear" w:color="auto" w:fill="auto"/>
            <w:vAlign w:val="center"/>
          </w:tcPr>
          <w:p w14:paraId="18A9D6E1">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r>
              <w:rPr>
                <w:rFonts w:hint="eastAsia"/>
                <w:color w:val="auto"/>
                <w:lang w:val="en-US" w:eastAsia="zh-CN"/>
              </w:rPr>
              <w:t>废气处理设施</w:t>
            </w:r>
          </w:p>
        </w:tc>
        <w:tc>
          <w:tcPr>
            <w:tcW w:w="1685" w:type="pct"/>
            <w:shd w:val="clear" w:color="auto" w:fill="auto"/>
            <w:vAlign w:val="center"/>
          </w:tcPr>
          <w:p w14:paraId="2E4BCD2D">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r>
              <w:rPr>
                <w:rFonts w:hint="eastAsia"/>
                <w:color w:val="auto"/>
                <w:lang w:val="en-US" w:eastAsia="zh-CN"/>
              </w:rPr>
              <w:t>生产线及槽液调配间酸雾：酸雾吸收塔+15m排气筒（</w:t>
            </w:r>
            <w:r>
              <w:rPr>
                <w:rFonts w:hint="eastAsia"/>
                <w:color w:val="FF0000"/>
                <w:lang w:val="en-US" w:eastAsia="zh-CN"/>
              </w:rPr>
              <w:t>新建</w:t>
            </w:r>
            <w:r>
              <w:rPr>
                <w:rFonts w:hint="eastAsia"/>
                <w:color w:val="auto"/>
                <w:lang w:val="en-US" w:eastAsia="zh-CN"/>
              </w:rPr>
              <w:t>2套）</w:t>
            </w:r>
          </w:p>
        </w:tc>
        <w:tc>
          <w:tcPr>
            <w:tcW w:w="1593" w:type="pct"/>
            <w:shd w:val="clear" w:color="auto" w:fill="auto"/>
            <w:vAlign w:val="center"/>
          </w:tcPr>
          <w:p w14:paraId="2DB23655">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r>
              <w:rPr>
                <w:rFonts w:hint="eastAsia"/>
                <w:color w:val="auto"/>
                <w:lang w:val="en-US" w:eastAsia="zh-CN"/>
              </w:rPr>
              <w:t>生产线及槽液调配间酸雾：酸雾吸收塔+15m排气筒（新建3套、并依托现有1套）</w:t>
            </w:r>
          </w:p>
        </w:tc>
        <w:tc>
          <w:tcPr>
            <w:tcW w:w="671" w:type="pct"/>
            <w:shd w:val="clear" w:color="auto" w:fill="auto"/>
            <w:vAlign w:val="center"/>
          </w:tcPr>
          <w:p w14:paraId="59576B9A">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r>
              <w:rPr>
                <w:rFonts w:hint="eastAsia"/>
                <w:color w:val="auto"/>
                <w:lang w:val="en-US" w:eastAsia="zh-CN"/>
              </w:rPr>
              <w:t>处理措施一致，新建改为依托现有</w:t>
            </w:r>
          </w:p>
        </w:tc>
      </w:tr>
      <w:tr w14:paraId="66938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97" w:hRule="atLeast"/>
        </w:trPr>
        <w:tc>
          <w:tcPr>
            <w:tcW w:w="206" w:type="pct"/>
            <w:vMerge w:val="continue"/>
            <w:shd w:val="clear" w:color="auto" w:fill="auto"/>
            <w:vAlign w:val="center"/>
          </w:tcPr>
          <w:p w14:paraId="66F6E390">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p>
        </w:tc>
        <w:tc>
          <w:tcPr>
            <w:tcW w:w="339" w:type="pct"/>
            <w:vMerge w:val="continue"/>
            <w:shd w:val="clear" w:color="auto" w:fill="auto"/>
            <w:vAlign w:val="center"/>
          </w:tcPr>
          <w:p w14:paraId="53BD8C51">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p>
        </w:tc>
        <w:tc>
          <w:tcPr>
            <w:tcW w:w="504" w:type="pct"/>
            <w:vMerge w:val="continue"/>
            <w:shd w:val="clear" w:color="auto" w:fill="auto"/>
            <w:vAlign w:val="center"/>
          </w:tcPr>
          <w:p w14:paraId="7B8F1649">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p>
        </w:tc>
        <w:tc>
          <w:tcPr>
            <w:tcW w:w="1685" w:type="pct"/>
            <w:shd w:val="clear" w:color="auto" w:fill="auto"/>
            <w:vAlign w:val="center"/>
          </w:tcPr>
          <w:p w14:paraId="55E84C66">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r>
              <w:rPr>
                <w:rFonts w:hint="eastAsia"/>
                <w:color w:val="auto"/>
                <w:lang w:val="en-US" w:eastAsia="zh-CN"/>
              </w:rPr>
              <w:t>污水站废气：新建生物除臭塔+15m高排气筒（1套）</w:t>
            </w:r>
          </w:p>
        </w:tc>
        <w:tc>
          <w:tcPr>
            <w:tcW w:w="1593" w:type="pct"/>
            <w:shd w:val="clear" w:color="auto" w:fill="auto"/>
            <w:vAlign w:val="center"/>
          </w:tcPr>
          <w:p w14:paraId="4E735D0C">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r>
              <w:rPr>
                <w:rFonts w:hint="eastAsia"/>
                <w:color w:val="auto"/>
                <w:lang w:val="en-US" w:eastAsia="zh-CN"/>
              </w:rPr>
              <w:t>污水站废气：新建生物除臭塔+15m高排气筒（1套）</w:t>
            </w:r>
          </w:p>
        </w:tc>
        <w:tc>
          <w:tcPr>
            <w:tcW w:w="671" w:type="pct"/>
            <w:shd w:val="clear" w:color="auto" w:fill="auto"/>
            <w:vAlign w:val="center"/>
          </w:tcPr>
          <w:p w14:paraId="0AA7CD12">
            <w:pPr>
              <w:pStyle w:val="69"/>
              <w:keepNext w:val="0"/>
              <w:keepLines w:val="0"/>
              <w:pageBreakBefore w:val="0"/>
              <w:kinsoku/>
              <w:wordWrap/>
              <w:overflowPunct/>
              <w:topLinePunct w:val="0"/>
              <w:autoSpaceDE/>
              <w:autoSpaceDN/>
              <w:bidi w:val="0"/>
              <w:snapToGrid w:val="0"/>
              <w:spacing w:line="240" w:lineRule="auto"/>
              <w:ind w:firstLine="0" w:firstLineChars="0"/>
              <w:rPr>
                <w:rFonts w:hint="default"/>
                <w:color w:val="auto"/>
                <w:lang w:val="en-US" w:eastAsia="zh-CN"/>
              </w:rPr>
            </w:pPr>
            <w:r>
              <w:rPr>
                <w:rFonts w:hint="eastAsia"/>
                <w:color w:val="auto"/>
                <w:lang w:val="en-US" w:eastAsia="zh-CN"/>
              </w:rPr>
              <w:t>一致</w:t>
            </w:r>
          </w:p>
        </w:tc>
      </w:tr>
      <w:tr w14:paraId="6DA01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97" w:hRule="atLeast"/>
        </w:trPr>
        <w:tc>
          <w:tcPr>
            <w:tcW w:w="206" w:type="pct"/>
            <w:vMerge w:val="continue"/>
            <w:shd w:val="clear" w:color="auto" w:fill="auto"/>
            <w:vAlign w:val="center"/>
          </w:tcPr>
          <w:p w14:paraId="102E4101">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p>
        </w:tc>
        <w:tc>
          <w:tcPr>
            <w:tcW w:w="339" w:type="pct"/>
            <w:vMerge w:val="continue"/>
            <w:shd w:val="clear" w:color="auto" w:fill="auto"/>
            <w:vAlign w:val="center"/>
          </w:tcPr>
          <w:p w14:paraId="37F02C99">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p>
        </w:tc>
        <w:tc>
          <w:tcPr>
            <w:tcW w:w="504" w:type="pct"/>
            <w:vMerge w:val="restart"/>
            <w:shd w:val="clear" w:color="auto" w:fill="auto"/>
            <w:vAlign w:val="center"/>
          </w:tcPr>
          <w:p w14:paraId="779404C1">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r>
              <w:rPr>
                <w:rFonts w:hint="eastAsia"/>
                <w:color w:val="auto"/>
                <w:lang w:val="en-US" w:eastAsia="zh-CN"/>
              </w:rPr>
              <w:t>固废处置设施</w:t>
            </w:r>
          </w:p>
        </w:tc>
        <w:tc>
          <w:tcPr>
            <w:tcW w:w="1685" w:type="pct"/>
            <w:shd w:val="clear" w:color="auto" w:fill="auto"/>
            <w:vAlign w:val="center"/>
          </w:tcPr>
          <w:p w14:paraId="5F65A142">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r>
              <w:rPr>
                <w:rFonts w:hint="eastAsia"/>
                <w:color w:val="auto"/>
                <w:lang w:val="en-US" w:eastAsia="zh-CN"/>
              </w:rPr>
              <w:t>危险废物暂存间1间（50m²）</w:t>
            </w:r>
          </w:p>
        </w:tc>
        <w:tc>
          <w:tcPr>
            <w:tcW w:w="1593" w:type="pct"/>
            <w:shd w:val="clear" w:color="auto" w:fill="auto"/>
            <w:vAlign w:val="center"/>
          </w:tcPr>
          <w:p w14:paraId="052C847A">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r>
              <w:rPr>
                <w:rFonts w:hint="eastAsia"/>
                <w:color w:val="auto"/>
                <w:lang w:val="en-US" w:eastAsia="zh-CN"/>
              </w:rPr>
              <w:t>危险废物暂存间1间（50m²）</w:t>
            </w:r>
          </w:p>
        </w:tc>
        <w:tc>
          <w:tcPr>
            <w:tcW w:w="671" w:type="pct"/>
            <w:shd w:val="clear" w:color="auto" w:fill="auto"/>
            <w:vAlign w:val="center"/>
          </w:tcPr>
          <w:p w14:paraId="780BE1EF">
            <w:pPr>
              <w:pStyle w:val="69"/>
              <w:keepNext w:val="0"/>
              <w:keepLines w:val="0"/>
              <w:pageBreakBefore w:val="0"/>
              <w:kinsoku/>
              <w:wordWrap/>
              <w:overflowPunct/>
              <w:topLinePunct w:val="0"/>
              <w:autoSpaceDE/>
              <w:autoSpaceDN/>
              <w:bidi w:val="0"/>
              <w:snapToGrid w:val="0"/>
              <w:spacing w:line="240" w:lineRule="auto"/>
              <w:ind w:firstLine="0" w:firstLineChars="0"/>
              <w:rPr>
                <w:rFonts w:hint="default"/>
                <w:color w:val="auto"/>
                <w:lang w:val="en-US" w:eastAsia="zh-CN"/>
              </w:rPr>
            </w:pPr>
            <w:r>
              <w:rPr>
                <w:rFonts w:hint="eastAsia"/>
                <w:color w:val="auto"/>
                <w:lang w:val="en-US" w:eastAsia="zh-CN"/>
              </w:rPr>
              <w:t>一致</w:t>
            </w:r>
          </w:p>
        </w:tc>
      </w:tr>
      <w:tr w14:paraId="1AC6D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atLeast"/>
        </w:trPr>
        <w:tc>
          <w:tcPr>
            <w:tcW w:w="206" w:type="pct"/>
            <w:vMerge w:val="continue"/>
            <w:shd w:val="clear" w:color="auto" w:fill="auto"/>
            <w:vAlign w:val="center"/>
          </w:tcPr>
          <w:p w14:paraId="49A1A67E">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p>
        </w:tc>
        <w:tc>
          <w:tcPr>
            <w:tcW w:w="339" w:type="pct"/>
            <w:vMerge w:val="continue"/>
            <w:shd w:val="clear" w:color="auto" w:fill="auto"/>
            <w:vAlign w:val="center"/>
          </w:tcPr>
          <w:p w14:paraId="028E12ED">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p>
        </w:tc>
        <w:tc>
          <w:tcPr>
            <w:tcW w:w="504" w:type="pct"/>
            <w:vMerge w:val="continue"/>
            <w:shd w:val="clear" w:color="auto" w:fill="auto"/>
            <w:vAlign w:val="center"/>
          </w:tcPr>
          <w:p w14:paraId="53B5821F">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p>
        </w:tc>
        <w:tc>
          <w:tcPr>
            <w:tcW w:w="1685" w:type="pct"/>
            <w:shd w:val="clear" w:color="auto" w:fill="auto"/>
            <w:vAlign w:val="center"/>
          </w:tcPr>
          <w:p w14:paraId="6E6476A4">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r>
              <w:rPr>
                <w:rFonts w:hint="eastAsia"/>
                <w:color w:val="auto"/>
                <w:lang w:val="en-US" w:eastAsia="zh-CN"/>
              </w:rPr>
              <w:t>一般固废暂存场1处（30m²）、污泥间1处（10m²）</w:t>
            </w:r>
          </w:p>
        </w:tc>
        <w:tc>
          <w:tcPr>
            <w:tcW w:w="1593" w:type="pct"/>
            <w:shd w:val="clear" w:color="auto" w:fill="auto"/>
            <w:vAlign w:val="center"/>
          </w:tcPr>
          <w:p w14:paraId="04843DFB">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r>
              <w:rPr>
                <w:rFonts w:hint="eastAsia"/>
                <w:color w:val="auto"/>
                <w:lang w:val="en-US" w:eastAsia="zh-CN"/>
              </w:rPr>
              <w:t>一般固废暂存场1处（30m²）</w:t>
            </w:r>
          </w:p>
        </w:tc>
        <w:tc>
          <w:tcPr>
            <w:tcW w:w="671" w:type="pct"/>
            <w:shd w:val="clear" w:color="auto" w:fill="auto"/>
            <w:vAlign w:val="center"/>
          </w:tcPr>
          <w:p w14:paraId="6E3CF2A8">
            <w:pPr>
              <w:pStyle w:val="69"/>
              <w:keepNext w:val="0"/>
              <w:keepLines w:val="0"/>
              <w:pageBreakBefore w:val="0"/>
              <w:kinsoku/>
              <w:wordWrap/>
              <w:overflowPunct/>
              <w:topLinePunct w:val="0"/>
              <w:autoSpaceDE/>
              <w:autoSpaceDN/>
              <w:bidi w:val="0"/>
              <w:snapToGrid w:val="0"/>
              <w:spacing w:line="240" w:lineRule="auto"/>
              <w:ind w:firstLine="0" w:firstLineChars="0"/>
              <w:rPr>
                <w:rFonts w:hint="default"/>
                <w:color w:val="auto"/>
                <w:lang w:val="en-US" w:eastAsia="zh-CN"/>
              </w:rPr>
            </w:pPr>
            <w:r>
              <w:rPr>
                <w:rFonts w:hint="eastAsia"/>
                <w:color w:val="auto"/>
                <w:lang w:val="en-US" w:eastAsia="zh-CN"/>
              </w:rPr>
              <w:t>不再建设污泥间，污泥暂存于一般固废暂存场内</w:t>
            </w:r>
          </w:p>
        </w:tc>
      </w:tr>
      <w:tr w14:paraId="0742D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97" w:hRule="atLeast"/>
        </w:trPr>
        <w:tc>
          <w:tcPr>
            <w:tcW w:w="206" w:type="pct"/>
            <w:vMerge w:val="continue"/>
            <w:shd w:val="clear" w:color="auto" w:fill="auto"/>
            <w:vAlign w:val="center"/>
          </w:tcPr>
          <w:p w14:paraId="09010FC3">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p>
        </w:tc>
        <w:tc>
          <w:tcPr>
            <w:tcW w:w="339" w:type="pct"/>
            <w:vMerge w:val="continue"/>
            <w:shd w:val="clear" w:color="auto" w:fill="auto"/>
            <w:vAlign w:val="center"/>
          </w:tcPr>
          <w:p w14:paraId="35D7CE69">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p>
        </w:tc>
        <w:tc>
          <w:tcPr>
            <w:tcW w:w="504" w:type="pct"/>
            <w:shd w:val="clear" w:color="auto" w:fill="auto"/>
            <w:vAlign w:val="center"/>
          </w:tcPr>
          <w:p w14:paraId="70D169CB">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r>
              <w:rPr>
                <w:rFonts w:hint="eastAsia"/>
                <w:color w:val="auto"/>
                <w:lang w:val="en-US" w:eastAsia="zh-CN"/>
              </w:rPr>
              <w:t>风险防范措施</w:t>
            </w:r>
          </w:p>
        </w:tc>
        <w:tc>
          <w:tcPr>
            <w:tcW w:w="1685" w:type="pct"/>
            <w:shd w:val="clear" w:color="auto" w:fill="auto"/>
            <w:vAlign w:val="center"/>
          </w:tcPr>
          <w:p w14:paraId="504DB9DC">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r>
              <w:rPr>
                <w:rFonts w:hint="eastAsia"/>
                <w:color w:val="auto"/>
                <w:lang w:val="en-US" w:eastAsia="zh-CN"/>
              </w:rPr>
              <w:t>事故水池1座（550m³）、初期雨水池（100m³）</w:t>
            </w:r>
          </w:p>
        </w:tc>
        <w:tc>
          <w:tcPr>
            <w:tcW w:w="1593" w:type="pct"/>
            <w:shd w:val="clear" w:color="auto" w:fill="auto"/>
            <w:vAlign w:val="center"/>
          </w:tcPr>
          <w:p w14:paraId="4F84A6CB">
            <w:pPr>
              <w:pStyle w:val="69"/>
              <w:keepNext w:val="0"/>
              <w:keepLines w:val="0"/>
              <w:pageBreakBefore w:val="0"/>
              <w:kinsoku/>
              <w:wordWrap/>
              <w:overflowPunct/>
              <w:topLinePunct w:val="0"/>
              <w:autoSpaceDE/>
              <w:autoSpaceDN/>
              <w:bidi w:val="0"/>
              <w:snapToGrid w:val="0"/>
              <w:spacing w:line="240" w:lineRule="auto"/>
              <w:ind w:firstLine="0" w:firstLineChars="0"/>
              <w:rPr>
                <w:rFonts w:hint="eastAsia"/>
                <w:color w:val="auto"/>
                <w:lang w:val="en-US" w:eastAsia="zh-CN"/>
              </w:rPr>
            </w:pPr>
            <w:r>
              <w:rPr>
                <w:rFonts w:hint="eastAsia"/>
                <w:color w:val="auto"/>
                <w:lang w:val="en-US" w:eastAsia="zh-CN"/>
              </w:rPr>
              <w:t>事故水池1座（100m³）、初期雨水池（0.15m³）</w:t>
            </w:r>
          </w:p>
        </w:tc>
        <w:tc>
          <w:tcPr>
            <w:tcW w:w="671" w:type="pct"/>
            <w:shd w:val="clear" w:color="auto" w:fill="auto"/>
            <w:vAlign w:val="center"/>
          </w:tcPr>
          <w:p w14:paraId="477CD44D">
            <w:pPr>
              <w:pStyle w:val="69"/>
              <w:keepNext w:val="0"/>
              <w:keepLines w:val="0"/>
              <w:pageBreakBefore w:val="0"/>
              <w:kinsoku/>
              <w:wordWrap/>
              <w:overflowPunct/>
              <w:topLinePunct w:val="0"/>
              <w:autoSpaceDE/>
              <w:autoSpaceDN/>
              <w:bidi w:val="0"/>
              <w:snapToGrid w:val="0"/>
              <w:spacing w:line="240" w:lineRule="auto"/>
              <w:ind w:firstLine="0" w:firstLineChars="0"/>
              <w:rPr>
                <w:rFonts w:hint="default"/>
                <w:color w:val="auto"/>
                <w:lang w:val="en-US" w:eastAsia="zh-CN"/>
              </w:rPr>
            </w:pPr>
            <w:r>
              <w:rPr>
                <w:rFonts w:hint="eastAsia"/>
                <w:color w:val="auto"/>
                <w:lang w:val="en-US" w:eastAsia="zh-CN"/>
              </w:rPr>
              <w:t>容积调整，仍可满足风险防范要求</w:t>
            </w:r>
          </w:p>
        </w:tc>
      </w:tr>
    </w:tbl>
    <w:p w14:paraId="0B149EFC">
      <w:pPr>
        <w:ind w:firstLine="482"/>
        <w:outlineLvl w:val="2"/>
        <w:rPr>
          <w:rFonts w:cs="Times New Roman"/>
          <w:b/>
          <w:bCs/>
          <w:color w:val="auto"/>
        </w:rPr>
      </w:pPr>
      <w:r>
        <w:rPr>
          <w:rFonts w:hint="eastAsia" w:cs="Times New Roman"/>
          <w:b/>
          <w:bCs/>
          <w:color w:val="auto"/>
        </w:rPr>
        <w:t>3</w:t>
      </w:r>
      <w:r>
        <w:rPr>
          <w:rFonts w:cs="Times New Roman"/>
          <w:b/>
          <w:bCs/>
          <w:color w:val="auto"/>
        </w:rPr>
        <w:t xml:space="preserve">.2.2 </w:t>
      </w:r>
      <w:r>
        <w:rPr>
          <w:rFonts w:hint="eastAsia" w:cs="Times New Roman"/>
          <w:b/>
          <w:bCs/>
          <w:color w:val="auto"/>
        </w:rPr>
        <w:t>产品方案</w:t>
      </w:r>
    </w:p>
    <w:p w14:paraId="3123E976">
      <w:pPr>
        <w:ind w:firstLine="480"/>
        <w:rPr>
          <w:rFonts w:hint="eastAsia" w:eastAsia="宋体"/>
          <w:color w:val="auto"/>
          <w:lang w:eastAsia="zh-CN"/>
        </w:rPr>
      </w:pPr>
      <w:r>
        <w:rPr>
          <w:rFonts w:hint="eastAsia"/>
          <w:color w:val="auto"/>
        </w:rPr>
        <w:t>本项目产品方案见</w:t>
      </w:r>
      <w:r>
        <w:rPr>
          <w:rFonts w:hint="eastAsia"/>
          <w:color w:val="auto"/>
          <w:lang w:val="en-US" w:eastAsia="zh-CN"/>
        </w:rPr>
        <w:t>下</w:t>
      </w:r>
      <w:r>
        <w:rPr>
          <w:rFonts w:hint="eastAsia"/>
          <w:color w:val="auto"/>
        </w:rPr>
        <w:t>表</w:t>
      </w:r>
      <w:r>
        <w:rPr>
          <w:rFonts w:hint="eastAsia"/>
          <w:color w:val="auto"/>
          <w:lang w:eastAsia="zh-CN"/>
        </w:rPr>
        <w:t>。</w:t>
      </w:r>
    </w:p>
    <w:p w14:paraId="49C02B62">
      <w:pPr>
        <w:pStyle w:val="11"/>
        <w:tabs>
          <w:tab w:val="left" w:pos="3428"/>
        </w:tabs>
        <w:spacing w:after="0"/>
        <w:ind w:firstLine="480"/>
        <w:rPr>
          <w:rFonts w:ascii="黑体" w:eastAsia="黑体"/>
          <w:color w:val="auto"/>
        </w:rPr>
      </w:pPr>
      <w:r>
        <w:rPr>
          <w:rFonts w:hint="eastAsia" w:ascii="黑体" w:eastAsia="黑体"/>
          <w:color w:val="auto"/>
        </w:rPr>
        <w:t>表</w:t>
      </w:r>
      <w:r>
        <w:rPr>
          <w:rFonts w:eastAsia="Times New Roman"/>
          <w:color w:val="auto"/>
        </w:rPr>
        <w:t xml:space="preserve">3-3                     </w:t>
      </w:r>
      <w:r>
        <w:rPr>
          <w:rFonts w:hint="eastAsia" w:eastAsia="宋体"/>
          <w:color w:val="auto"/>
          <w:lang w:val="en-US" w:eastAsia="zh-CN"/>
        </w:rPr>
        <w:t xml:space="preserve"> </w:t>
      </w:r>
      <w:r>
        <w:rPr>
          <w:rFonts w:eastAsia="Times New Roman"/>
          <w:color w:val="auto"/>
        </w:rPr>
        <w:t xml:space="preserve">         </w:t>
      </w:r>
      <w:r>
        <w:rPr>
          <w:rFonts w:hint="eastAsia" w:ascii="黑体" w:eastAsia="黑体"/>
          <w:color w:val="auto"/>
        </w:rPr>
        <w:t>本项目产品方案一览表</w:t>
      </w:r>
    </w:p>
    <w:tbl>
      <w:tblPr>
        <w:tblStyle w:val="26"/>
        <w:tblW w:w="5000" w:type="pct"/>
        <w:jc w:val="center"/>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Layout w:type="autofit"/>
        <w:tblCellMar>
          <w:top w:w="0" w:type="dxa"/>
          <w:left w:w="108" w:type="dxa"/>
          <w:bottom w:w="0" w:type="dxa"/>
          <w:right w:w="108" w:type="dxa"/>
        </w:tblCellMar>
      </w:tblPr>
      <w:tblGrid>
        <w:gridCol w:w="744"/>
        <w:gridCol w:w="1037"/>
        <w:gridCol w:w="1667"/>
        <w:gridCol w:w="1670"/>
        <w:gridCol w:w="1667"/>
        <w:gridCol w:w="1678"/>
        <w:gridCol w:w="825"/>
      </w:tblGrid>
      <w:tr w14:paraId="63E4FE1A">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59" w:type="pct"/>
            <w:gridSpan w:val="2"/>
            <w:vMerge w:val="restart"/>
            <w:vAlign w:val="center"/>
          </w:tcPr>
          <w:p w14:paraId="0878AFC1">
            <w:pPr>
              <w:pStyle w:val="69"/>
              <w:rPr>
                <w:color w:val="auto"/>
              </w:rPr>
            </w:pPr>
            <w:r>
              <w:rPr>
                <w:rFonts w:hint="eastAsia"/>
                <w:b/>
                <w:bCs/>
                <w:color w:val="auto"/>
                <w:lang w:eastAsia="zh-CN"/>
              </w:rPr>
              <w:t>名称</w:t>
            </w:r>
          </w:p>
        </w:tc>
        <w:tc>
          <w:tcPr>
            <w:tcW w:w="3596" w:type="pct"/>
            <w:gridSpan w:val="4"/>
            <w:tcBorders>
              <w:right w:val="single" w:color="auto" w:sz="4" w:space="0"/>
            </w:tcBorders>
            <w:vAlign w:val="center"/>
          </w:tcPr>
          <w:p w14:paraId="77D93C23">
            <w:pPr>
              <w:pStyle w:val="69"/>
              <w:rPr>
                <w:b/>
                <w:bCs/>
                <w:color w:val="auto"/>
                <w:lang w:eastAsia="zh-CN"/>
              </w:rPr>
            </w:pPr>
            <w:r>
              <w:rPr>
                <w:rFonts w:hint="eastAsia"/>
                <w:b/>
                <w:bCs/>
                <w:color w:val="auto"/>
                <w:lang w:eastAsia="zh-CN"/>
              </w:rPr>
              <w:t>生产规模</w:t>
            </w:r>
          </w:p>
        </w:tc>
        <w:tc>
          <w:tcPr>
            <w:tcW w:w="444" w:type="pct"/>
            <w:vMerge w:val="restart"/>
            <w:tcBorders>
              <w:right w:val="single" w:color="auto" w:sz="4" w:space="0"/>
            </w:tcBorders>
            <w:vAlign w:val="center"/>
          </w:tcPr>
          <w:p w14:paraId="25158491">
            <w:pPr>
              <w:pStyle w:val="69"/>
              <w:rPr>
                <w:b/>
                <w:bCs/>
                <w:color w:val="auto"/>
                <w:lang w:eastAsia="zh-CN"/>
              </w:rPr>
            </w:pPr>
            <w:r>
              <w:rPr>
                <w:rFonts w:hint="eastAsia"/>
                <w:b/>
                <w:bCs/>
                <w:color w:val="auto"/>
                <w:lang w:eastAsia="zh-CN"/>
              </w:rPr>
              <w:t>备注</w:t>
            </w:r>
          </w:p>
        </w:tc>
      </w:tr>
      <w:tr w14:paraId="5E7971AB">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59" w:type="pct"/>
            <w:gridSpan w:val="2"/>
            <w:vMerge w:val="continue"/>
            <w:vAlign w:val="center"/>
          </w:tcPr>
          <w:p w14:paraId="5664D9E7">
            <w:pPr>
              <w:pStyle w:val="69"/>
              <w:rPr>
                <w:color w:val="auto"/>
              </w:rPr>
            </w:pPr>
          </w:p>
        </w:tc>
        <w:tc>
          <w:tcPr>
            <w:tcW w:w="1796" w:type="pct"/>
            <w:gridSpan w:val="2"/>
            <w:tcBorders>
              <w:right w:val="single" w:color="auto" w:sz="4" w:space="0"/>
            </w:tcBorders>
            <w:vAlign w:val="center"/>
          </w:tcPr>
          <w:p w14:paraId="3AEAD851">
            <w:pPr>
              <w:pStyle w:val="69"/>
              <w:rPr>
                <w:rFonts w:hint="eastAsia" w:eastAsia="宋体"/>
                <w:color w:val="auto"/>
                <w:lang w:eastAsia="zh-CN"/>
              </w:rPr>
            </w:pPr>
            <w:r>
              <w:rPr>
                <w:rFonts w:hint="eastAsia"/>
                <w:b/>
                <w:color w:val="auto"/>
              </w:rPr>
              <w:t>环评</w:t>
            </w:r>
            <w:r>
              <w:rPr>
                <w:rFonts w:hint="eastAsia"/>
                <w:b/>
                <w:color w:val="auto"/>
                <w:lang w:val="en-US" w:eastAsia="zh-CN"/>
              </w:rPr>
              <w:t>内容</w:t>
            </w:r>
          </w:p>
        </w:tc>
        <w:tc>
          <w:tcPr>
            <w:tcW w:w="1799" w:type="pct"/>
            <w:gridSpan w:val="2"/>
            <w:tcBorders>
              <w:right w:val="single" w:color="auto" w:sz="4" w:space="0"/>
            </w:tcBorders>
            <w:vAlign w:val="center"/>
          </w:tcPr>
          <w:p w14:paraId="7D363537">
            <w:pPr>
              <w:pStyle w:val="69"/>
              <w:rPr>
                <w:b/>
                <w:bCs/>
                <w:color w:val="auto"/>
                <w:lang w:eastAsia="zh-CN"/>
              </w:rPr>
            </w:pPr>
            <w:r>
              <w:rPr>
                <w:rFonts w:hint="eastAsia"/>
                <w:b/>
                <w:bCs/>
                <w:color w:val="auto"/>
                <w:lang w:eastAsia="zh-CN"/>
              </w:rPr>
              <w:t>实际建设</w:t>
            </w:r>
          </w:p>
        </w:tc>
        <w:tc>
          <w:tcPr>
            <w:tcW w:w="444" w:type="pct"/>
            <w:vMerge w:val="continue"/>
            <w:tcBorders>
              <w:right w:val="single" w:color="auto" w:sz="4" w:space="0"/>
            </w:tcBorders>
            <w:vAlign w:val="center"/>
          </w:tcPr>
          <w:p w14:paraId="4AC135DD">
            <w:pPr>
              <w:pStyle w:val="69"/>
              <w:rPr>
                <w:color w:val="auto"/>
                <w:lang w:eastAsia="zh-CN"/>
              </w:rPr>
            </w:pPr>
          </w:p>
        </w:tc>
      </w:tr>
      <w:tr w14:paraId="25EB1181">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PrEx>
        <w:trPr>
          <w:trHeight w:val="397" w:hRule="atLeast"/>
          <w:jc w:val="center"/>
        </w:trPr>
        <w:tc>
          <w:tcPr>
            <w:tcW w:w="959" w:type="pct"/>
            <w:gridSpan w:val="2"/>
            <w:vMerge w:val="continue"/>
            <w:vAlign w:val="center"/>
          </w:tcPr>
          <w:p w14:paraId="2AB5BA8E">
            <w:pPr>
              <w:pStyle w:val="69"/>
              <w:rPr>
                <w:b/>
                <w:bCs/>
                <w:color w:val="auto"/>
              </w:rPr>
            </w:pPr>
          </w:p>
        </w:tc>
        <w:tc>
          <w:tcPr>
            <w:tcW w:w="897" w:type="pct"/>
            <w:tcBorders>
              <w:right w:val="single" w:color="auto" w:sz="4" w:space="0"/>
            </w:tcBorders>
            <w:vAlign w:val="center"/>
          </w:tcPr>
          <w:p w14:paraId="18C2B573">
            <w:pPr>
              <w:pStyle w:val="69"/>
              <w:rPr>
                <w:b/>
                <w:bCs/>
                <w:color w:val="auto"/>
              </w:rPr>
            </w:pPr>
            <w:r>
              <w:rPr>
                <w:rFonts w:hint="eastAsia"/>
                <w:b/>
                <w:bCs/>
                <w:color w:val="auto"/>
              </w:rPr>
              <w:t>产能</w:t>
            </w:r>
          </w:p>
        </w:tc>
        <w:tc>
          <w:tcPr>
            <w:tcW w:w="899" w:type="pct"/>
            <w:tcBorders>
              <w:right w:val="single" w:color="auto" w:sz="4" w:space="0"/>
            </w:tcBorders>
            <w:vAlign w:val="center"/>
          </w:tcPr>
          <w:p w14:paraId="00B7CAC8">
            <w:pPr>
              <w:pStyle w:val="69"/>
              <w:rPr>
                <w:b/>
                <w:bCs/>
                <w:color w:val="auto"/>
              </w:rPr>
            </w:pPr>
            <w:r>
              <w:rPr>
                <w:rFonts w:hint="eastAsia"/>
                <w:b/>
                <w:bCs/>
                <w:color w:val="auto"/>
              </w:rPr>
              <w:t>电镀面积</w:t>
            </w:r>
          </w:p>
        </w:tc>
        <w:tc>
          <w:tcPr>
            <w:tcW w:w="897" w:type="pct"/>
            <w:tcBorders>
              <w:right w:val="single" w:color="auto" w:sz="4" w:space="0"/>
            </w:tcBorders>
            <w:vAlign w:val="center"/>
          </w:tcPr>
          <w:p w14:paraId="23271408">
            <w:pPr>
              <w:pStyle w:val="69"/>
              <w:rPr>
                <w:b/>
                <w:bCs/>
                <w:color w:val="auto"/>
              </w:rPr>
            </w:pPr>
            <w:r>
              <w:rPr>
                <w:rFonts w:hint="eastAsia"/>
                <w:b/>
                <w:bCs/>
                <w:color w:val="auto"/>
              </w:rPr>
              <w:t>产能</w:t>
            </w:r>
          </w:p>
        </w:tc>
        <w:tc>
          <w:tcPr>
            <w:tcW w:w="902" w:type="pct"/>
            <w:tcBorders>
              <w:right w:val="single" w:color="auto" w:sz="4" w:space="0"/>
            </w:tcBorders>
            <w:vAlign w:val="center"/>
          </w:tcPr>
          <w:p w14:paraId="78838B93">
            <w:pPr>
              <w:pStyle w:val="69"/>
              <w:rPr>
                <w:b/>
                <w:bCs/>
                <w:color w:val="auto"/>
              </w:rPr>
            </w:pPr>
            <w:r>
              <w:rPr>
                <w:rFonts w:hint="eastAsia"/>
                <w:b/>
                <w:bCs/>
                <w:color w:val="auto"/>
              </w:rPr>
              <w:t>电镀面积</w:t>
            </w:r>
          </w:p>
        </w:tc>
        <w:tc>
          <w:tcPr>
            <w:tcW w:w="444" w:type="pct"/>
            <w:vMerge w:val="continue"/>
            <w:tcBorders>
              <w:right w:val="single" w:color="auto" w:sz="4" w:space="0"/>
            </w:tcBorders>
            <w:vAlign w:val="center"/>
          </w:tcPr>
          <w:p w14:paraId="3D7021A2">
            <w:pPr>
              <w:pStyle w:val="69"/>
              <w:rPr>
                <w:color w:val="auto"/>
              </w:rPr>
            </w:pPr>
          </w:p>
        </w:tc>
      </w:tr>
      <w:tr w14:paraId="108DA774">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401" w:type="pct"/>
            <w:vMerge w:val="restart"/>
            <w:vAlign w:val="center"/>
          </w:tcPr>
          <w:p w14:paraId="3C906827">
            <w:pPr>
              <w:pStyle w:val="53"/>
              <w:ind w:firstLine="0" w:firstLineChars="0"/>
              <w:rPr>
                <w:color w:val="auto"/>
              </w:rPr>
            </w:pPr>
            <w:bookmarkStart w:id="5" w:name="_Hlk127193114"/>
            <w:bookmarkStart w:id="6" w:name="_Hlk127193125"/>
            <w:r>
              <w:rPr>
                <w:rFonts w:ascii="Times New Roman" w:hAnsi="Times New Roman" w:eastAsia="宋体" w:cs="Times New Roman"/>
                <w:color w:val="auto"/>
              </w:rPr>
              <w:t>五金件</w:t>
            </w:r>
          </w:p>
        </w:tc>
        <w:tc>
          <w:tcPr>
            <w:tcW w:w="558" w:type="pct"/>
            <w:vAlign w:val="center"/>
          </w:tcPr>
          <w:p w14:paraId="39C7ACE0">
            <w:pPr>
              <w:pStyle w:val="53"/>
              <w:ind w:firstLine="0" w:firstLineChars="0"/>
              <w:rPr>
                <w:color w:val="auto"/>
              </w:rPr>
            </w:pPr>
            <w:r>
              <w:rPr>
                <w:rFonts w:ascii="Times New Roman" w:hAnsi="Times New Roman" w:eastAsia="宋体" w:cs="Times New Roman"/>
                <w:color w:val="auto"/>
              </w:rPr>
              <w:t>门锁</w:t>
            </w:r>
          </w:p>
        </w:tc>
        <w:tc>
          <w:tcPr>
            <w:tcW w:w="897" w:type="pct"/>
            <w:tcBorders>
              <w:right w:val="single" w:color="auto" w:sz="4" w:space="0"/>
            </w:tcBorders>
            <w:vAlign w:val="center"/>
          </w:tcPr>
          <w:p w14:paraId="0AF86781">
            <w:pPr>
              <w:pStyle w:val="53"/>
              <w:ind w:firstLine="0" w:firstLineChars="0"/>
              <w:rPr>
                <w:color w:val="auto"/>
              </w:rPr>
            </w:pPr>
            <w:r>
              <w:rPr>
                <w:rFonts w:ascii="Times New Roman" w:hAnsi="Times New Roman" w:eastAsia="宋体" w:cs="Times New Roman"/>
                <w:color w:val="auto"/>
              </w:rPr>
              <w:t>1万吨/年</w:t>
            </w:r>
          </w:p>
        </w:tc>
        <w:tc>
          <w:tcPr>
            <w:tcW w:w="899" w:type="pct"/>
            <w:vMerge w:val="restart"/>
            <w:tcBorders>
              <w:right w:val="single" w:color="auto" w:sz="4" w:space="0"/>
            </w:tcBorders>
            <w:vAlign w:val="center"/>
          </w:tcPr>
          <w:p w14:paraId="76A77057">
            <w:pPr>
              <w:pStyle w:val="69"/>
              <w:rPr>
                <w:rFonts w:hint="default" w:eastAsia="宋体"/>
                <w:color w:val="auto"/>
                <w:lang w:val="en-US" w:eastAsia="zh-CN"/>
              </w:rPr>
            </w:pPr>
            <w:r>
              <w:rPr>
                <w:rFonts w:hint="eastAsia"/>
                <w:color w:val="auto"/>
                <w:lang w:val="en-US" w:eastAsia="zh-CN"/>
              </w:rPr>
              <w:t>30万</w:t>
            </w:r>
            <w:r>
              <w:rPr>
                <w:rFonts w:ascii="Times New Roman" w:hAnsi="Times New Roman" w:eastAsia="宋体" w:cs="Times New Roman"/>
                <w:b w:val="0"/>
                <w:bCs w:val="0"/>
                <w:color w:val="auto"/>
                <w:sz w:val="24"/>
                <w:szCs w:val="24"/>
                <w:u w:val="none"/>
              </w:rPr>
              <w:t>m</w:t>
            </w:r>
            <w:r>
              <w:rPr>
                <w:rFonts w:ascii="Times New Roman" w:hAnsi="Times New Roman" w:eastAsia="宋体" w:cs="Times New Roman"/>
                <w:b w:val="0"/>
                <w:bCs w:val="0"/>
                <w:color w:val="auto"/>
                <w:sz w:val="24"/>
                <w:szCs w:val="24"/>
                <w:u w:val="none"/>
                <w:vertAlign w:val="superscript"/>
              </w:rPr>
              <w:t>2</w:t>
            </w:r>
            <w:r>
              <w:rPr>
                <w:rFonts w:ascii="Times New Roman" w:hAnsi="Times New Roman" w:eastAsia="宋体" w:cs="Times New Roman"/>
                <w:b w:val="0"/>
                <w:bCs w:val="0"/>
                <w:color w:val="auto"/>
                <w:sz w:val="24"/>
                <w:szCs w:val="24"/>
                <w:u w:val="none"/>
              </w:rPr>
              <w:t>/a</w:t>
            </w:r>
          </w:p>
        </w:tc>
        <w:tc>
          <w:tcPr>
            <w:tcW w:w="897" w:type="pct"/>
            <w:tcBorders>
              <w:right w:val="single" w:color="auto" w:sz="4" w:space="0"/>
            </w:tcBorders>
            <w:vAlign w:val="center"/>
          </w:tcPr>
          <w:p w14:paraId="0AC7DD29">
            <w:pPr>
              <w:pStyle w:val="69"/>
              <w:rPr>
                <w:rFonts w:hint="eastAsia" w:eastAsia="宋体"/>
                <w:color w:val="auto"/>
                <w:lang w:val="en-US" w:eastAsia="zh-CN"/>
              </w:rPr>
            </w:pPr>
            <w:r>
              <w:rPr>
                <w:rFonts w:hint="eastAsia"/>
                <w:color w:val="auto"/>
                <w:lang w:val="en-US" w:eastAsia="zh-CN"/>
              </w:rPr>
              <w:t>/</w:t>
            </w:r>
          </w:p>
        </w:tc>
        <w:tc>
          <w:tcPr>
            <w:tcW w:w="902" w:type="pct"/>
            <w:tcBorders>
              <w:right w:val="single" w:color="auto" w:sz="4" w:space="0"/>
            </w:tcBorders>
            <w:vAlign w:val="center"/>
          </w:tcPr>
          <w:p w14:paraId="6C6F81F0">
            <w:pPr>
              <w:pStyle w:val="69"/>
              <w:rPr>
                <w:rFonts w:hint="default"/>
                <w:color w:val="auto"/>
                <w:lang w:val="en-US" w:eastAsia="zh-CN"/>
              </w:rPr>
            </w:pPr>
            <w:r>
              <w:rPr>
                <w:rFonts w:hint="eastAsia"/>
                <w:color w:val="auto"/>
                <w:lang w:val="en-US" w:eastAsia="zh-CN"/>
              </w:rPr>
              <w:t>/</w:t>
            </w:r>
          </w:p>
        </w:tc>
        <w:tc>
          <w:tcPr>
            <w:tcW w:w="444" w:type="pct"/>
            <w:vMerge w:val="restart"/>
            <w:tcBorders>
              <w:right w:val="single" w:color="auto" w:sz="4" w:space="0"/>
            </w:tcBorders>
            <w:vAlign w:val="center"/>
          </w:tcPr>
          <w:p w14:paraId="2C50BBA2">
            <w:pPr>
              <w:pStyle w:val="69"/>
              <w:rPr>
                <w:color w:val="auto"/>
              </w:rPr>
            </w:pPr>
            <w:r>
              <w:rPr>
                <w:rFonts w:hint="eastAsia"/>
                <w:color w:val="auto"/>
                <w:lang w:eastAsia="zh-CN"/>
              </w:rPr>
              <w:t>分期建设</w:t>
            </w:r>
          </w:p>
        </w:tc>
      </w:tr>
      <w:tr w14:paraId="73FA2DE1">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406" w:hRule="atLeast"/>
          <w:jc w:val="center"/>
        </w:trPr>
        <w:tc>
          <w:tcPr>
            <w:tcW w:w="401" w:type="pct"/>
            <w:vMerge w:val="continue"/>
            <w:vAlign w:val="center"/>
          </w:tcPr>
          <w:p w14:paraId="00FEA013">
            <w:pPr>
              <w:pStyle w:val="53"/>
              <w:ind w:firstLine="0" w:firstLineChars="0"/>
              <w:rPr>
                <w:color w:val="auto"/>
              </w:rPr>
            </w:pPr>
          </w:p>
        </w:tc>
        <w:tc>
          <w:tcPr>
            <w:tcW w:w="558" w:type="pct"/>
            <w:vAlign w:val="center"/>
          </w:tcPr>
          <w:p w14:paraId="277A4FBB">
            <w:pPr>
              <w:pStyle w:val="53"/>
              <w:ind w:firstLine="0" w:firstLineChars="0"/>
              <w:rPr>
                <w:color w:val="auto"/>
              </w:rPr>
            </w:pPr>
            <w:r>
              <w:rPr>
                <w:rFonts w:ascii="Times New Roman" w:hAnsi="Times New Roman" w:eastAsia="宋体" w:cs="Times New Roman"/>
                <w:color w:val="auto"/>
              </w:rPr>
              <w:t>月牙锁</w:t>
            </w:r>
          </w:p>
        </w:tc>
        <w:tc>
          <w:tcPr>
            <w:tcW w:w="897" w:type="pct"/>
            <w:tcBorders>
              <w:right w:val="single" w:color="auto" w:sz="4" w:space="0"/>
            </w:tcBorders>
            <w:vAlign w:val="center"/>
          </w:tcPr>
          <w:p w14:paraId="213B04B8">
            <w:pPr>
              <w:pStyle w:val="53"/>
              <w:ind w:firstLine="0" w:firstLineChars="0"/>
              <w:rPr>
                <w:rFonts w:hint="eastAsia"/>
                <w:color w:val="auto"/>
              </w:rPr>
            </w:pPr>
            <w:r>
              <w:rPr>
                <w:rFonts w:ascii="Times New Roman" w:hAnsi="Times New Roman" w:eastAsia="宋体" w:cs="Times New Roman"/>
                <w:color w:val="auto"/>
              </w:rPr>
              <w:t>1万吨/年</w:t>
            </w:r>
          </w:p>
        </w:tc>
        <w:tc>
          <w:tcPr>
            <w:tcW w:w="899" w:type="pct"/>
            <w:vMerge w:val="continue"/>
            <w:tcBorders>
              <w:right w:val="single" w:color="auto" w:sz="4" w:space="0"/>
            </w:tcBorders>
            <w:vAlign w:val="center"/>
          </w:tcPr>
          <w:p w14:paraId="5EF60EEC">
            <w:pPr>
              <w:pStyle w:val="69"/>
              <w:rPr>
                <w:rFonts w:hint="eastAsia"/>
                <w:color w:val="auto"/>
              </w:rPr>
            </w:pPr>
          </w:p>
        </w:tc>
        <w:tc>
          <w:tcPr>
            <w:tcW w:w="897" w:type="pct"/>
            <w:tcBorders>
              <w:right w:val="single" w:color="auto" w:sz="4" w:space="0"/>
            </w:tcBorders>
            <w:vAlign w:val="center"/>
          </w:tcPr>
          <w:p w14:paraId="4BBCD413">
            <w:pPr>
              <w:pStyle w:val="69"/>
              <w:rPr>
                <w:rFonts w:hint="default"/>
                <w:color w:val="auto"/>
                <w:lang w:val="en-US" w:eastAsia="zh-CN"/>
              </w:rPr>
            </w:pPr>
            <w:r>
              <w:rPr>
                <w:rFonts w:hint="eastAsia"/>
                <w:color w:val="auto"/>
                <w:lang w:val="en-US" w:eastAsia="zh-CN"/>
              </w:rPr>
              <w:t>/</w:t>
            </w:r>
          </w:p>
        </w:tc>
        <w:tc>
          <w:tcPr>
            <w:tcW w:w="902" w:type="pct"/>
            <w:tcBorders>
              <w:right w:val="single" w:color="auto" w:sz="4" w:space="0"/>
            </w:tcBorders>
            <w:vAlign w:val="center"/>
          </w:tcPr>
          <w:p w14:paraId="52324DD1">
            <w:pPr>
              <w:pStyle w:val="69"/>
              <w:rPr>
                <w:rFonts w:hint="default"/>
                <w:color w:val="auto"/>
                <w:lang w:val="en-US" w:eastAsia="zh-CN"/>
              </w:rPr>
            </w:pPr>
            <w:r>
              <w:rPr>
                <w:rFonts w:hint="eastAsia"/>
                <w:color w:val="auto"/>
                <w:lang w:val="en-US" w:eastAsia="zh-CN"/>
              </w:rPr>
              <w:t>/</w:t>
            </w:r>
          </w:p>
        </w:tc>
        <w:tc>
          <w:tcPr>
            <w:tcW w:w="444" w:type="pct"/>
            <w:vMerge w:val="continue"/>
            <w:tcBorders>
              <w:right w:val="single" w:color="auto" w:sz="4" w:space="0"/>
            </w:tcBorders>
            <w:vAlign w:val="center"/>
          </w:tcPr>
          <w:p w14:paraId="41AE1563">
            <w:pPr>
              <w:pStyle w:val="69"/>
              <w:rPr>
                <w:color w:val="auto"/>
              </w:rPr>
            </w:pPr>
          </w:p>
        </w:tc>
      </w:tr>
      <w:tr w14:paraId="14CF8CC0">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401" w:type="pct"/>
            <w:vMerge w:val="restart"/>
            <w:vAlign w:val="center"/>
          </w:tcPr>
          <w:p w14:paraId="6101A030">
            <w:pPr>
              <w:pStyle w:val="53"/>
              <w:ind w:firstLine="0" w:firstLineChars="0"/>
              <w:rPr>
                <w:color w:val="auto"/>
              </w:rPr>
            </w:pPr>
            <w:r>
              <w:rPr>
                <w:rFonts w:ascii="Times New Roman" w:hAnsi="Times New Roman" w:eastAsia="宋体" w:cs="Times New Roman"/>
                <w:color w:val="auto"/>
              </w:rPr>
              <w:t>汽车配件</w:t>
            </w:r>
          </w:p>
        </w:tc>
        <w:tc>
          <w:tcPr>
            <w:tcW w:w="558" w:type="pct"/>
            <w:vAlign w:val="center"/>
          </w:tcPr>
          <w:p w14:paraId="708FE54E">
            <w:pPr>
              <w:pStyle w:val="53"/>
              <w:ind w:firstLine="0" w:firstLineChars="0"/>
              <w:rPr>
                <w:color w:val="auto"/>
              </w:rPr>
            </w:pPr>
            <w:r>
              <w:rPr>
                <w:rFonts w:ascii="Times New Roman" w:hAnsi="Times New Roman" w:eastAsia="宋体" w:cs="Times New Roman"/>
                <w:color w:val="auto"/>
              </w:rPr>
              <w:t>防撞梁</w:t>
            </w:r>
          </w:p>
        </w:tc>
        <w:tc>
          <w:tcPr>
            <w:tcW w:w="897" w:type="pct"/>
            <w:tcBorders>
              <w:right w:val="single" w:color="auto" w:sz="4" w:space="0"/>
            </w:tcBorders>
            <w:vAlign w:val="center"/>
          </w:tcPr>
          <w:p w14:paraId="0F1BDDB1">
            <w:pPr>
              <w:pStyle w:val="53"/>
              <w:ind w:firstLine="0" w:firstLineChars="0"/>
              <w:rPr>
                <w:rFonts w:hint="eastAsia"/>
                <w:color w:val="auto"/>
              </w:rPr>
            </w:pPr>
            <w:r>
              <w:rPr>
                <w:rFonts w:ascii="Times New Roman" w:hAnsi="Times New Roman" w:eastAsia="宋体" w:cs="Times New Roman"/>
                <w:color w:val="auto"/>
              </w:rPr>
              <w:t>1万吨/年</w:t>
            </w:r>
          </w:p>
        </w:tc>
        <w:tc>
          <w:tcPr>
            <w:tcW w:w="899" w:type="pct"/>
            <w:vMerge w:val="restart"/>
            <w:tcBorders>
              <w:right w:val="single" w:color="auto" w:sz="4" w:space="0"/>
            </w:tcBorders>
            <w:vAlign w:val="center"/>
          </w:tcPr>
          <w:p w14:paraId="23759A84">
            <w:pPr>
              <w:pStyle w:val="69"/>
              <w:rPr>
                <w:rFonts w:hint="default" w:eastAsia="宋体"/>
                <w:color w:val="auto"/>
                <w:lang w:val="en-US" w:eastAsia="zh-CN"/>
              </w:rPr>
            </w:pPr>
            <w:r>
              <w:rPr>
                <w:rFonts w:hint="eastAsia"/>
                <w:color w:val="auto"/>
                <w:lang w:val="en-US" w:eastAsia="zh-CN"/>
              </w:rPr>
              <w:t>68.5万</w:t>
            </w:r>
            <w:r>
              <w:rPr>
                <w:rFonts w:ascii="Times New Roman" w:hAnsi="Times New Roman" w:eastAsia="宋体" w:cs="Times New Roman"/>
                <w:b w:val="0"/>
                <w:bCs w:val="0"/>
                <w:color w:val="auto"/>
                <w:sz w:val="24"/>
                <w:szCs w:val="24"/>
                <w:u w:val="none"/>
              </w:rPr>
              <w:t>m</w:t>
            </w:r>
            <w:r>
              <w:rPr>
                <w:rFonts w:ascii="Times New Roman" w:hAnsi="Times New Roman" w:eastAsia="宋体" w:cs="Times New Roman"/>
                <w:b w:val="0"/>
                <w:bCs w:val="0"/>
                <w:color w:val="auto"/>
                <w:sz w:val="24"/>
                <w:szCs w:val="24"/>
                <w:u w:val="none"/>
                <w:vertAlign w:val="superscript"/>
              </w:rPr>
              <w:t>2</w:t>
            </w:r>
            <w:r>
              <w:rPr>
                <w:rFonts w:ascii="Times New Roman" w:hAnsi="Times New Roman" w:eastAsia="宋体" w:cs="Times New Roman"/>
                <w:b w:val="0"/>
                <w:bCs w:val="0"/>
                <w:color w:val="auto"/>
                <w:sz w:val="24"/>
                <w:szCs w:val="24"/>
                <w:u w:val="none"/>
              </w:rPr>
              <w:t>/a</w:t>
            </w:r>
          </w:p>
        </w:tc>
        <w:tc>
          <w:tcPr>
            <w:tcW w:w="897" w:type="pct"/>
            <w:tcBorders>
              <w:right w:val="single" w:color="auto" w:sz="4" w:space="0"/>
            </w:tcBorders>
            <w:vAlign w:val="center"/>
          </w:tcPr>
          <w:p w14:paraId="6092B51D">
            <w:pPr>
              <w:pStyle w:val="53"/>
              <w:ind w:firstLine="0" w:firstLineChars="0"/>
              <w:rPr>
                <w:rFonts w:hint="eastAsia"/>
                <w:b w:val="0"/>
                <w:bCs w:val="0"/>
                <w:color w:val="auto"/>
                <w:u w:val="none"/>
                <w:lang w:eastAsia="zh-CN"/>
              </w:rPr>
            </w:pPr>
            <w:r>
              <w:rPr>
                <w:rFonts w:hint="eastAsia" w:ascii="Times New Roman" w:hAnsi="Times New Roman" w:eastAsia="宋体" w:cs="Times New Roman"/>
                <w:b w:val="0"/>
                <w:bCs w:val="0"/>
                <w:color w:val="auto"/>
                <w:u w:val="none"/>
                <w:lang w:val="en-US" w:eastAsia="zh-CN"/>
              </w:rPr>
              <w:t>4000</w:t>
            </w:r>
            <w:r>
              <w:rPr>
                <w:rFonts w:ascii="Times New Roman" w:hAnsi="Times New Roman" w:eastAsia="宋体" w:cs="Times New Roman"/>
                <w:b w:val="0"/>
                <w:bCs w:val="0"/>
                <w:color w:val="auto"/>
                <w:u w:val="none"/>
              </w:rPr>
              <w:t>吨/年</w:t>
            </w:r>
          </w:p>
        </w:tc>
        <w:tc>
          <w:tcPr>
            <w:tcW w:w="902" w:type="pct"/>
            <w:vMerge w:val="restart"/>
            <w:tcBorders>
              <w:right w:val="single" w:color="auto" w:sz="4" w:space="0"/>
            </w:tcBorders>
            <w:vAlign w:val="center"/>
          </w:tcPr>
          <w:p w14:paraId="1E5FE172">
            <w:pPr>
              <w:pStyle w:val="69"/>
              <w:rPr>
                <w:rFonts w:hint="default"/>
                <w:color w:val="auto"/>
                <w:lang w:val="en-US" w:eastAsia="zh-CN"/>
              </w:rPr>
            </w:pPr>
            <w:r>
              <w:rPr>
                <w:rFonts w:hint="eastAsia"/>
                <w:color w:val="auto"/>
                <w:lang w:val="en-US" w:eastAsia="zh-CN"/>
              </w:rPr>
              <w:t>27.4万</w:t>
            </w:r>
            <w:r>
              <w:rPr>
                <w:rFonts w:ascii="Times New Roman" w:hAnsi="Times New Roman" w:eastAsia="宋体" w:cs="Times New Roman"/>
                <w:b w:val="0"/>
                <w:bCs w:val="0"/>
                <w:color w:val="auto"/>
                <w:sz w:val="24"/>
                <w:szCs w:val="24"/>
                <w:u w:val="none"/>
              </w:rPr>
              <w:t>m</w:t>
            </w:r>
            <w:r>
              <w:rPr>
                <w:rFonts w:ascii="Times New Roman" w:hAnsi="Times New Roman" w:eastAsia="宋体" w:cs="Times New Roman"/>
                <w:b w:val="0"/>
                <w:bCs w:val="0"/>
                <w:color w:val="auto"/>
                <w:sz w:val="24"/>
                <w:szCs w:val="24"/>
                <w:u w:val="none"/>
                <w:vertAlign w:val="superscript"/>
              </w:rPr>
              <w:t>2</w:t>
            </w:r>
            <w:r>
              <w:rPr>
                <w:rFonts w:ascii="Times New Roman" w:hAnsi="Times New Roman" w:eastAsia="宋体" w:cs="Times New Roman"/>
                <w:b w:val="0"/>
                <w:bCs w:val="0"/>
                <w:color w:val="auto"/>
                <w:sz w:val="24"/>
                <w:szCs w:val="24"/>
                <w:u w:val="none"/>
              </w:rPr>
              <w:t>/a</w:t>
            </w:r>
          </w:p>
        </w:tc>
        <w:tc>
          <w:tcPr>
            <w:tcW w:w="444" w:type="pct"/>
            <w:vMerge w:val="continue"/>
            <w:tcBorders>
              <w:right w:val="single" w:color="auto" w:sz="4" w:space="0"/>
            </w:tcBorders>
            <w:vAlign w:val="center"/>
          </w:tcPr>
          <w:p w14:paraId="287A17DD">
            <w:pPr>
              <w:pStyle w:val="69"/>
              <w:rPr>
                <w:color w:val="auto"/>
              </w:rPr>
            </w:pPr>
          </w:p>
        </w:tc>
      </w:tr>
      <w:tr w14:paraId="4A1B3752">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401" w:type="pct"/>
            <w:vMerge w:val="continue"/>
            <w:vAlign w:val="center"/>
          </w:tcPr>
          <w:p w14:paraId="0708BEB0">
            <w:pPr>
              <w:pStyle w:val="53"/>
              <w:ind w:firstLine="0" w:firstLineChars="0"/>
              <w:rPr>
                <w:color w:val="auto"/>
              </w:rPr>
            </w:pPr>
          </w:p>
        </w:tc>
        <w:tc>
          <w:tcPr>
            <w:tcW w:w="558" w:type="pct"/>
            <w:vAlign w:val="center"/>
          </w:tcPr>
          <w:p w14:paraId="3D107BBD">
            <w:pPr>
              <w:pStyle w:val="53"/>
              <w:ind w:firstLine="0" w:firstLineChars="0"/>
              <w:rPr>
                <w:color w:val="auto"/>
              </w:rPr>
            </w:pPr>
            <w:r>
              <w:rPr>
                <w:rFonts w:ascii="Times New Roman" w:hAnsi="Times New Roman" w:eastAsia="宋体" w:cs="Times New Roman"/>
                <w:color w:val="auto"/>
              </w:rPr>
              <w:t>卡钳</w:t>
            </w:r>
          </w:p>
        </w:tc>
        <w:tc>
          <w:tcPr>
            <w:tcW w:w="897" w:type="pct"/>
            <w:tcBorders>
              <w:right w:val="single" w:color="auto" w:sz="4" w:space="0"/>
            </w:tcBorders>
            <w:vAlign w:val="center"/>
          </w:tcPr>
          <w:p w14:paraId="72AA2924">
            <w:pPr>
              <w:pStyle w:val="53"/>
              <w:ind w:firstLine="0" w:firstLineChars="0"/>
              <w:rPr>
                <w:rFonts w:hint="eastAsia"/>
                <w:color w:val="auto"/>
              </w:rPr>
            </w:pPr>
            <w:r>
              <w:rPr>
                <w:rFonts w:ascii="Times New Roman" w:hAnsi="Times New Roman" w:eastAsia="宋体" w:cs="Times New Roman"/>
                <w:color w:val="auto"/>
              </w:rPr>
              <w:t>1万吨/年</w:t>
            </w:r>
          </w:p>
        </w:tc>
        <w:tc>
          <w:tcPr>
            <w:tcW w:w="899" w:type="pct"/>
            <w:vMerge w:val="continue"/>
            <w:tcBorders>
              <w:right w:val="single" w:color="auto" w:sz="4" w:space="0"/>
            </w:tcBorders>
            <w:vAlign w:val="center"/>
          </w:tcPr>
          <w:p w14:paraId="7DCB201E">
            <w:pPr>
              <w:pStyle w:val="69"/>
              <w:rPr>
                <w:rFonts w:hint="eastAsia"/>
                <w:color w:val="auto"/>
              </w:rPr>
            </w:pPr>
          </w:p>
        </w:tc>
        <w:tc>
          <w:tcPr>
            <w:tcW w:w="897" w:type="pct"/>
            <w:tcBorders>
              <w:right w:val="single" w:color="auto" w:sz="4" w:space="0"/>
            </w:tcBorders>
            <w:vAlign w:val="center"/>
          </w:tcPr>
          <w:p w14:paraId="58E1A7DF">
            <w:pPr>
              <w:pStyle w:val="53"/>
              <w:ind w:firstLine="0" w:firstLineChars="0"/>
              <w:rPr>
                <w:rFonts w:hint="eastAsia"/>
                <w:b w:val="0"/>
                <w:bCs w:val="0"/>
                <w:color w:val="auto"/>
                <w:u w:val="none"/>
                <w:lang w:eastAsia="zh-CN"/>
              </w:rPr>
            </w:pPr>
            <w:r>
              <w:rPr>
                <w:rFonts w:hint="eastAsia" w:ascii="Times New Roman" w:hAnsi="Times New Roman" w:eastAsia="宋体" w:cs="Times New Roman"/>
                <w:b w:val="0"/>
                <w:bCs w:val="0"/>
                <w:color w:val="auto"/>
                <w:u w:val="none"/>
                <w:lang w:val="en-US" w:eastAsia="zh-CN"/>
              </w:rPr>
              <w:t>4000</w:t>
            </w:r>
            <w:r>
              <w:rPr>
                <w:rFonts w:ascii="Times New Roman" w:hAnsi="Times New Roman" w:eastAsia="宋体" w:cs="Times New Roman"/>
                <w:b w:val="0"/>
                <w:bCs w:val="0"/>
                <w:color w:val="auto"/>
                <w:u w:val="none"/>
              </w:rPr>
              <w:t>吨/年</w:t>
            </w:r>
          </w:p>
        </w:tc>
        <w:tc>
          <w:tcPr>
            <w:tcW w:w="902" w:type="pct"/>
            <w:vMerge w:val="continue"/>
            <w:tcBorders>
              <w:right w:val="single" w:color="auto" w:sz="4" w:space="0"/>
            </w:tcBorders>
            <w:vAlign w:val="center"/>
          </w:tcPr>
          <w:p w14:paraId="01FA54AE">
            <w:pPr>
              <w:pStyle w:val="69"/>
              <w:rPr>
                <w:rFonts w:hint="eastAsia"/>
                <w:color w:val="auto"/>
                <w:lang w:eastAsia="zh-CN"/>
              </w:rPr>
            </w:pPr>
          </w:p>
        </w:tc>
        <w:tc>
          <w:tcPr>
            <w:tcW w:w="444" w:type="pct"/>
            <w:vMerge w:val="continue"/>
            <w:tcBorders>
              <w:right w:val="single" w:color="auto" w:sz="4" w:space="0"/>
            </w:tcBorders>
            <w:vAlign w:val="center"/>
          </w:tcPr>
          <w:p w14:paraId="541E65DA">
            <w:pPr>
              <w:pStyle w:val="69"/>
              <w:rPr>
                <w:color w:val="auto"/>
              </w:rPr>
            </w:pPr>
          </w:p>
        </w:tc>
      </w:tr>
      <w:tr w14:paraId="080980F5">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PrEx>
        <w:trPr>
          <w:trHeight w:val="397" w:hRule="atLeast"/>
          <w:jc w:val="center"/>
        </w:trPr>
        <w:tc>
          <w:tcPr>
            <w:tcW w:w="959" w:type="pct"/>
            <w:gridSpan w:val="2"/>
            <w:vAlign w:val="center"/>
          </w:tcPr>
          <w:p w14:paraId="1F5DFC1D">
            <w:pPr>
              <w:pStyle w:val="53"/>
              <w:ind w:firstLine="0" w:firstLineChars="0"/>
              <w:rPr>
                <w:color w:val="auto"/>
              </w:rPr>
            </w:pPr>
            <w:r>
              <w:rPr>
                <w:rFonts w:ascii="Times New Roman" w:hAnsi="Times New Roman" w:eastAsia="宋体" w:cs="Times New Roman"/>
                <w:color w:val="auto"/>
              </w:rPr>
              <w:t>钢带</w:t>
            </w:r>
          </w:p>
        </w:tc>
        <w:tc>
          <w:tcPr>
            <w:tcW w:w="897" w:type="pct"/>
            <w:tcBorders>
              <w:right w:val="single" w:color="auto" w:sz="4" w:space="0"/>
            </w:tcBorders>
            <w:vAlign w:val="center"/>
          </w:tcPr>
          <w:p w14:paraId="159316AE">
            <w:pPr>
              <w:pStyle w:val="53"/>
              <w:ind w:firstLine="0" w:firstLineChars="0"/>
              <w:rPr>
                <w:rFonts w:hint="eastAsia"/>
                <w:color w:val="auto"/>
              </w:rPr>
            </w:pPr>
            <w:r>
              <w:rPr>
                <w:rFonts w:ascii="Times New Roman" w:hAnsi="Times New Roman" w:eastAsia="宋体" w:cs="Times New Roman"/>
                <w:color w:val="auto"/>
              </w:rPr>
              <w:t>800吨/年</w:t>
            </w:r>
          </w:p>
        </w:tc>
        <w:tc>
          <w:tcPr>
            <w:tcW w:w="899" w:type="pct"/>
            <w:tcBorders>
              <w:right w:val="single" w:color="auto" w:sz="4" w:space="0"/>
            </w:tcBorders>
            <w:vAlign w:val="center"/>
          </w:tcPr>
          <w:p w14:paraId="10D84E74">
            <w:pPr>
              <w:pStyle w:val="69"/>
              <w:rPr>
                <w:rFonts w:hint="default" w:eastAsia="宋体"/>
                <w:color w:val="auto"/>
                <w:lang w:val="en-US" w:eastAsia="zh-CN"/>
              </w:rPr>
            </w:pPr>
            <w:r>
              <w:rPr>
                <w:rFonts w:hint="eastAsia"/>
                <w:color w:val="auto"/>
                <w:lang w:val="en-US" w:eastAsia="zh-CN"/>
              </w:rPr>
              <w:t>31.6万</w:t>
            </w:r>
            <w:r>
              <w:rPr>
                <w:rFonts w:ascii="Times New Roman" w:hAnsi="Times New Roman" w:eastAsia="宋体" w:cs="Times New Roman"/>
                <w:b w:val="0"/>
                <w:bCs w:val="0"/>
                <w:color w:val="auto"/>
                <w:sz w:val="24"/>
                <w:szCs w:val="24"/>
                <w:u w:val="none"/>
              </w:rPr>
              <w:t>m</w:t>
            </w:r>
            <w:r>
              <w:rPr>
                <w:rFonts w:ascii="Times New Roman" w:hAnsi="Times New Roman" w:eastAsia="宋体" w:cs="Times New Roman"/>
                <w:b w:val="0"/>
                <w:bCs w:val="0"/>
                <w:color w:val="auto"/>
                <w:sz w:val="24"/>
                <w:szCs w:val="24"/>
                <w:u w:val="none"/>
                <w:vertAlign w:val="superscript"/>
              </w:rPr>
              <w:t>2</w:t>
            </w:r>
            <w:r>
              <w:rPr>
                <w:rFonts w:ascii="Times New Roman" w:hAnsi="Times New Roman" w:eastAsia="宋体" w:cs="Times New Roman"/>
                <w:b w:val="0"/>
                <w:bCs w:val="0"/>
                <w:color w:val="auto"/>
                <w:sz w:val="24"/>
                <w:szCs w:val="24"/>
                <w:u w:val="none"/>
              </w:rPr>
              <w:t>/a</w:t>
            </w:r>
          </w:p>
        </w:tc>
        <w:tc>
          <w:tcPr>
            <w:tcW w:w="897" w:type="pct"/>
            <w:tcBorders>
              <w:right w:val="single" w:color="auto" w:sz="4" w:space="0"/>
            </w:tcBorders>
            <w:vAlign w:val="center"/>
          </w:tcPr>
          <w:p w14:paraId="46162DF9">
            <w:pPr>
              <w:pStyle w:val="53"/>
              <w:ind w:firstLine="0" w:firstLineChars="0"/>
              <w:rPr>
                <w:rFonts w:hint="eastAsia"/>
                <w:color w:val="auto"/>
                <w:lang w:eastAsia="zh-CN"/>
              </w:rPr>
            </w:pPr>
            <w:r>
              <w:rPr>
                <w:rFonts w:hint="eastAsia" w:ascii="Times New Roman" w:hAnsi="Times New Roman" w:eastAsia="宋体" w:cs="Times New Roman"/>
                <w:color w:val="auto"/>
                <w:lang w:val="en-US" w:eastAsia="zh-CN"/>
              </w:rPr>
              <w:t>58</w:t>
            </w:r>
            <w:r>
              <w:rPr>
                <w:rFonts w:ascii="Times New Roman" w:hAnsi="Times New Roman" w:eastAsia="宋体" w:cs="Times New Roman"/>
                <w:color w:val="auto"/>
              </w:rPr>
              <w:t>0吨</w:t>
            </w:r>
            <w:r>
              <w:rPr>
                <w:rFonts w:ascii="Times New Roman" w:hAnsi="Times New Roman" w:eastAsia="宋体" w:cs="Times New Roman"/>
                <w:b w:val="0"/>
                <w:bCs w:val="0"/>
                <w:color w:val="auto"/>
                <w:u w:val="none"/>
              </w:rPr>
              <w:t>/年</w:t>
            </w:r>
          </w:p>
        </w:tc>
        <w:tc>
          <w:tcPr>
            <w:tcW w:w="902" w:type="pct"/>
            <w:tcBorders>
              <w:right w:val="single" w:color="auto" w:sz="4" w:space="0"/>
            </w:tcBorders>
            <w:vAlign w:val="center"/>
          </w:tcPr>
          <w:p w14:paraId="31CD3474">
            <w:pPr>
              <w:pStyle w:val="69"/>
              <w:rPr>
                <w:rFonts w:hint="eastAsia"/>
                <w:color w:val="auto"/>
                <w:lang w:eastAsia="zh-CN"/>
              </w:rPr>
            </w:pPr>
            <w:r>
              <w:rPr>
                <w:rFonts w:hint="eastAsia"/>
                <w:color w:val="auto"/>
                <w:lang w:val="en-US" w:eastAsia="zh-CN"/>
              </w:rPr>
              <w:t>22.9万</w:t>
            </w:r>
            <w:r>
              <w:rPr>
                <w:rFonts w:ascii="Times New Roman" w:hAnsi="Times New Roman" w:eastAsia="宋体" w:cs="Times New Roman"/>
                <w:b w:val="0"/>
                <w:bCs w:val="0"/>
                <w:color w:val="auto"/>
                <w:sz w:val="24"/>
                <w:szCs w:val="24"/>
                <w:u w:val="none"/>
              </w:rPr>
              <w:t>m</w:t>
            </w:r>
            <w:r>
              <w:rPr>
                <w:rFonts w:ascii="Times New Roman" w:hAnsi="Times New Roman" w:eastAsia="宋体" w:cs="Times New Roman"/>
                <w:b w:val="0"/>
                <w:bCs w:val="0"/>
                <w:color w:val="auto"/>
                <w:sz w:val="24"/>
                <w:szCs w:val="24"/>
                <w:u w:val="none"/>
                <w:vertAlign w:val="superscript"/>
              </w:rPr>
              <w:t>2</w:t>
            </w:r>
            <w:r>
              <w:rPr>
                <w:rFonts w:ascii="Times New Roman" w:hAnsi="Times New Roman" w:eastAsia="宋体" w:cs="Times New Roman"/>
                <w:b w:val="0"/>
                <w:bCs w:val="0"/>
                <w:color w:val="auto"/>
                <w:sz w:val="24"/>
                <w:szCs w:val="24"/>
                <w:u w:val="none"/>
              </w:rPr>
              <w:t>/a</w:t>
            </w:r>
          </w:p>
        </w:tc>
        <w:tc>
          <w:tcPr>
            <w:tcW w:w="444" w:type="pct"/>
            <w:vMerge w:val="continue"/>
            <w:tcBorders>
              <w:right w:val="single" w:color="auto" w:sz="4" w:space="0"/>
            </w:tcBorders>
            <w:vAlign w:val="center"/>
          </w:tcPr>
          <w:p w14:paraId="61B2A65E">
            <w:pPr>
              <w:pStyle w:val="69"/>
              <w:rPr>
                <w:color w:val="auto"/>
              </w:rPr>
            </w:pPr>
          </w:p>
        </w:tc>
      </w:tr>
      <w:bookmarkEnd w:id="5"/>
      <w:tr w14:paraId="621AA44D">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59" w:type="pct"/>
            <w:gridSpan w:val="2"/>
            <w:vAlign w:val="center"/>
          </w:tcPr>
          <w:p w14:paraId="4196648F">
            <w:pPr>
              <w:pStyle w:val="53"/>
              <w:ind w:firstLine="0" w:firstLineChars="0"/>
              <w:rPr>
                <w:color w:val="auto"/>
              </w:rPr>
            </w:pPr>
            <w:r>
              <w:rPr>
                <w:rFonts w:ascii="Times New Roman" w:hAnsi="Times New Roman" w:eastAsia="宋体" w:cs="Times New Roman"/>
                <w:color w:val="auto"/>
              </w:rPr>
              <w:t>钢壳</w:t>
            </w:r>
          </w:p>
        </w:tc>
        <w:tc>
          <w:tcPr>
            <w:tcW w:w="897" w:type="pct"/>
            <w:tcBorders>
              <w:right w:val="single" w:color="auto" w:sz="4" w:space="0"/>
            </w:tcBorders>
            <w:vAlign w:val="center"/>
          </w:tcPr>
          <w:p w14:paraId="703CA6BE">
            <w:pPr>
              <w:pStyle w:val="53"/>
              <w:ind w:firstLine="0" w:firstLineChars="0"/>
              <w:rPr>
                <w:color w:val="auto"/>
              </w:rPr>
            </w:pPr>
            <w:r>
              <w:rPr>
                <w:rFonts w:ascii="Times New Roman" w:hAnsi="Times New Roman" w:eastAsia="宋体" w:cs="Times New Roman"/>
                <w:color w:val="auto"/>
              </w:rPr>
              <w:t>5亿只/年</w:t>
            </w:r>
          </w:p>
        </w:tc>
        <w:tc>
          <w:tcPr>
            <w:tcW w:w="899" w:type="pct"/>
            <w:tcBorders>
              <w:right w:val="single" w:color="auto" w:sz="4" w:space="0"/>
            </w:tcBorders>
            <w:vAlign w:val="center"/>
          </w:tcPr>
          <w:p w14:paraId="61D5CCB2">
            <w:pPr>
              <w:pStyle w:val="69"/>
              <w:rPr>
                <w:color w:val="auto"/>
              </w:rPr>
            </w:pPr>
            <w:r>
              <w:rPr>
                <w:rFonts w:hint="eastAsia"/>
                <w:color w:val="auto"/>
                <w:lang w:val="en-US" w:eastAsia="zh-CN"/>
              </w:rPr>
              <w:t>415万</w:t>
            </w:r>
            <w:r>
              <w:rPr>
                <w:rFonts w:ascii="Times New Roman" w:hAnsi="Times New Roman" w:eastAsia="宋体" w:cs="Times New Roman"/>
                <w:b w:val="0"/>
                <w:bCs w:val="0"/>
                <w:color w:val="auto"/>
                <w:sz w:val="24"/>
                <w:szCs w:val="24"/>
                <w:u w:val="none"/>
              </w:rPr>
              <w:t>m</w:t>
            </w:r>
            <w:r>
              <w:rPr>
                <w:rFonts w:ascii="Times New Roman" w:hAnsi="Times New Roman" w:eastAsia="宋体" w:cs="Times New Roman"/>
                <w:b w:val="0"/>
                <w:bCs w:val="0"/>
                <w:color w:val="auto"/>
                <w:sz w:val="24"/>
                <w:szCs w:val="24"/>
                <w:u w:val="none"/>
                <w:vertAlign w:val="superscript"/>
              </w:rPr>
              <w:t>2</w:t>
            </w:r>
            <w:r>
              <w:rPr>
                <w:rFonts w:ascii="Times New Roman" w:hAnsi="Times New Roman" w:eastAsia="宋体" w:cs="Times New Roman"/>
                <w:b w:val="0"/>
                <w:bCs w:val="0"/>
                <w:color w:val="auto"/>
                <w:sz w:val="24"/>
                <w:szCs w:val="24"/>
                <w:u w:val="none"/>
              </w:rPr>
              <w:t>/a</w:t>
            </w:r>
          </w:p>
        </w:tc>
        <w:tc>
          <w:tcPr>
            <w:tcW w:w="897" w:type="pct"/>
            <w:tcBorders>
              <w:right w:val="single" w:color="auto" w:sz="4" w:space="0"/>
            </w:tcBorders>
            <w:vAlign w:val="center"/>
          </w:tcPr>
          <w:p w14:paraId="6A3D3E11">
            <w:pPr>
              <w:pStyle w:val="69"/>
              <w:rPr>
                <w:color w:val="auto"/>
                <w:lang w:eastAsia="zh-CN"/>
              </w:rPr>
            </w:pPr>
            <w:r>
              <w:rPr>
                <w:rFonts w:hint="eastAsia"/>
                <w:color w:val="auto"/>
                <w:lang w:eastAsia="zh-CN"/>
              </w:rPr>
              <w:t>/</w:t>
            </w:r>
          </w:p>
        </w:tc>
        <w:tc>
          <w:tcPr>
            <w:tcW w:w="902" w:type="pct"/>
            <w:tcBorders>
              <w:right w:val="single" w:color="auto" w:sz="4" w:space="0"/>
            </w:tcBorders>
            <w:vAlign w:val="center"/>
          </w:tcPr>
          <w:p w14:paraId="5CB54CF7">
            <w:pPr>
              <w:pStyle w:val="69"/>
              <w:rPr>
                <w:color w:val="auto"/>
                <w:lang w:eastAsia="zh-CN"/>
              </w:rPr>
            </w:pPr>
            <w:r>
              <w:rPr>
                <w:rFonts w:hint="eastAsia"/>
                <w:color w:val="auto"/>
                <w:lang w:eastAsia="zh-CN"/>
              </w:rPr>
              <w:t>/</w:t>
            </w:r>
          </w:p>
        </w:tc>
        <w:tc>
          <w:tcPr>
            <w:tcW w:w="444" w:type="pct"/>
            <w:vMerge w:val="continue"/>
            <w:tcBorders>
              <w:right w:val="single" w:color="auto" w:sz="4" w:space="0"/>
            </w:tcBorders>
            <w:vAlign w:val="center"/>
          </w:tcPr>
          <w:p w14:paraId="12AFF0D8">
            <w:pPr>
              <w:pStyle w:val="69"/>
              <w:rPr>
                <w:color w:val="auto"/>
              </w:rPr>
            </w:pPr>
          </w:p>
        </w:tc>
      </w:tr>
      <w:tr w14:paraId="3D9F682F">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59" w:type="pct"/>
            <w:gridSpan w:val="2"/>
            <w:vAlign w:val="center"/>
          </w:tcPr>
          <w:p w14:paraId="20904E8A">
            <w:pPr>
              <w:pStyle w:val="69"/>
              <w:rPr>
                <w:color w:val="auto"/>
              </w:rPr>
            </w:pPr>
            <w:r>
              <w:rPr>
                <w:rFonts w:hint="eastAsia"/>
                <w:color w:val="auto"/>
              </w:rPr>
              <w:t>合计</w:t>
            </w:r>
          </w:p>
        </w:tc>
        <w:tc>
          <w:tcPr>
            <w:tcW w:w="897" w:type="pct"/>
            <w:tcBorders>
              <w:right w:val="single" w:color="auto" w:sz="4" w:space="0"/>
            </w:tcBorders>
            <w:vAlign w:val="center"/>
          </w:tcPr>
          <w:p w14:paraId="5B21B4FC">
            <w:pPr>
              <w:pStyle w:val="69"/>
              <w:rPr>
                <w:color w:val="auto"/>
              </w:rPr>
            </w:pPr>
            <w:r>
              <w:rPr>
                <w:rFonts w:hint="eastAsia"/>
                <w:color w:val="auto"/>
              </w:rPr>
              <w:t>/</w:t>
            </w:r>
          </w:p>
        </w:tc>
        <w:tc>
          <w:tcPr>
            <w:tcW w:w="899" w:type="pct"/>
            <w:tcBorders>
              <w:right w:val="single" w:color="auto" w:sz="4" w:space="0"/>
            </w:tcBorders>
            <w:vAlign w:val="center"/>
          </w:tcPr>
          <w:p w14:paraId="372911DF">
            <w:pPr>
              <w:pStyle w:val="69"/>
              <w:rPr>
                <w:rFonts w:hint="default" w:eastAsia="宋体"/>
                <w:color w:val="auto"/>
                <w:lang w:val="en-US" w:eastAsia="zh-CN"/>
              </w:rPr>
            </w:pPr>
            <w:r>
              <w:rPr>
                <w:rFonts w:hint="eastAsia"/>
                <w:color w:val="auto"/>
                <w:lang w:val="en-US" w:eastAsia="zh-CN"/>
              </w:rPr>
              <w:t>545.1万</w:t>
            </w:r>
            <w:r>
              <w:rPr>
                <w:rFonts w:ascii="Times New Roman" w:hAnsi="Times New Roman" w:eastAsia="宋体" w:cs="Times New Roman"/>
                <w:b w:val="0"/>
                <w:bCs w:val="0"/>
                <w:color w:val="auto"/>
                <w:sz w:val="24"/>
                <w:szCs w:val="24"/>
                <w:u w:val="none"/>
              </w:rPr>
              <w:t>m</w:t>
            </w:r>
            <w:r>
              <w:rPr>
                <w:rFonts w:ascii="Times New Roman" w:hAnsi="Times New Roman" w:eastAsia="宋体" w:cs="Times New Roman"/>
                <w:b w:val="0"/>
                <w:bCs w:val="0"/>
                <w:color w:val="auto"/>
                <w:sz w:val="24"/>
                <w:szCs w:val="24"/>
                <w:u w:val="none"/>
                <w:vertAlign w:val="superscript"/>
              </w:rPr>
              <w:t>2</w:t>
            </w:r>
            <w:r>
              <w:rPr>
                <w:rFonts w:ascii="Times New Roman" w:hAnsi="Times New Roman" w:eastAsia="宋体" w:cs="Times New Roman"/>
                <w:b w:val="0"/>
                <w:bCs w:val="0"/>
                <w:color w:val="auto"/>
                <w:sz w:val="24"/>
                <w:szCs w:val="24"/>
                <w:u w:val="none"/>
              </w:rPr>
              <w:t>/a</w:t>
            </w:r>
          </w:p>
        </w:tc>
        <w:tc>
          <w:tcPr>
            <w:tcW w:w="897" w:type="pct"/>
            <w:tcBorders>
              <w:right w:val="single" w:color="auto" w:sz="4" w:space="0"/>
            </w:tcBorders>
            <w:vAlign w:val="center"/>
          </w:tcPr>
          <w:p w14:paraId="7C58A9F6">
            <w:pPr>
              <w:pStyle w:val="69"/>
              <w:rPr>
                <w:color w:val="auto"/>
                <w:lang w:eastAsia="zh-CN"/>
              </w:rPr>
            </w:pPr>
            <w:r>
              <w:rPr>
                <w:rFonts w:hint="eastAsia"/>
                <w:color w:val="auto"/>
                <w:lang w:eastAsia="zh-CN"/>
              </w:rPr>
              <w:t>/</w:t>
            </w:r>
          </w:p>
        </w:tc>
        <w:tc>
          <w:tcPr>
            <w:tcW w:w="902" w:type="pct"/>
            <w:tcBorders>
              <w:right w:val="single" w:color="auto" w:sz="4" w:space="0"/>
            </w:tcBorders>
            <w:vAlign w:val="center"/>
          </w:tcPr>
          <w:p w14:paraId="2EC4276B">
            <w:pPr>
              <w:pStyle w:val="69"/>
              <w:rPr>
                <w:rFonts w:hint="default"/>
                <w:color w:val="auto"/>
                <w:lang w:val="en-US" w:eastAsia="zh-CN"/>
              </w:rPr>
            </w:pPr>
            <w:r>
              <w:rPr>
                <w:rFonts w:hint="eastAsia"/>
                <w:color w:val="auto"/>
                <w:lang w:val="en-US" w:eastAsia="zh-CN"/>
              </w:rPr>
              <w:t>50.3万</w:t>
            </w:r>
            <w:r>
              <w:rPr>
                <w:rFonts w:ascii="Times New Roman" w:hAnsi="Times New Roman" w:eastAsia="宋体" w:cs="Times New Roman"/>
                <w:b w:val="0"/>
                <w:bCs w:val="0"/>
                <w:color w:val="auto"/>
                <w:sz w:val="24"/>
                <w:szCs w:val="24"/>
                <w:u w:val="none"/>
              </w:rPr>
              <w:t>m</w:t>
            </w:r>
            <w:r>
              <w:rPr>
                <w:rFonts w:ascii="Times New Roman" w:hAnsi="Times New Roman" w:eastAsia="宋体" w:cs="Times New Roman"/>
                <w:b w:val="0"/>
                <w:bCs w:val="0"/>
                <w:color w:val="auto"/>
                <w:sz w:val="24"/>
                <w:szCs w:val="24"/>
                <w:u w:val="none"/>
                <w:vertAlign w:val="superscript"/>
              </w:rPr>
              <w:t>2</w:t>
            </w:r>
            <w:r>
              <w:rPr>
                <w:rFonts w:ascii="Times New Roman" w:hAnsi="Times New Roman" w:eastAsia="宋体" w:cs="Times New Roman"/>
                <w:b w:val="0"/>
                <w:bCs w:val="0"/>
                <w:color w:val="auto"/>
                <w:sz w:val="24"/>
                <w:szCs w:val="24"/>
                <w:u w:val="none"/>
              </w:rPr>
              <w:t>/a</w:t>
            </w:r>
          </w:p>
        </w:tc>
        <w:tc>
          <w:tcPr>
            <w:tcW w:w="444" w:type="pct"/>
            <w:vMerge w:val="continue"/>
            <w:tcBorders>
              <w:right w:val="single" w:color="auto" w:sz="4" w:space="0"/>
            </w:tcBorders>
            <w:vAlign w:val="center"/>
          </w:tcPr>
          <w:p w14:paraId="77C21F63">
            <w:pPr>
              <w:pStyle w:val="69"/>
              <w:rPr>
                <w:color w:val="auto"/>
              </w:rPr>
            </w:pPr>
          </w:p>
        </w:tc>
      </w:tr>
      <w:bookmarkEnd w:id="6"/>
    </w:tbl>
    <w:p w14:paraId="256482C9">
      <w:pPr>
        <w:rPr>
          <w:rFonts w:hint="eastAsia" w:cs="Times New Roman"/>
          <w:sz w:val="24"/>
          <w:szCs w:val="24"/>
          <w:lang w:val="en-US" w:eastAsia="zh-CN"/>
        </w:rPr>
      </w:pPr>
      <w:bookmarkStart w:id="7" w:name="_Toc172712287"/>
      <w:r>
        <w:rPr>
          <w:rFonts w:ascii="Times New Roman" w:hAnsi="Times New Roman" w:eastAsia="宋体" w:cs="Times New Roman"/>
          <w:sz w:val="24"/>
          <w:szCs w:val="24"/>
        </w:rPr>
        <w:t>本项目</w:t>
      </w:r>
      <w:r>
        <w:rPr>
          <w:rFonts w:hint="eastAsia" w:ascii="Times New Roman" w:hAnsi="Times New Roman" w:eastAsia="宋体" w:cs="Times New Roman"/>
          <w:sz w:val="24"/>
          <w:szCs w:val="24"/>
          <w:lang w:val="en-US" w:eastAsia="zh-CN"/>
        </w:rPr>
        <w:t>分期建设</w:t>
      </w:r>
      <w:r>
        <w:rPr>
          <w:rFonts w:hint="eastAsia" w:cs="Times New Roman"/>
          <w:sz w:val="24"/>
          <w:szCs w:val="24"/>
          <w:lang w:val="en-US" w:eastAsia="zh-CN"/>
        </w:rPr>
        <w:t>，产品种类无变动，产能分期建设。</w:t>
      </w:r>
    </w:p>
    <w:p w14:paraId="0386CD90">
      <w:pPr>
        <w:jc w:val="both"/>
        <w:rPr>
          <w:rFonts w:hint="eastAsia" w:ascii="Times New Roman" w:hAnsi="Times New Roman" w:eastAsia="宋体" w:cs="Times New Roman"/>
          <w:b w:val="0"/>
          <w:bCs w:val="0"/>
          <w:color w:val="000000" w:themeColor="text1"/>
          <w:sz w:val="24"/>
          <w:szCs w:val="24"/>
          <w:u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4"/>
          <w:szCs w:val="24"/>
          <w:u w:val="none"/>
          <w:lang w:val="en-US" w:eastAsia="zh-CN"/>
          <w14:textFill>
            <w14:solidFill>
              <w14:schemeClr w14:val="tx1"/>
            </w14:solidFill>
          </w14:textFill>
        </w:rPr>
        <w:t>根据本项目环评批复可知，汽车配件产能2万吨，电镀总面积</w:t>
      </w:r>
      <w:r>
        <w:rPr>
          <w:rFonts w:hint="eastAsia" w:ascii="Times New Roman" w:hAnsi="Times New Roman" w:eastAsia="宋体" w:cs="Times New Roman"/>
          <w:b w:val="0"/>
          <w:bCs w:val="0"/>
          <w:color w:val="000000" w:themeColor="text1"/>
          <w:sz w:val="24"/>
          <w:szCs w:val="24"/>
          <w:u w:val="none"/>
          <w14:textFill>
            <w14:solidFill>
              <w14:schemeClr w14:val="tx1"/>
            </w14:solidFill>
          </w14:textFill>
        </w:rPr>
        <w:t>68.5</w:t>
      </w:r>
      <w:r>
        <w:rPr>
          <w:rFonts w:ascii="Times New Roman" w:hAnsi="Times New Roman" w:eastAsia="宋体" w:cs="Times New Roman"/>
          <w:b w:val="0"/>
          <w:bCs w:val="0"/>
          <w:color w:val="000000" w:themeColor="text1"/>
          <w:sz w:val="24"/>
          <w:szCs w:val="24"/>
          <w:u w:val="none"/>
          <w14:textFill>
            <w14:solidFill>
              <w14:schemeClr w14:val="tx1"/>
            </w14:solidFill>
          </w14:textFill>
        </w:rPr>
        <w:t>万m</w:t>
      </w:r>
      <w:r>
        <w:rPr>
          <w:rFonts w:ascii="Times New Roman" w:hAnsi="Times New Roman" w:eastAsia="宋体" w:cs="Times New Roman"/>
          <w:b w:val="0"/>
          <w:bCs w:val="0"/>
          <w:color w:val="000000" w:themeColor="text1"/>
          <w:sz w:val="24"/>
          <w:szCs w:val="24"/>
          <w:u w:val="none"/>
          <w:vertAlign w:val="superscript"/>
          <w14:textFill>
            <w14:solidFill>
              <w14:schemeClr w14:val="tx1"/>
            </w14:solidFill>
          </w14:textFill>
        </w:rPr>
        <w:t>2</w:t>
      </w:r>
      <w:r>
        <w:rPr>
          <w:rFonts w:ascii="Times New Roman" w:hAnsi="Times New Roman" w:eastAsia="宋体" w:cs="Times New Roman"/>
          <w:b w:val="0"/>
          <w:bCs w:val="0"/>
          <w:color w:val="000000" w:themeColor="text1"/>
          <w:sz w:val="24"/>
          <w:szCs w:val="24"/>
          <w:u w:val="none"/>
          <w14:textFill>
            <w14:solidFill>
              <w14:schemeClr w14:val="tx1"/>
            </w14:solidFill>
          </w14:textFill>
        </w:rPr>
        <w:t>/a</w:t>
      </w:r>
      <w:r>
        <w:rPr>
          <w:rFonts w:hint="eastAsia" w:ascii="Times New Roman" w:hAnsi="Times New Roman" w:eastAsia="宋体" w:cs="Times New Roman"/>
          <w:b w:val="0"/>
          <w:bCs w:val="0"/>
          <w:color w:val="000000" w:themeColor="text1"/>
          <w:sz w:val="24"/>
          <w:szCs w:val="24"/>
          <w:u w:val="none"/>
          <w:lang w:eastAsia="zh-CN"/>
          <w14:textFill>
            <w14:solidFill>
              <w14:schemeClr w14:val="tx1"/>
            </w14:solidFill>
          </w14:textFill>
        </w:rPr>
        <w:t>，</w:t>
      </w:r>
      <w:r>
        <w:rPr>
          <w:rFonts w:hint="eastAsia" w:ascii="Times New Roman" w:hAnsi="Times New Roman" w:eastAsia="宋体" w:cs="Times New Roman"/>
          <w:b w:val="0"/>
          <w:bCs w:val="0"/>
          <w:color w:val="000000" w:themeColor="text1"/>
          <w:sz w:val="24"/>
          <w:szCs w:val="24"/>
          <w:u w:val="none"/>
          <w:lang w:val="en-US" w:eastAsia="zh-CN"/>
          <w14:textFill>
            <w14:solidFill>
              <w14:schemeClr w14:val="tx1"/>
            </w14:solidFill>
          </w14:textFill>
        </w:rPr>
        <w:t>总电镀槽容积89.6m</w:t>
      </w:r>
      <w:r>
        <w:rPr>
          <w:rFonts w:hint="eastAsia" w:ascii="Times New Roman" w:hAnsi="Times New Roman" w:eastAsia="宋体" w:cs="Times New Roman"/>
          <w:b w:val="0"/>
          <w:bCs w:val="0"/>
          <w:color w:val="000000" w:themeColor="text1"/>
          <w:sz w:val="24"/>
          <w:szCs w:val="24"/>
          <w:u w:val="none"/>
          <w:vertAlign w:val="superscript"/>
          <w:lang w:val="en-US" w:eastAsia="zh-CN"/>
          <w14:textFill>
            <w14:solidFill>
              <w14:schemeClr w14:val="tx1"/>
            </w14:solidFill>
          </w14:textFill>
        </w:rPr>
        <w:t>3</w:t>
      </w:r>
      <w:r>
        <w:rPr>
          <w:rFonts w:hint="eastAsia" w:ascii="Times New Roman" w:hAnsi="Times New Roman" w:eastAsia="宋体" w:cs="Times New Roman"/>
          <w:b w:val="0"/>
          <w:bCs w:val="0"/>
          <w:color w:val="000000" w:themeColor="text1"/>
          <w:sz w:val="24"/>
          <w:szCs w:val="24"/>
          <w:u w:val="none"/>
          <w:lang w:val="en-US" w:eastAsia="zh-CN"/>
          <w14:textFill>
            <w14:solidFill>
              <w14:schemeClr w14:val="tx1"/>
            </w14:solidFill>
          </w14:textFill>
        </w:rPr>
        <w:t>，</w:t>
      </w:r>
      <w:r>
        <w:rPr>
          <w:rFonts w:hint="eastAsia" w:ascii="Times New Roman" w:hAnsi="Times New Roman" w:eastAsia="宋体" w:cs="Times New Roman"/>
          <w:b w:val="0"/>
          <w:bCs w:val="0"/>
          <w:color w:val="000000" w:themeColor="text1"/>
          <w:sz w:val="24"/>
          <w:szCs w:val="24"/>
          <w:u w:val="none"/>
          <w14:textFill>
            <w14:solidFill>
              <w14:schemeClr w14:val="tx1"/>
            </w14:solidFill>
          </w14:textFill>
        </w:rPr>
        <w:t>镀槽有效容积</w:t>
      </w:r>
      <w:r>
        <w:rPr>
          <w:rFonts w:hint="eastAsia" w:ascii="Times New Roman" w:hAnsi="Times New Roman" w:eastAsia="宋体" w:cs="Times New Roman"/>
          <w:b w:val="0"/>
          <w:bCs w:val="0"/>
          <w:color w:val="000000" w:themeColor="text1"/>
          <w:sz w:val="24"/>
          <w:szCs w:val="24"/>
          <w:u w:val="none"/>
          <w:lang w:val="en-US" w:eastAsia="zh-CN"/>
          <w14:textFill>
            <w14:solidFill>
              <w14:schemeClr w14:val="tx1"/>
            </w14:solidFill>
          </w14:textFill>
        </w:rPr>
        <w:t>71.68m</w:t>
      </w:r>
      <w:r>
        <w:rPr>
          <w:rFonts w:hint="eastAsia" w:ascii="Times New Roman" w:hAnsi="Times New Roman" w:eastAsia="宋体" w:cs="Times New Roman"/>
          <w:b w:val="0"/>
          <w:bCs w:val="0"/>
          <w:color w:val="000000" w:themeColor="text1"/>
          <w:sz w:val="24"/>
          <w:szCs w:val="24"/>
          <w:u w:val="none"/>
          <w:vertAlign w:val="superscript"/>
          <w:lang w:val="en-US" w:eastAsia="zh-CN"/>
          <w14:textFill>
            <w14:solidFill>
              <w14:schemeClr w14:val="tx1"/>
            </w14:solidFill>
          </w14:textFill>
        </w:rPr>
        <w:t>3</w:t>
      </w:r>
      <w:r>
        <w:rPr>
          <w:rFonts w:hint="eastAsia" w:ascii="Times New Roman" w:hAnsi="Times New Roman" w:eastAsia="宋体" w:cs="Times New Roman"/>
          <w:b w:val="0"/>
          <w:bCs w:val="0"/>
          <w:color w:val="000000" w:themeColor="text1"/>
          <w:sz w:val="24"/>
          <w:szCs w:val="24"/>
          <w:u w:val="none"/>
          <w:lang w:val="en-US" w:eastAsia="zh-CN"/>
          <w14:textFill>
            <w14:solidFill>
              <w14:schemeClr w14:val="tx1"/>
            </w14:solidFill>
          </w14:textFill>
        </w:rPr>
        <w:t>（</w:t>
      </w:r>
      <w:r>
        <w:rPr>
          <w:rFonts w:hint="eastAsia" w:ascii="Times New Roman" w:hAnsi="Times New Roman" w:eastAsia="宋体" w:cs="Times New Roman"/>
          <w:b w:val="0"/>
          <w:bCs w:val="0"/>
          <w:color w:val="000000" w:themeColor="text1"/>
          <w:sz w:val="24"/>
          <w:szCs w:val="24"/>
          <w:u w:val="none"/>
          <w14:textFill>
            <w14:solidFill>
              <w14:schemeClr w14:val="tx1"/>
            </w14:solidFill>
          </w14:textFill>
        </w:rPr>
        <w:t>按槽体尺寸的</w:t>
      </w:r>
      <w:r>
        <w:rPr>
          <w:rFonts w:ascii="Times New Roman" w:hAnsi="Times New Roman" w:eastAsia="宋体" w:cs="Times New Roman"/>
          <w:b w:val="0"/>
          <w:bCs w:val="0"/>
          <w:color w:val="000000" w:themeColor="text1"/>
          <w:sz w:val="24"/>
          <w:szCs w:val="24"/>
          <w:u w:val="none"/>
          <w14:textFill>
            <w14:solidFill>
              <w14:schemeClr w14:val="tx1"/>
            </w14:solidFill>
          </w14:textFill>
        </w:rPr>
        <w:t>80%</w:t>
      </w:r>
      <w:r>
        <w:rPr>
          <w:rFonts w:hint="eastAsia" w:ascii="Times New Roman" w:hAnsi="Times New Roman" w:eastAsia="宋体" w:cs="Times New Roman"/>
          <w:b w:val="0"/>
          <w:bCs w:val="0"/>
          <w:color w:val="000000" w:themeColor="text1"/>
          <w:sz w:val="24"/>
          <w:szCs w:val="24"/>
          <w:u w:val="none"/>
          <w14:textFill>
            <w14:solidFill>
              <w14:schemeClr w14:val="tx1"/>
            </w14:solidFill>
          </w14:textFill>
        </w:rPr>
        <w:t>计</w:t>
      </w:r>
      <w:r>
        <w:rPr>
          <w:rFonts w:hint="eastAsia" w:ascii="Times New Roman" w:hAnsi="Times New Roman" w:eastAsia="宋体" w:cs="Times New Roman"/>
          <w:b w:val="0"/>
          <w:bCs w:val="0"/>
          <w:color w:val="000000" w:themeColor="text1"/>
          <w:sz w:val="24"/>
          <w:szCs w:val="24"/>
          <w:u w:val="none"/>
          <w:lang w:eastAsia="zh-CN"/>
          <w14:textFill>
            <w14:solidFill>
              <w14:schemeClr w14:val="tx1"/>
            </w14:solidFill>
          </w14:textFill>
        </w:rPr>
        <w:t>，</w:t>
      </w:r>
      <w:r>
        <w:rPr>
          <w:rFonts w:hint="eastAsia" w:ascii="Times New Roman" w:hAnsi="Times New Roman" w:eastAsia="宋体" w:cs="Times New Roman"/>
          <w:b w:val="0"/>
          <w:bCs w:val="0"/>
          <w:color w:val="000000" w:themeColor="text1"/>
          <w:sz w:val="24"/>
          <w:szCs w:val="24"/>
          <w:u w:val="none"/>
          <w:lang w:val="en-US" w:eastAsia="zh-CN"/>
          <w14:textFill>
            <w14:solidFill>
              <w14:schemeClr w14:val="tx1"/>
            </w14:solidFill>
          </w14:textFill>
        </w:rPr>
        <w:t>16个，单个槽体有效容积4.48m</w:t>
      </w:r>
      <w:r>
        <w:rPr>
          <w:rFonts w:hint="eastAsia" w:ascii="Times New Roman" w:hAnsi="Times New Roman" w:eastAsia="宋体" w:cs="Times New Roman"/>
          <w:b w:val="0"/>
          <w:bCs w:val="0"/>
          <w:color w:val="000000" w:themeColor="text1"/>
          <w:sz w:val="24"/>
          <w:szCs w:val="24"/>
          <w:u w:val="none"/>
          <w:vertAlign w:val="superscript"/>
          <w:lang w:val="en-US" w:eastAsia="zh-CN"/>
          <w14:textFill>
            <w14:solidFill>
              <w14:schemeClr w14:val="tx1"/>
            </w14:solidFill>
          </w14:textFill>
        </w:rPr>
        <w:t>3</w:t>
      </w:r>
      <w:r>
        <w:rPr>
          <w:rFonts w:hint="eastAsia" w:ascii="Times New Roman" w:hAnsi="Times New Roman" w:eastAsia="宋体" w:cs="Times New Roman"/>
          <w:b w:val="0"/>
          <w:bCs w:val="0"/>
          <w:color w:val="000000" w:themeColor="text1"/>
          <w:sz w:val="24"/>
          <w:szCs w:val="24"/>
          <w:u w:val="none"/>
          <w:lang w:val="en-US" w:eastAsia="zh-CN"/>
          <w14:textFill>
            <w14:solidFill>
              <w14:schemeClr w14:val="tx1"/>
            </w14:solidFill>
          </w14:textFill>
        </w:rPr>
        <w:t>），本次申报汽车配件产能8000吨，按产能折算电镀总面积27.4</w:t>
      </w:r>
      <w:r>
        <w:rPr>
          <w:rFonts w:ascii="Times New Roman" w:hAnsi="Times New Roman" w:eastAsia="宋体" w:cs="Times New Roman"/>
          <w:b w:val="0"/>
          <w:bCs w:val="0"/>
          <w:color w:val="000000" w:themeColor="text1"/>
          <w:sz w:val="24"/>
          <w:szCs w:val="24"/>
          <w:u w:val="none"/>
          <w14:textFill>
            <w14:solidFill>
              <w14:schemeClr w14:val="tx1"/>
            </w14:solidFill>
          </w14:textFill>
        </w:rPr>
        <w:t>万m</w:t>
      </w:r>
      <w:r>
        <w:rPr>
          <w:rFonts w:ascii="Times New Roman" w:hAnsi="Times New Roman" w:eastAsia="宋体" w:cs="Times New Roman"/>
          <w:b w:val="0"/>
          <w:bCs w:val="0"/>
          <w:color w:val="000000" w:themeColor="text1"/>
          <w:sz w:val="24"/>
          <w:szCs w:val="24"/>
          <w:u w:val="none"/>
          <w:vertAlign w:val="superscript"/>
          <w14:textFill>
            <w14:solidFill>
              <w14:schemeClr w14:val="tx1"/>
            </w14:solidFill>
          </w14:textFill>
        </w:rPr>
        <w:t>2</w:t>
      </w:r>
      <w:r>
        <w:rPr>
          <w:rFonts w:ascii="Times New Roman" w:hAnsi="Times New Roman" w:eastAsia="宋体" w:cs="Times New Roman"/>
          <w:b w:val="0"/>
          <w:bCs w:val="0"/>
          <w:color w:val="000000" w:themeColor="text1"/>
          <w:sz w:val="24"/>
          <w:szCs w:val="24"/>
          <w:u w:val="none"/>
          <w14:textFill>
            <w14:solidFill>
              <w14:schemeClr w14:val="tx1"/>
            </w14:solidFill>
          </w14:textFill>
        </w:rPr>
        <w:t>/a</w:t>
      </w:r>
      <w:r>
        <w:rPr>
          <w:rFonts w:hint="eastAsia" w:ascii="Times New Roman" w:hAnsi="Times New Roman" w:eastAsia="宋体" w:cs="Times New Roman"/>
          <w:b w:val="0"/>
          <w:bCs w:val="0"/>
          <w:color w:val="000000" w:themeColor="text1"/>
          <w:sz w:val="24"/>
          <w:szCs w:val="24"/>
          <w:u w:val="none"/>
          <w:lang w:eastAsia="zh-CN"/>
          <w14:textFill>
            <w14:solidFill>
              <w14:schemeClr w14:val="tx1"/>
            </w14:solidFill>
          </w14:textFill>
        </w:rPr>
        <w:t>，</w:t>
      </w:r>
      <w:r>
        <w:rPr>
          <w:rFonts w:hint="eastAsia" w:ascii="Times New Roman" w:hAnsi="Times New Roman" w:eastAsia="宋体" w:cs="Times New Roman"/>
          <w:b w:val="0"/>
          <w:bCs w:val="0"/>
          <w:color w:val="000000" w:themeColor="text1"/>
          <w:sz w:val="24"/>
          <w:szCs w:val="24"/>
          <w:u w:val="none"/>
          <w:lang w:val="en-US" w:eastAsia="zh-CN"/>
          <w14:textFill>
            <w14:solidFill>
              <w14:schemeClr w14:val="tx1"/>
            </w14:solidFill>
          </w14:textFill>
        </w:rPr>
        <w:t>折算后总电镀槽容积35.84m</w:t>
      </w:r>
      <w:r>
        <w:rPr>
          <w:rFonts w:hint="eastAsia" w:ascii="Times New Roman" w:hAnsi="Times New Roman" w:eastAsia="宋体" w:cs="Times New Roman"/>
          <w:b w:val="0"/>
          <w:bCs w:val="0"/>
          <w:color w:val="000000" w:themeColor="text1"/>
          <w:sz w:val="24"/>
          <w:szCs w:val="24"/>
          <w:u w:val="none"/>
          <w:vertAlign w:val="superscript"/>
          <w:lang w:val="en-US" w:eastAsia="zh-CN"/>
          <w14:textFill>
            <w14:solidFill>
              <w14:schemeClr w14:val="tx1"/>
            </w14:solidFill>
          </w14:textFill>
        </w:rPr>
        <w:t>3</w:t>
      </w:r>
      <w:r>
        <w:rPr>
          <w:rFonts w:hint="eastAsia" w:ascii="Times New Roman" w:hAnsi="Times New Roman" w:eastAsia="宋体" w:cs="Times New Roman"/>
          <w:b w:val="0"/>
          <w:bCs w:val="0"/>
          <w:color w:val="000000" w:themeColor="text1"/>
          <w:sz w:val="24"/>
          <w:szCs w:val="24"/>
          <w:u w:val="none"/>
          <w:lang w:val="en-US" w:eastAsia="zh-CN"/>
          <w14:textFill>
            <w14:solidFill>
              <w14:schemeClr w14:val="tx1"/>
            </w14:solidFill>
          </w14:textFill>
        </w:rPr>
        <w:t>，</w:t>
      </w:r>
      <w:r>
        <w:rPr>
          <w:rFonts w:hint="eastAsia" w:ascii="Times New Roman" w:hAnsi="Times New Roman" w:eastAsia="宋体" w:cs="Times New Roman"/>
          <w:b w:val="0"/>
          <w:bCs w:val="0"/>
          <w:color w:val="000000" w:themeColor="text1"/>
          <w:sz w:val="24"/>
          <w:szCs w:val="24"/>
          <w:u w:val="none"/>
          <w14:textFill>
            <w14:solidFill>
              <w14:schemeClr w14:val="tx1"/>
            </w14:solidFill>
          </w14:textFill>
        </w:rPr>
        <w:t>镀槽有效容积</w:t>
      </w:r>
      <w:r>
        <w:rPr>
          <w:rFonts w:hint="eastAsia" w:ascii="Times New Roman" w:hAnsi="Times New Roman" w:eastAsia="宋体" w:cs="Times New Roman"/>
          <w:b w:val="0"/>
          <w:bCs w:val="0"/>
          <w:color w:val="000000" w:themeColor="text1"/>
          <w:sz w:val="24"/>
          <w:szCs w:val="24"/>
          <w:u w:val="none"/>
          <w:lang w:val="en-US" w:eastAsia="zh-CN"/>
          <w14:textFill>
            <w14:solidFill>
              <w14:schemeClr w14:val="tx1"/>
            </w14:solidFill>
          </w14:textFill>
        </w:rPr>
        <w:t>28.672m</w:t>
      </w:r>
      <w:r>
        <w:rPr>
          <w:rFonts w:hint="eastAsia" w:ascii="Times New Roman" w:hAnsi="Times New Roman" w:eastAsia="宋体" w:cs="Times New Roman"/>
          <w:b w:val="0"/>
          <w:bCs w:val="0"/>
          <w:color w:val="000000" w:themeColor="text1"/>
          <w:sz w:val="24"/>
          <w:szCs w:val="24"/>
          <w:u w:val="none"/>
          <w:vertAlign w:val="superscript"/>
          <w:lang w:val="en-US" w:eastAsia="zh-CN"/>
          <w14:textFill>
            <w14:solidFill>
              <w14:schemeClr w14:val="tx1"/>
            </w14:solidFill>
          </w14:textFill>
        </w:rPr>
        <w:t>3</w:t>
      </w:r>
      <w:r>
        <w:rPr>
          <w:rFonts w:hint="eastAsia" w:ascii="Times New Roman" w:hAnsi="Times New Roman" w:eastAsia="宋体" w:cs="Times New Roman"/>
          <w:b w:val="0"/>
          <w:bCs w:val="0"/>
          <w:color w:val="000000" w:themeColor="text1"/>
          <w:sz w:val="24"/>
          <w:szCs w:val="24"/>
          <w:u w:val="none"/>
          <w:lang w:val="en-US" w:eastAsia="zh-CN"/>
          <w14:textFill>
            <w14:solidFill>
              <w14:schemeClr w14:val="tx1"/>
            </w14:solidFill>
          </w14:textFill>
        </w:rPr>
        <w:t>。</w:t>
      </w:r>
    </w:p>
    <w:p w14:paraId="0B8675A7">
      <w:pPr>
        <w:jc w:val="both"/>
        <w:rPr>
          <w:rFonts w:hint="default" w:cs="Times New Roman"/>
          <w:b w:val="0"/>
          <w:bCs w:val="0"/>
          <w:sz w:val="24"/>
          <w:szCs w:val="24"/>
          <w:u w:val="none"/>
          <w:lang w:val="en-US" w:eastAsia="zh-CN"/>
        </w:rPr>
        <w:sectPr>
          <w:footerReference r:id="rId15" w:type="default"/>
          <w:pgSz w:w="11906" w:h="16838"/>
          <w:pgMar w:top="1417" w:right="1417" w:bottom="1417" w:left="1417" w:header="851" w:footer="992" w:gutter="0"/>
          <w:cols w:space="425" w:num="1"/>
          <w:docGrid w:type="lines" w:linePitch="312" w:charSpace="0"/>
        </w:sectPr>
      </w:pPr>
      <w:r>
        <w:rPr>
          <w:rFonts w:hint="eastAsia" w:ascii="Times New Roman" w:hAnsi="Times New Roman" w:eastAsia="宋体" w:cs="Times New Roman"/>
          <w:b w:val="0"/>
          <w:bCs w:val="0"/>
          <w:color w:val="000000" w:themeColor="text1"/>
          <w:sz w:val="24"/>
          <w:szCs w:val="24"/>
          <w:u w:val="none"/>
          <w:lang w:val="en-US" w:eastAsia="zh-CN"/>
          <w14:textFill>
            <w14:solidFill>
              <w14:schemeClr w14:val="tx1"/>
            </w14:solidFill>
          </w14:textFill>
        </w:rPr>
        <w:t>本项目（一期）项目汽车配件挂镀锌生产线实际电镀总容积35.7m</w:t>
      </w:r>
      <w:r>
        <w:rPr>
          <w:rFonts w:hint="eastAsia" w:ascii="Times New Roman" w:hAnsi="Times New Roman" w:eastAsia="宋体" w:cs="Times New Roman"/>
          <w:b w:val="0"/>
          <w:bCs w:val="0"/>
          <w:color w:val="000000" w:themeColor="text1"/>
          <w:sz w:val="24"/>
          <w:szCs w:val="24"/>
          <w:u w:val="none"/>
          <w:vertAlign w:val="superscript"/>
          <w:lang w:val="en-US" w:eastAsia="zh-CN"/>
          <w14:textFill>
            <w14:solidFill>
              <w14:schemeClr w14:val="tx1"/>
            </w14:solidFill>
          </w14:textFill>
        </w:rPr>
        <w:t>3</w:t>
      </w:r>
      <w:r>
        <w:rPr>
          <w:rFonts w:hint="eastAsia" w:ascii="Times New Roman" w:hAnsi="Times New Roman" w:eastAsia="宋体" w:cs="Times New Roman"/>
          <w:b w:val="0"/>
          <w:bCs w:val="0"/>
          <w:color w:val="000000" w:themeColor="text1"/>
          <w:sz w:val="24"/>
          <w:szCs w:val="24"/>
          <w:u w:val="none"/>
          <w:vertAlign w:val="baseline"/>
          <w:lang w:val="en-US" w:eastAsia="zh-CN"/>
          <w14:textFill>
            <w14:solidFill>
              <w14:schemeClr w14:val="tx1"/>
            </w14:solidFill>
          </w14:textFill>
        </w:rPr>
        <w:t>（5个，</w:t>
      </w:r>
      <w:r>
        <w:rPr>
          <w:rFonts w:hint="eastAsia" w:ascii="Times New Roman" w:hAnsi="Times New Roman" w:eastAsia="宋体" w:cs="Times New Roman"/>
          <w:b w:val="0"/>
          <w:bCs w:val="0"/>
          <w:color w:val="000000" w:themeColor="text1"/>
          <w:sz w:val="24"/>
          <w:szCs w:val="24"/>
          <w:u w:val="none"/>
          <w:lang w:val="en-US" w:eastAsia="zh-CN"/>
          <w14:textFill>
            <w14:solidFill>
              <w14:schemeClr w14:val="tx1"/>
            </w14:solidFill>
          </w14:textFill>
        </w:rPr>
        <w:t>单个槽体有效容积5.712m</w:t>
      </w:r>
      <w:r>
        <w:rPr>
          <w:rFonts w:hint="eastAsia" w:ascii="Times New Roman" w:hAnsi="Times New Roman" w:eastAsia="宋体" w:cs="Times New Roman"/>
          <w:b w:val="0"/>
          <w:bCs w:val="0"/>
          <w:color w:val="000000" w:themeColor="text1"/>
          <w:sz w:val="24"/>
          <w:szCs w:val="24"/>
          <w:u w:val="none"/>
          <w:vertAlign w:val="superscript"/>
          <w:lang w:val="en-US" w:eastAsia="zh-CN"/>
          <w14:textFill>
            <w14:solidFill>
              <w14:schemeClr w14:val="tx1"/>
            </w14:solidFill>
          </w14:textFill>
        </w:rPr>
        <w:t>3</w:t>
      </w:r>
      <w:r>
        <w:rPr>
          <w:rFonts w:hint="eastAsia" w:ascii="Times New Roman" w:hAnsi="Times New Roman" w:eastAsia="宋体" w:cs="Times New Roman"/>
          <w:b w:val="0"/>
          <w:bCs w:val="0"/>
          <w:color w:val="000000" w:themeColor="text1"/>
          <w:sz w:val="24"/>
          <w:szCs w:val="24"/>
          <w:u w:val="none"/>
          <w:vertAlign w:val="baseline"/>
          <w:lang w:val="en-US" w:eastAsia="zh-CN"/>
          <w14:textFill>
            <w14:solidFill>
              <w14:schemeClr w14:val="tx1"/>
            </w14:solidFill>
          </w14:textFill>
        </w:rPr>
        <w:t>）</w:t>
      </w:r>
      <w:r>
        <w:rPr>
          <w:rFonts w:hint="eastAsia" w:ascii="Times New Roman" w:hAnsi="Times New Roman" w:eastAsia="宋体" w:cs="Times New Roman"/>
          <w:b w:val="0"/>
          <w:bCs w:val="0"/>
          <w:color w:val="000000" w:themeColor="text1"/>
          <w:sz w:val="24"/>
          <w:szCs w:val="24"/>
          <w:u w:val="none"/>
          <w:lang w:val="en-US" w:eastAsia="zh-CN"/>
          <w14:textFill>
            <w14:solidFill>
              <w14:schemeClr w14:val="tx1"/>
            </w14:solidFill>
          </w14:textFill>
        </w:rPr>
        <w:t>，</w:t>
      </w:r>
      <w:r>
        <w:rPr>
          <w:rFonts w:hint="eastAsia" w:ascii="Times New Roman" w:hAnsi="Times New Roman" w:eastAsia="宋体" w:cs="Times New Roman"/>
          <w:b w:val="0"/>
          <w:bCs w:val="0"/>
          <w:color w:val="000000" w:themeColor="text1"/>
          <w:sz w:val="24"/>
          <w:szCs w:val="24"/>
          <w:u w:val="none"/>
          <w14:textFill>
            <w14:solidFill>
              <w14:schemeClr w14:val="tx1"/>
            </w14:solidFill>
          </w14:textFill>
        </w:rPr>
        <w:t>镀槽有效容积</w:t>
      </w:r>
      <w:r>
        <w:rPr>
          <w:rFonts w:hint="eastAsia" w:ascii="Times New Roman" w:hAnsi="Times New Roman" w:eastAsia="宋体" w:cs="Times New Roman"/>
          <w:b w:val="0"/>
          <w:bCs w:val="0"/>
          <w:color w:val="000000" w:themeColor="text1"/>
          <w:sz w:val="24"/>
          <w:szCs w:val="24"/>
          <w:u w:val="none"/>
          <w:lang w:val="en-US" w:eastAsia="zh-CN"/>
          <w14:textFill>
            <w14:solidFill>
              <w14:schemeClr w14:val="tx1"/>
            </w14:solidFill>
          </w14:textFill>
        </w:rPr>
        <w:t>28.56m</w:t>
      </w:r>
      <w:r>
        <w:rPr>
          <w:rFonts w:hint="eastAsia" w:ascii="Times New Roman" w:hAnsi="Times New Roman" w:eastAsia="宋体" w:cs="Times New Roman"/>
          <w:b w:val="0"/>
          <w:bCs w:val="0"/>
          <w:color w:val="000000" w:themeColor="text1"/>
          <w:sz w:val="24"/>
          <w:szCs w:val="24"/>
          <w:u w:val="none"/>
          <w:vertAlign w:val="superscript"/>
          <w:lang w:val="en-US" w:eastAsia="zh-CN"/>
          <w14:textFill>
            <w14:solidFill>
              <w14:schemeClr w14:val="tx1"/>
            </w14:solidFill>
          </w14:textFill>
        </w:rPr>
        <w:t>3</w:t>
      </w:r>
      <w:r>
        <w:rPr>
          <w:rFonts w:hint="eastAsia" w:ascii="Times New Roman" w:hAnsi="Times New Roman" w:eastAsia="宋体" w:cs="Times New Roman"/>
          <w:b w:val="0"/>
          <w:bCs w:val="0"/>
          <w:color w:val="000000" w:themeColor="text1"/>
          <w:sz w:val="24"/>
          <w:szCs w:val="24"/>
          <w:u w:val="none"/>
          <w:lang w:val="en-US" w:eastAsia="zh-CN"/>
          <w14:textFill>
            <w14:solidFill>
              <w14:schemeClr w14:val="tx1"/>
            </w14:solidFill>
          </w14:textFill>
        </w:rPr>
        <w:t>。本项目（一期）汽车配件电镀锌生产线实际建设</w:t>
      </w:r>
      <w:r>
        <w:rPr>
          <w:rFonts w:hint="eastAsia" w:ascii="Times New Roman" w:hAnsi="Times New Roman" w:eastAsia="宋体" w:cs="Times New Roman"/>
          <w:b w:val="0"/>
          <w:bCs w:val="0"/>
          <w:color w:val="FF0000"/>
          <w:sz w:val="24"/>
          <w:szCs w:val="24"/>
          <w:u w:val="none"/>
          <w:lang w:val="en-US" w:eastAsia="zh-CN"/>
        </w:rPr>
        <w:t>电镀生产能力</w:t>
      </w:r>
      <w:r>
        <w:rPr>
          <w:rFonts w:hint="eastAsia" w:cs="Times New Roman"/>
          <w:b w:val="0"/>
          <w:bCs w:val="0"/>
          <w:color w:val="FF0000"/>
          <w:sz w:val="24"/>
          <w:szCs w:val="24"/>
          <w:u w:val="none"/>
          <w:lang w:val="en-US" w:eastAsia="zh-CN"/>
        </w:rPr>
        <w:t>为8000吨</w:t>
      </w:r>
      <w:r>
        <w:rPr>
          <w:rFonts w:hint="eastAsia" w:cs="Times New Roman"/>
          <w:b w:val="0"/>
          <w:bCs w:val="0"/>
          <w:color w:val="000000" w:themeColor="text1"/>
          <w:sz w:val="24"/>
          <w:szCs w:val="24"/>
          <w:u w:val="none"/>
          <w:lang w:val="en-US" w:eastAsia="zh-CN"/>
          <w14:textFill>
            <w14:solidFill>
              <w14:schemeClr w14:val="tx1"/>
            </w14:solidFill>
          </w14:textFill>
        </w:rPr>
        <w:t>，</w:t>
      </w:r>
      <w:r>
        <w:rPr>
          <w:rFonts w:hint="eastAsia" w:ascii="Times New Roman" w:hAnsi="Times New Roman" w:eastAsia="宋体" w:cs="Times New Roman"/>
          <w:b w:val="0"/>
          <w:bCs w:val="0"/>
          <w:color w:val="000000" w:themeColor="text1"/>
          <w:sz w:val="24"/>
          <w:szCs w:val="24"/>
          <w:u w:val="none"/>
          <w:lang w:val="en-US" w:eastAsia="zh-CN"/>
          <w14:textFill>
            <w14:solidFill>
              <w14:schemeClr w14:val="tx1"/>
            </w14:solidFill>
          </w14:textFill>
        </w:rPr>
        <w:t>与折算后的电镀生产能力基本匹配。</w:t>
      </w:r>
    </w:p>
    <w:p w14:paraId="5809A480">
      <w:pPr>
        <w:pStyle w:val="3"/>
        <w:spacing w:before="156" w:after="156"/>
        <w:ind w:firstLine="643"/>
        <w:rPr>
          <w:rFonts w:cs="Times New Roman"/>
          <w:color w:val="auto"/>
        </w:rPr>
      </w:pPr>
      <w:r>
        <w:rPr>
          <w:rFonts w:cs="Times New Roman"/>
          <w:color w:val="auto"/>
        </w:rPr>
        <w:t>3.3主要原辅材料</w:t>
      </w:r>
      <w:bookmarkEnd w:id="7"/>
    </w:p>
    <w:p w14:paraId="5C130497">
      <w:pPr>
        <w:ind w:firstLine="480"/>
        <w:rPr>
          <w:color w:val="auto"/>
        </w:rPr>
      </w:pPr>
      <w:r>
        <w:rPr>
          <w:color w:val="auto"/>
        </w:rPr>
        <w:t>本项目主要原辅材料消耗见下表。</w:t>
      </w:r>
    </w:p>
    <w:p w14:paraId="60A40911">
      <w:pPr>
        <w:pStyle w:val="55"/>
        <w:ind w:firstLine="480"/>
        <w:rPr>
          <w:rFonts w:hint="default" w:eastAsia="黑体"/>
          <w:b w:val="0"/>
          <w:bCs/>
          <w:color w:val="auto"/>
          <w:lang w:val="en-US" w:eastAsia="zh-CN"/>
        </w:rPr>
      </w:pPr>
      <w:r>
        <w:rPr>
          <w:rFonts w:eastAsia="黑体"/>
          <w:b w:val="0"/>
          <w:bCs/>
          <w:color w:val="auto"/>
          <w:lang w:val="pt-BR"/>
        </w:rPr>
        <w:t>表3-4</w:t>
      </w:r>
      <w:r>
        <w:rPr>
          <w:rFonts w:eastAsia="黑体"/>
          <w:b w:val="0"/>
          <w:bCs/>
          <w:color w:val="auto"/>
        </w:rPr>
        <w:t xml:space="preserve">                    </w:t>
      </w:r>
      <w:r>
        <w:rPr>
          <w:rFonts w:hint="eastAsia" w:eastAsia="黑体"/>
          <w:b w:val="0"/>
          <w:bCs/>
          <w:color w:val="auto"/>
          <w:lang w:val="en-US" w:eastAsia="zh-CN"/>
        </w:rPr>
        <w:t xml:space="preserve">                                         本项目</w:t>
      </w:r>
      <w:r>
        <w:rPr>
          <w:rFonts w:eastAsia="黑体"/>
          <w:b w:val="0"/>
          <w:bCs/>
          <w:color w:val="auto"/>
          <w:lang w:val="pt-BR"/>
        </w:rPr>
        <w:t>原辅材料和能源消耗一览表</w:t>
      </w:r>
      <w:r>
        <w:rPr>
          <w:rFonts w:hint="eastAsia" w:eastAsia="黑体"/>
          <w:b w:val="0"/>
          <w:bCs/>
          <w:color w:val="auto"/>
          <w:lang w:val="en-US" w:eastAsia="zh-CN"/>
        </w:rPr>
        <w:t xml:space="preserve">                                                              单位：t/a </w:t>
      </w:r>
    </w:p>
    <w:tbl>
      <w:tblPr>
        <w:tblStyle w:val="26"/>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0"/>
        <w:gridCol w:w="1238"/>
        <w:gridCol w:w="1859"/>
        <w:gridCol w:w="3323"/>
        <w:gridCol w:w="1536"/>
        <w:gridCol w:w="2284"/>
        <w:gridCol w:w="1674"/>
        <w:gridCol w:w="1139"/>
      </w:tblGrid>
      <w:tr w14:paraId="5F7DE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1485" w:type="pct"/>
            <w:gridSpan w:val="3"/>
            <w:vAlign w:val="center"/>
          </w:tcPr>
          <w:p w14:paraId="3AB6E1BA">
            <w:pPr>
              <w:widowControl/>
              <w:adjustRightInd/>
              <w:snapToGrid/>
              <w:spacing w:line="240" w:lineRule="auto"/>
              <w:ind w:firstLine="0" w:firstLineChars="0"/>
              <w:jc w:val="center"/>
              <w:textAlignment w:val="center"/>
              <w:rPr>
                <w:rFonts w:ascii="Times New Roman" w:hAnsi="Times New Roman" w:eastAsia="宋体" w:cs="Times New Roman"/>
                <w:b/>
                <w:bCs/>
                <w:color w:val="auto"/>
                <w:kern w:val="2"/>
                <w:sz w:val="21"/>
                <w:szCs w:val="21"/>
              </w:rPr>
            </w:pPr>
            <w:r>
              <w:rPr>
                <w:rFonts w:ascii="Times New Roman" w:hAnsi="Times New Roman" w:eastAsia="宋体" w:cs="Times New Roman"/>
                <w:b/>
                <w:bCs/>
                <w:color w:val="auto"/>
                <w:kern w:val="0"/>
                <w:sz w:val="21"/>
                <w:szCs w:val="21"/>
                <w:lang w:bidi="ar"/>
              </w:rPr>
              <w:t>原料名称</w:t>
            </w:r>
          </w:p>
        </w:tc>
        <w:tc>
          <w:tcPr>
            <w:tcW w:w="1173" w:type="pct"/>
            <w:vAlign w:val="center"/>
          </w:tcPr>
          <w:p w14:paraId="7C434E0E">
            <w:pPr>
              <w:widowControl/>
              <w:adjustRightInd/>
              <w:snapToGrid/>
              <w:spacing w:line="240" w:lineRule="auto"/>
              <w:ind w:firstLine="0" w:firstLineChars="0"/>
              <w:jc w:val="center"/>
              <w:textAlignment w:val="center"/>
              <w:rPr>
                <w:rFonts w:ascii="Times New Roman" w:hAnsi="Times New Roman" w:eastAsia="宋体" w:cs="Times New Roman"/>
                <w:b/>
                <w:bCs/>
                <w:color w:val="auto"/>
                <w:kern w:val="2"/>
                <w:sz w:val="21"/>
                <w:szCs w:val="21"/>
              </w:rPr>
            </w:pPr>
            <w:r>
              <w:rPr>
                <w:rFonts w:ascii="Times New Roman" w:hAnsi="Times New Roman" w:eastAsia="宋体" w:cs="Times New Roman"/>
                <w:b/>
                <w:bCs/>
                <w:color w:val="auto"/>
                <w:kern w:val="0"/>
                <w:sz w:val="21"/>
                <w:szCs w:val="21"/>
                <w:lang w:bidi="ar"/>
              </w:rPr>
              <w:t>规格</w:t>
            </w:r>
          </w:p>
        </w:tc>
        <w:tc>
          <w:tcPr>
            <w:tcW w:w="542" w:type="pct"/>
            <w:vAlign w:val="center"/>
          </w:tcPr>
          <w:p w14:paraId="3EDDE9A0">
            <w:pPr>
              <w:widowControl/>
              <w:adjustRightInd/>
              <w:snapToGrid/>
              <w:spacing w:line="240" w:lineRule="auto"/>
              <w:ind w:firstLine="0" w:firstLineChars="0"/>
              <w:jc w:val="center"/>
              <w:textAlignment w:val="center"/>
              <w:rPr>
                <w:rFonts w:ascii="Times New Roman" w:hAnsi="Times New Roman" w:eastAsia="宋体" w:cs="Times New Roman"/>
                <w:b/>
                <w:bCs/>
                <w:color w:val="auto"/>
                <w:kern w:val="2"/>
                <w:sz w:val="21"/>
                <w:szCs w:val="21"/>
              </w:rPr>
            </w:pPr>
            <w:r>
              <w:rPr>
                <w:rFonts w:ascii="Times New Roman" w:hAnsi="Times New Roman" w:eastAsia="宋体" w:cs="Times New Roman"/>
                <w:b/>
                <w:bCs/>
                <w:color w:val="auto"/>
                <w:kern w:val="0"/>
                <w:sz w:val="21"/>
                <w:szCs w:val="21"/>
                <w:lang w:bidi="ar"/>
              </w:rPr>
              <w:t>环评</w:t>
            </w:r>
            <w:r>
              <w:rPr>
                <w:rFonts w:hint="eastAsia" w:cs="Times New Roman"/>
                <w:b/>
                <w:bCs/>
                <w:color w:val="auto"/>
                <w:kern w:val="0"/>
                <w:sz w:val="21"/>
                <w:szCs w:val="21"/>
                <w:lang w:val="en-US" w:eastAsia="zh-CN" w:bidi="ar"/>
              </w:rPr>
              <w:t>设计</w:t>
            </w:r>
            <w:r>
              <w:rPr>
                <w:rFonts w:ascii="Times New Roman" w:hAnsi="Times New Roman" w:eastAsia="宋体" w:cs="Times New Roman"/>
                <w:b/>
                <w:bCs/>
                <w:color w:val="auto"/>
                <w:kern w:val="0"/>
                <w:sz w:val="21"/>
                <w:szCs w:val="21"/>
                <w:lang w:bidi="ar"/>
              </w:rPr>
              <w:t>用量</w:t>
            </w:r>
          </w:p>
        </w:tc>
        <w:tc>
          <w:tcPr>
            <w:tcW w:w="806" w:type="pct"/>
            <w:vAlign w:val="center"/>
          </w:tcPr>
          <w:p w14:paraId="2ED1BBC0">
            <w:pPr>
              <w:widowControl/>
              <w:adjustRightInd/>
              <w:snapToGrid/>
              <w:spacing w:line="240" w:lineRule="auto"/>
              <w:ind w:firstLine="0" w:firstLineChars="0"/>
              <w:jc w:val="center"/>
              <w:textAlignment w:val="center"/>
              <w:rPr>
                <w:rFonts w:ascii="Times New Roman" w:hAnsi="Times New Roman" w:eastAsia="宋体" w:cs="Times New Roman"/>
                <w:b/>
                <w:bCs/>
                <w:color w:val="auto"/>
                <w:kern w:val="2"/>
                <w:sz w:val="21"/>
                <w:szCs w:val="21"/>
              </w:rPr>
            </w:pPr>
            <w:r>
              <w:rPr>
                <w:rFonts w:ascii="Times New Roman" w:hAnsi="Times New Roman" w:eastAsia="宋体" w:cs="Times New Roman"/>
                <w:b/>
                <w:bCs/>
                <w:color w:val="auto"/>
                <w:kern w:val="0"/>
                <w:sz w:val="21"/>
                <w:szCs w:val="21"/>
                <w:lang w:bidi="ar"/>
              </w:rPr>
              <w:t>一期</w:t>
            </w:r>
            <w:r>
              <w:rPr>
                <w:rFonts w:hint="eastAsia" w:cs="Times New Roman"/>
                <w:b/>
                <w:bCs/>
                <w:color w:val="auto"/>
                <w:kern w:val="0"/>
                <w:sz w:val="21"/>
                <w:szCs w:val="21"/>
                <w:lang w:val="en-US" w:eastAsia="zh-CN" w:bidi="ar"/>
              </w:rPr>
              <w:t>调试期间消耗量</w:t>
            </w:r>
          </w:p>
        </w:tc>
        <w:tc>
          <w:tcPr>
            <w:tcW w:w="590" w:type="pct"/>
            <w:vAlign w:val="center"/>
          </w:tcPr>
          <w:p w14:paraId="286244AA">
            <w:pPr>
              <w:widowControl/>
              <w:adjustRightInd/>
              <w:snapToGrid/>
              <w:spacing w:line="240" w:lineRule="auto"/>
              <w:ind w:firstLine="0" w:firstLineChars="0"/>
              <w:jc w:val="center"/>
              <w:textAlignment w:val="center"/>
              <w:rPr>
                <w:rFonts w:ascii="Times New Roman" w:hAnsi="Times New Roman" w:eastAsia="宋体" w:cs="Times New Roman"/>
                <w:b/>
                <w:bCs/>
                <w:color w:val="auto"/>
                <w:kern w:val="2"/>
                <w:sz w:val="21"/>
                <w:szCs w:val="21"/>
              </w:rPr>
            </w:pPr>
            <w:r>
              <w:rPr>
                <w:rFonts w:hint="eastAsia" w:cs="Times New Roman"/>
                <w:b/>
                <w:bCs/>
                <w:color w:val="auto"/>
                <w:kern w:val="0"/>
                <w:sz w:val="21"/>
                <w:szCs w:val="21"/>
                <w:lang w:val="en-US" w:eastAsia="zh-CN" w:bidi="ar"/>
              </w:rPr>
              <w:t>剩余</w:t>
            </w:r>
            <w:r>
              <w:rPr>
                <w:rFonts w:ascii="Times New Roman" w:hAnsi="Times New Roman" w:eastAsia="宋体" w:cs="Times New Roman"/>
                <w:b/>
                <w:bCs/>
                <w:color w:val="auto"/>
                <w:kern w:val="0"/>
                <w:sz w:val="21"/>
                <w:szCs w:val="21"/>
                <w:lang w:bidi="ar"/>
              </w:rPr>
              <w:t>待建设</w:t>
            </w:r>
            <w:r>
              <w:rPr>
                <w:rFonts w:hint="eastAsia" w:cs="Times New Roman"/>
                <w:b/>
                <w:bCs/>
                <w:color w:val="auto"/>
                <w:kern w:val="0"/>
                <w:sz w:val="21"/>
                <w:szCs w:val="21"/>
                <w:lang w:val="en-US" w:eastAsia="zh-CN" w:bidi="ar"/>
              </w:rPr>
              <w:t>量</w:t>
            </w:r>
          </w:p>
        </w:tc>
        <w:tc>
          <w:tcPr>
            <w:tcW w:w="402" w:type="pct"/>
            <w:vAlign w:val="center"/>
          </w:tcPr>
          <w:p w14:paraId="2A33F75F">
            <w:pPr>
              <w:widowControl/>
              <w:adjustRightInd/>
              <w:snapToGrid/>
              <w:spacing w:line="240" w:lineRule="auto"/>
              <w:ind w:firstLine="0" w:firstLineChars="0"/>
              <w:jc w:val="center"/>
              <w:textAlignment w:val="center"/>
              <w:rPr>
                <w:rFonts w:hint="default" w:cs="Times New Roman"/>
                <w:b/>
                <w:bCs/>
                <w:color w:val="auto"/>
                <w:kern w:val="0"/>
                <w:sz w:val="21"/>
                <w:szCs w:val="21"/>
                <w:lang w:val="en-US" w:eastAsia="zh-CN" w:bidi="ar"/>
              </w:rPr>
            </w:pPr>
            <w:r>
              <w:rPr>
                <w:rFonts w:hint="eastAsia" w:cs="Times New Roman"/>
                <w:b/>
                <w:bCs/>
                <w:color w:val="auto"/>
                <w:kern w:val="0"/>
                <w:sz w:val="21"/>
                <w:szCs w:val="21"/>
                <w:lang w:val="en-US" w:eastAsia="zh-CN" w:bidi="ar"/>
              </w:rPr>
              <w:t>备注</w:t>
            </w:r>
          </w:p>
        </w:tc>
      </w:tr>
      <w:tr w14:paraId="46665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597" w:type="pct"/>
            <w:gridSpan w:val="7"/>
            <w:vAlign w:val="center"/>
          </w:tcPr>
          <w:p w14:paraId="7CB6EE86">
            <w:pPr>
              <w:widowControl/>
              <w:adjustRightInd/>
              <w:snapToGrid/>
              <w:spacing w:line="240" w:lineRule="auto"/>
              <w:ind w:firstLine="0" w:firstLineChars="0"/>
              <w:jc w:val="center"/>
              <w:textAlignment w:val="center"/>
              <w:rPr>
                <w:rFonts w:ascii="Times New Roman" w:hAnsi="Times New Roman" w:eastAsia="宋体" w:cs="Times New Roman"/>
                <w:b/>
                <w:bCs/>
                <w:color w:val="auto"/>
                <w:kern w:val="2"/>
                <w:sz w:val="21"/>
                <w:szCs w:val="21"/>
              </w:rPr>
            </w:pPr>
            <w:r>
              <w:rPr>
                <w:rFonts w:ascii="Times New Roman" w:hAnsi="Times New Roman" w:eastAsia="宋体" w:cs="Times New Roman"/>
                <w:b/>
                <w:bCs/>
                <w:color w:val="auto"/>
                <w:kern w:val="0"/>
                <w:sz w:val="21"/>
                <w:szCs w:val="21"/>
                <w:lang w:bidi="ar"/>
              </w:rPr>
              <w:t>五金件</w:t>
            </w:r>
          </w:p>
        </w:tc>
        <w:tc>
          <w:tcPr>
            <w:tcW w:w="402" w:type="pct"/>
            <w:vMerge w:val="restart"/>
            <w:vAlign w:val="center"/>
          </w:tcPr>
          <w:p w14:paraId="2864AB31">
            <w:pPr>
              <w:widowControl/>
              <w:adjustRightInd/>
              <w:snapToGrid/>
              <w:spacing w:line="240" w:lineRule="auto"/>
              <w:ind w:firstLine="0" w:firstLineChars="0"/>
              <w:jc w:val="center"/>
              <w:textAlignment w:val="center"/>
              <w:rPr>
                <w:rFonts w:hint="eastAsia" w:ascii="Times New Roman" w:hAnsi="Times New Roman" w:eastAsia="宋体" w:cs="Times New Roman"/>
                <w:b/>
                <w:bCs/>
                <w:color w:val="auto"/>
                <w:kern w:val="0"/>
                <w:sz w:val="21"/>
                <w:szCs w:val="21"/>
                <w:lang w:val="en-US" w:eastAsia="zh-CN" w:bidi="ar"/>
              </w:rPr>
            </w:pPr>
            <w:r>
              <w:rPr>
                <w:rFonts w:hint="eastAsia" w:cs="Times New Roman"/>
                <w:b w:val="0"/>
                <w:bCs w:val="0"/>
                <w:color w:val="auto"/>
                <w:kern w:val="0"/>
                <w:sz w:val="21"/>
                <w:szCs w:val="21"/>
                <w:lang w:val="en-US" w:eastAsia="zh-CN" w:bidi="ar"/>
              </w:rPr>
              <w:t>分期建设</w:t>
            </w:r>
          </w:p>
        </w:tc>
      </w:tr>
      <w:tr w14:paraId="76B22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 w:type="pct"/>
            <w:vMerge w:val="restart"/>
            <w:vAlign w:val="center"/>
          </w:tcPr>
          <w:p w14:paraId="39BAC3F5">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cs="Times New Roman"/>
                <w:color w:val="auto"/>
                <w:kern w:val="2"/>
                <w:sz w:val="21"/>
                <w:szCs w:val="21"/>
                <w:u w:val="none"/>
                <w:lang w:bidi="ar"/>
              </w:rPr>
              <w:t>机加工</w:t>
            </w:r>
          </w:p>
        </w:tc>
        <w:tc>
          <w:tcPr>
            <w:tcW w:w="1092" w:type="pct"/>
            <w:gridSpan w:val="2"/>
            <w:vAlign w:val="center"/>
          </w:tcPr>
          <w:p w14:paraId="1442E2C4">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cs="Times New Roman"/>
                <w:color w:val="auto"/>
                <w:kern w:val="2"/>
                <w:sz w:val="21"/>
                <w:szCs w:val="21"/>
                <w:u w:val="none"/>
                <w:lang w:bidi="ar"/>
              </w:rPr>
              <w:t>钢板</w:t>
            </w:r>
          </w:p>
        </w:tc>
        <w:tc>
          <w:tcPr>
            <w:tcW w:w="1173" w:type="pct"/>
            <w:vAlign w:val="center"/>
          </w:tcPr>
          <w:p w14:paraId="2AC0ACB2">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cs="Times New Roman"/>
                <w:color w:val="auto"/>
                <w:kern w:val="2"/>
                <w:sz w:val="21"/>
                <w:szCs w:val="21"/>
                <w:u w:val="none"/>
                <w:lang w:bidi="ar"/>
              </w:rPr>
              <w:t>厚</w:t>
            </w:r>
            <w:r>
              <w:rPr>
                <w:rFonts w:hint="default" w:eastAsia="宋体" w:cs="Times New Roman"/>
                <w:color w:val="auto"/>
                <w:kern w:val="2"/>
                <w:sz w:val="21"/>
                <w:szCs w:val="21"/>
                <w:u w:val="none"/>
                <w:lang w:bidi="ar"/>
              </w:rPr>
              <w:t>2mm</w:t>
            </w:r>
            <w:r>
              <w:rPr>
                <w:rFonts w:hint="default" w:ascii="Times New Roman" w:hAnsi="Times New Roman" w:cs="Times New Roman"/>
                <w:color w:val="auto"/>
                <w:kern w:val="2"/>
                <w:sz w:val="21"/>
                <w:szCs w:val="21"/>
                <w:u w:val="none"/>
                <w:lang w:bidi="ar"/>
              </w:rPr>
              <w:t>、</w:t>
            </w:r>
            <w:r>
              <w:rPr>
                <w:rFonts w:hint="default" w:eastAsia="宋体" w:cs="Times New Roman"/>
                <w:color w:val="auto"/>
                <w:kern w:val="2"/>
                <w:sz w:val="21"/>
                <w:szCs w:val="21"/>
                <w:u w:val="none"/>
                <w:lang w:bidi="ar"/>
              </w:rPr>
              <w:t>1mm</w:t>
            </w:r>
          </w:p>
        </w:tc>
        <w:tc>
          <w:tcPr>
            <w:tcW w:w="542" w:type="pct"/>
            <w:vAlign w:val="center"/>
          </w:tcPr>
          <w:p w14:paraId="2728367B">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10050</w:t>
            </w:r>
          </w:p>
        </w:tc>
        <w:tc>
          <w:tcPr>
            <w:tcW w:w="806" w:type="pct"/>
            <w:vAlign w:val="center"/>
          </w:tcPr>
          <w:p w14:paraId="76E6D519">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0</w:t>
            </w:r>
          </w:p>
        </w:tc>
        <w:tc>
          <w:tcPr>
            <w:tcW w:w="590" w:type="pct"/>
            <w:vAlign w:val="center"/>
          </w:tcPr>
          <w:p w14:paraId="6C999849">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10050</w:t>
            </w:r>
          </w:p>
        </w:tc>
        <w:tc>
          <w:tcPr>
            <w:tcW w:w="402" w:type="pct"/>
            <w:vMerge w:val="continue"/>
            <w:vAlign w:val="center"/>
          </w:tcPr>
          <w:p w14:paraId="6E017EB2">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p>
        </w:tc>
      </w:tr>
      <w:tr w14:paraId="2E88D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 w:type="pct"/>
            <w:vMerge w:val="continue"/>
            <w:vAlign w:val="center"/>
          </w:tcPr>
          <w:p w14:paraId="05ACE5F2">
            <w:pPr>
              <w:widowControl w:val="0"/>
              <w:adjustRightInd/>
              <w:snapToGrid/>
              <w:spacing w:line="240" w:lineRule="auto"/>
              <w:ind w:firstLine="0" w:firstLineChars="0"/>
              <w:jc w:val="center"/>
              <w:rPr>
                <w:rFonts w:ascii="Times New Roman" w:hAnsi="Times New Roman" w:eastAsia="宋体" w:cs="Times New Roman"/>
                <w:color w:val="auto"/>
                <w:kern w:val="2"/>
                <w:sz w:val="21"/>
                <w:szCs w:val="21"/>
              </w:rPr>
            </w:pPr>
          </w:p>
        </w:tc>
        <w:tc>
          <w:tcPr>
            <w:tcW w:w="1092" w:type="pct"/>
            <w:gridSpan w:val="2"/>
            <w:vAlign w:val="center"/>
          </w:tcPr>
          <w:p w14:paraId="417D44CC">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cs="Times New Roman"/>
                <w:color w:val="auto"/>
                <w:kern w:val="2"/>
                <w:sz w:val="21"/>
                <w:szCs w:val="21"/>
                <w:u w:val="none"/>
                <w:lang w:bidi="ar"/>
              </w:rPr>
              <w:t>盘圆</w:t>
            </w:r>
          </w:p>
        </w:tc>
        <w:tc>
          <w:tcPr>
            <w:tcW w:w="1173" w:type="pct"/>
            <w:vAlign w:val="center"/>
          </w:tcPr>
          <w:p w14:paraId="51AFEA74">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cs="Times New Roman"/>
                <w:color w:val="auto"/>
                <w:kern w:val="2"/>
                <w:sz w:val="21"/>
                <w:szCs w:val="21"/>
                <w:u w:val="none"/>
                <w:lang w:bidi="ar"/>
              </w:rPr>
              <w:t>直径</w:t>
            </w:r>
            <w:r>
              <w:rPr>
                <w:rFonts w:hint="default" w:eastAsia="宋体" w:cs="Times New Roman"/>
                <w:color w:val="auto"/>
                <w:kern w:val="2"/>
                <w:sz w:val="21"/>
                <w:szCs w:val="21"/>
                <w:u w:val="none"/>
                <w:lang w:bidi="ar"/>
              </w:rPr>
              <w:t>6mm</w:t>
            </w:r>
            <w:r>
              <w:rPr>
                <w:rFonts w:hint="default" w:ascii="Times New Roman" w:hAnsi="Times New Roman" w:cs="Times New Roman"/>
                <w:color w:val="auto"/>
                <w:kern w:val="2"/>
                <w:sz w:val="21"/>
                <w:szCs w:val="21"/>
                <w:u w:val="none"/>
                <w:lang w:bidi="ar"/>
              </w:rPr>
              <w:t>、</w:t>
            </w:r>
            <w:r>
              <w:rPr>
                <w:rFonts w:hint="default" w:eastAsia="宋体" w:cs="Times New Roman"/>
                <w:color w:val="auto"/>
                <w:kern w:val="2"/>
                <w:sz w:val="21"/>
                <w:szCs w:val="21"/>
                <w:u w:val="none"/>
                <w:lang w:bidi="ar"/>
              </w:rPr>
              <w:t>8mm</w:t>
            </w:r>
          </w:p>
        </w:tc>
        <w:tc>
          <w:tcPr>
            <w:tcW w:w="542" w:type="pct"/>
            <w:vAlign w:val="center"/>
          </w:tcPr>
          <w:p w14:paraId="48D1087A">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10020</w:t>
            </w:r>
          </w:p>
        </w:tc>
        <w:tc>
          <w:tcPr>
            <w:tcW w:w="806" w:type="pct"/>
            <w:vAlign w:val="center"/>
          </w:tcPr>
          <w:p w14:paraId="577A4585">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0</w:t>
            </w:r>
          </w:p>
        </w:tc>
        <w:tc>
          <w:tcPr>
            <w:tcW w:w="590" w:type="pct"/>
            <w:vAlign w:val="center"/>
          </w:tcPr>
          <w:p w14:paraId="20DBC617">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10020</w:t>
            </w:r>
          </w:p>
        </w:tc>
        <w:tc>
          <w:tcPr>
            <w:tcW w:w="402" w:type="pct"/>
            <w:vMerge w:val="continue"/>
            <w:vAlign w:val="center"/>
          </w:tcPr>
          <w:p w14:paraId="4FC75549">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p>
        </w:tc>
      </w:tr>
      <w:tr w14:paraId="1D533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 w:type="pct"/>
            <w:vMerge w:val="continue"/>
            <w:vAlign w:val="center"/>
          </w:tcPr>
          <w:p w14:paraId="7CC63431">
            <w:pPr>
              <w:widowControl w:val="0"/>
              <w:adjustRightInd/>
              <w:snapToGrid/>
              <w:spacing w:line="240" w:lineRule="auto"/>
              <w:ind w:firstLine="0" w:firstLineChars="0"/>
              <w:jc w:val="center"/>
              <w:rPr>
                <w:rFonts w:ascii="Times New Roman" w:hAnsi="Times New Roman" w:eastAsia="宋体" w:cs="Times New Roman"/>
                <w:color w:val="auto"/>
                <w:kern w:val="2"/>
                <w:sz w:val="21"/>
                <w:szCs w:val="21"/>
              </w:rPr>
            </w:pPr>
          </w:p>
        </w:tc>
        <w:tc>
          <w:tcPr>
            <w:tcW w:w="1092" w:type="pct"/>
            <w:gridSpan w:val="2"/>
            <w:vAlign w:val="center"/>
          </w:tcPr>
          <w:p w14:paraId="4B35705F">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cs="Times New Roman"/>
                <w:color w:val="auto"/>
                <w:kern w:val="2"/>
                <w:sz w:val="21"/>
                <w:szCs w:val="21"/>
                <w:u w:val="none"/>
                <w:lang w:bidi="ar"/>
              </w:rPr>
              <w:t>外购成品锁芯</w:t>
            </w:r>
          </w:p>
        </w:tc>
        <w:tc>
          <w:tcPr>
            <w:tcW w:w="1173" w:type="pct"/>
            <w:vAlign w:val="center"/>
          </w:tcPr>
          <w:p w14:paraId="7B294521">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w:t>
            </w:r>
          </w:p>
        </w:tc>
        <w:tc>
          <w:tcPr>
            <w:tcW w:w="542" w:type="pct"/>
            <w:vAlign w:val="center"/>
          </w:tcPr>
          <w:p w14:paraId="5B095910">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400</w:t>
            </w:r>
            <w:r>
              <w:rPr>
                <w:rFonts w:hint="default" w:ascii="Times New Roman" w:hAnsi="Times New Roman" w:cs="Times New Roman"/>
                <w:color w:val="auto"/>
                <w:kern w:val="2"/>
                <w:sz w:val="21"/>
                <w:szCs w:val="21"/>
                <w:u w:val="none"/>
                <w:lang w:bidi="ar"/>
              </w:rPr>
              <w:t>万套</w:t>
            </w:r>
          </w:p>
        </w:tc>
        <w:tc>
          <w:tcPr>
            <w:tcW w:w="806" w:type="pct"/>
            <w:vAlign w:val="center"/>
          </w:tcPr>
          <w:p w14:paraId="6FEA24AF">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0</w:t>
            </w:r>
          </w:p>
        </w:tc>
        <w:tc>
          <w:tcPr>
            <w:tcW w:w="590" w:type="pct"/>
            <w:vAlign w:val="center"/>
          </w:tcPr>
          <w:p w14:paraId="06FC2D24">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400</w:t>
            </w:r>
            <w:r>
              <w:rPr>
                <w:rFonts w:hint="default" w:ascii="Times New Roman" w:hAnsi="Times New Roman" w:cs="Times New Roman"/>
                <w:color w:val="auto"/>
                <w:kern w:val="2"/>
                <w:sz w:val="21"/>
                <w:szCs w:val="21"/>
                <w:u w:val="none"/>
                <w:lang w:bidi="ar"/>
              </w:rPr>
              <w:t>万套</w:t>
            </w:r>
          </w:p>
        </w:tc>
        <w:tc>
          <w:tcPr>
            <w:tcW w:w="402" w:type="pct"/>
            <w:vMerge w:val="continue"/>
            <w:vAlign w:val="center"/>
          </w:tcPr>
          <w:p w14:paraId="5C4507AB">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p>
        </w:tc>
      </w:tr>
      <w:tr w14:paraId="60D80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 w:type="pct"/>
            <w:vMerge w:val="continue"/>
            <w:vAlign w:val="center"/>
          </w:tcPr>
          <w:p w14:paraId="0366C77E">
            <w:pPr>
              <w:widowControl w:val="0"/>
              <w:adjustRightInd/>
              <w:snapToGrid/>
              <w:spacing w:line="240" w:lineRule="auto"/>
              <w:ind w:firstLine="0" w:firstLineChars="0"/>
              <w:jc w:val="center"/>
              <w:rPr>
                <w:rFonts w:ascii="Times New Roman" w:hAnsi="Times New Roman" w:eastAsia="宋体" w:cs="Times New Roman"/>
                <w:color w:val="auto"/>
                <w:kern w:val="2"/>
                <w:sz w:val="21"/>
                <w:szCs w:val="21"/>
              </w:rPr>
            </w:pPr>
          </w:p>
        </w:tc>
        <w:tc>
          <w:tcPr>
            <w:tcW w:w="1092" w:type="pct"/>
            <w:gridSpan w:val="2"/>
            <w:vAlign w:val="center"/>
          </w:tcPr>
          <w:p w14:paraId="454892EE">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cs="Times New Roman"/>
                <w:color w:val="auto"/>
                <w:kern w:val="2"/>
                <w:sz w:val="21"/>
                <w:szCs w:val="21"/>
                <w:u w:val="none"/>
                <w:lang w:bidi="ar"/>
              </w:rPr>
              <w:t>外购配件</w:t>
            </w:r>
          </w:p>
        </w:tc>
        <w:tc>
          <w:tcPr>
            <w:tcW w:w="1173" w:type="pct"/>
            <w:vAlign w:val="center"/>
          </w:tcPr>
          <w:p w14:paraId="5F804C22">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w:t>
            </w:r>
          </w:p>
        </w:tc>
        <w:tc>
          <w:tcPr>
            <w:tcW w:w="542" w:type="pct"/>
            <w:vAlign w:val="center"/>
          </w:tcPr>
          <w:p w14:paraId="0C0CF532">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400</w:t>
            </w:r>
            <w:r>
              <w:rPr>
                <w:rFonts w:hint="default" w:ascii="Times New Roman" w:hAnsi="Times New Roman" w:cs="Times New Roman"/>
                <w:color w:val="auto"/>
                <w:kern w:val="2"/>
                <w:sz w:val="21"/>
                <w:szCs w:val="21"/>
                <w:u w:val="none"/>
                <w:lang w:bidi="ar"/>
              </w:rPr>
              <w:t>万套</w:t>
            </w:r>
          </w:p>
        </w:tc>
        <w:tc>
          <w:tcPr>
            <w:tcW w:w="806" w:type="pct"/>
            <w:vAlign w:val="center"/>
          </w:tcPr>
          <w:p w14:paraId="52289690">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0</w:t>
            </w:r>
          </w:p>
        </w:tc>
        <w:tc>
          <w:tcPr>
            <w:tcW w:w="590" w:type="pct"/>
            <w:vAlign w:val="center"/>
          </w:tcPr>
          <w:p w14:paraId="24AD30D9">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400</w:t>
            </w:r>
            <w:r>
              <w:rPr>
                <w:rFonts w:hint="default" w:ascii="Times New Roman" w:hAnsi="Times New Roman" w:cs="Times New Roman"/>
                <w:color w:val="auto"/>
                <w:kern w:val="2"/>
                <w:sz w:val="21"/>
                <w:szCs w:val="21"/>
                <w:u w:val="none"/>
                <w:lang w:bidi="ar"/>
              </w:rPr>
              <w:t>万套</w:t>
            </w:r>
          </w:p>
        </w:tc>
        <w:tc>
          <w:tcPr>
            <w:tcW w:w="402" w:type="pct"/>
            <w:vMerge w:val="continue"/>
            <w:vAlign w:val="center"/>
          </w:tcPr>
          <w:p w14:paraId="41318F66">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p>
        </w:tc>
      </w:tr>
      <w:tr w14:paraId="56D84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 w:type="pct"/>
            <w:vMerge w:val="continue"/>
            <w:vAlign w:val="center"/>
          </w:tcPr>
          <w:p w14:paraId="437E9745">
            <w:pPr>
              <w:widowControl w:val="0"/>
              <w:adjustRightInd/>
              <w:snapToGrid/>
              <w:spacing w:line="240" w:lineRule="auto"/>
              <w:ind w:firstLine="0" w:firstLineChars="0"/>
              <w:jc w:val="center"/>
              <w:rPr>
                <w:rFonts w:ascii="Times New Roman" w:hAnsi="Times New Roman" w:eastAsia="宋体" w:cs="Times New Roman"/>
                <w:color w:val="auto"/>
                <w:kern w:val="2"/>
                <w:sz w:val="21"/>
                <w:szCs w:val="21"/>
              </w:rPr>
            </w:pPr>
          </w:p>
        </w:tc>
        <w:tc>
          <w:tcPr>
            <w:tcW w:w="1092" w:type="pct"/>
            <w:gridSpan w:val="2"/>
            <w:vAlign w:val="center"/>
          </w:tcPr>
          <w:p w14:paraId="292BE308">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cs="Times New Roman"/>
                <w:color w:val="auto"/>
                <w:kern w:val="2"/>
                <w:sz w:val="21"/>
                <w:szCs w:val="21"/>
                <w:u w:val="none"/>
                <w:lang w:bidi="ar"/>
              </w:rPr>
              <w:t>螺丝、螺帽</w:t>
            </w:r>
          </w:p>
        </w:tc>
        <w:tc>
          <w:tcPr>
            <w:tcW w:w="1173" w:type="pct"/>
            <w:vAlign w:val="center"/>
          </w:tcPr>
          <w:p w14:paraId="4C5A6EFB">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w:t>
            </w:r>
          </w:p>
        </w:tc>
        <w:tc>
          <w:tcPr>
            <w:tcW w:w="542" w:type="pct"/>
            <w:vAlign w:val="center"/>
          </w:tcPr>
          <w:p w14:paraId="72776D8D">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300</w:t>
            </w:r>
          </w:p>
        </w:tc>
        <w:tc>
          <w:tcPr>
            <w:tcW w:w="806" w:type="pct"/>
            <w:vAlign w:val="center"/>
          </w:tcPr>
          <w:p w14:paraId="0F1A6017">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0</w:t>
            </w:r>
          </w:p>
        </w:tc>
        <w:tc>
          <w:tcPr>
            <w:tcW w:w="590" w:type="pct"/>
            <w:vAlign w:val="center"/>
          </w:tcPr>
          <w:p w14:paraId="3CFFFAAF">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300</w:t>
            </w:r>
          </w:p>
        </w:tc>
        <w:tc>
          <w:tcPr>
            <w:tcW w:w="402" w:type="pct"/>
            <w:vMerge w:val="continue"/>
            <w:vAlign w:val="center"/>
          </w:tcPr>
          <w:p w14:paraId="0DFB8FAD">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p>
        </w:tc>
      </w:tr>
      <w:tr w14:paraId="1FE3B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 w:type="pct"/>
            <w:vMerge w:val="continue"/>
            <w:vAlign w:val="center"/>
          </w:tcPr>
          <w:p w14:paraId="52FDF55B">
            <w:pPr>
              <w:widowControl w:val="0"/>
              <w:adjustRightInd/>
              <w:snapToGrid/>
              <w:spacing w:line="240" w:lineRule="auto"/>
              <w:ind w:firstLine="0" w:firstLineChars="0"/>
              <w:jc w:val="center"/>
              <w:rPr>
                <w:rFonts w:ascii="Times New Roman" w:hAnsi="Times New Roman" w:eastAsia="宋体" w:cs="Times New Roman"/>
                <w:color w:val="auto"/>
                <w:kern w:val="2"/>
                <w:sz w:val="21"/>
                <w:szCs w:val="21"/>
              </w:rPr>
            </w:pPr>
          </w:p>
        </w:tc>
        <w:tc>
          <w:tcPr>
            <w:tcW w:w="1092" w:type="pct"/>
            <w:gridSpan w:val="2"/>
            <w:vAlign w:val="center"/>
          </w:tcPr>
          <w:p w14:paraId="0E41A8D6">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cs="Times New Roman"/>
                <w:color w:val="auto"/>
                <w:kern w:val="2"/>
                <w:sz w:val="21"/>
                <w:szCs w:val="21"/>
                <w:u w:val="none"/>
                <w:lang w:bidi="ar"/>
              </w:rPr>
              <w:t>珍珠棉</w:t>
            </w:r>
          </w:p>
        </w:tc>
        <w:tc>
          <w:tcPr>
            <w:tcW w:w="1173" w:type="pct"/>
            <w:vAlign w:val="center"/>
          </w:tcPr>
          <w:p w14:paraId="534CFA65">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w:t>
            </w:r>
          </w:p>
        </w:tc>
        <w:tc>
          <w:tcPr>
            <w:tcW w:w="542" w:type="pct"/>
            <w:vAlign w:val="center"/>
          </w:tcPr>
          <w:p w14:paraId="19F8A195">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50</w:t>
            </w:r>
          </w:p>
        </w:tc>
        <w:tc>
          <w:tcPr>
            <w:tcW w:w="806" w:type="pct"/>
            <w:vAlign w:val="center"/>
          </w:tcPr>
          <w:p w14:paraId="73C7D8A2">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0</w:t>
            </w:r>
          </w:p>
        </w:tc>
        <w:tc>
          <w:tcPr>
            <w:tcW w:w="590" w:type="pct"/>
            <w:vAlign w:val="center"/>
          </w:tcPr>
          <w:p w14:paraId="5474F5AA">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50</w:t>
            </w:r>
          </w:p>
        </w:tc>
        <w:tc>
          <w:tcPr>
            <w:tcW w:w="402" w:type="pct"/>
            <w:vMerge w:val="continue"/>
            <w:vAlign w:val="center"/>
          </w:tcPr>
          <w:p w14:paraId="5365BC3D">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p>
        </w:tc>
      </w:tr>
      <w:tr w14:paraId="3966D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 w:type="pct"/>
            <w:vMerge w:val="continue"/>
            <w:vAlign w:val="center"/>
          </w:tcPr>
          <w:p w14:paraId="04F02A65">
            <w:pPr>
              <w:widowControl w:val="0"/>
              <w:adjustRightInd/>
              <w:snapToGrid/>
              <w:spacing w:line="240" w:lineRule="auto"/>
              <w:ind w:firstLine="0" w:firstLineChars="0"/>
              <w:jc w:val="center"/>
              <w:rPr>
                <w:rFonts w:ascii="Times New Roman" w:hAnsi="Times New Roman" w:eastAsia="宋体" w:cs="Times New Roman"/>
                <w:color w:val="auto"/>
                <w:kern w:val="2"/>
                <w:sz w:val="21"/>
                <w:szCs w:val="21"/>
              </w:rPr>
            </w:pPr>
          </w:p>
        </w:tc>
        <w:tc>
          <w:tcPr>
            <w:tcW w:w="1092" w:type="pct"/>
            <w:gridSpan w:val="2"/>
            <w:vAlign w:val="center"/>
          </w:tcPr>
          <w:p w14:paraId="44499322">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cs="Times New Roman"/>
                <w:color w:val="auto"/>
                <w:kern w:val="2"/>
                <w:sz w:val="21"/>
                <w:szCs w:val="21"/>
                <w:u w:val="none"/>
                <w:lang w:bidi="ar"/>
              </w:rPr>
              <w:t>纸箱</w:t>
            </w:r>
          </w:p>
        </w:tc>
        <w:tc>
          <w:tcPr>
            <w:tcW w:w="1173" w:type="pct"/>
            <w:vAlign w:val="center"/>
          </w:tcPr>
          <w:p w14:paraId="3C8E720C">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w:t>
            </w:r>
          </w:p>
        </w:tc>
        <w:tc>
          <w:tcPr>
            <w:tcW w:w="542" w:type="pct"/>
            <w:vAlign w:val="center"/>
          </w:tcPr>
          <w:p w14:paraId="72E51048">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3</w:t>
            </w:r>
          </w:p>
        </w:tc>
        <w:tc>
          <w:tcPr>
            <w:tcW w:w="806" w:type="pct"/>
            <w:vAlign w:val="center"/>
          </w:tcPr>
          <w:p w14:paraId="2F2FA946">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0</w:t>
            </w:r>
          </w:p>
        </w:tc>
        <w:tc>
          <w:tcPr>
            <w:tcW w:w="590" w:type="pct"/>
            <w:vAlign w:val="center"/>
          </w:tcPr>
          <w:p w14:paraId="275A26EC">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3</w:t>
            </w:r>
          </w:p>
        </w:tc>
        <w:tc>
          <w:tcPr>
            <w:tcW w:w="402" w:type="pct"/>
            <w:vMerge w:val="continue"/>
            <w:vAlign w:val="center"/>
          </w:tcPr>
          <w:p w14:paraId="1992F11A">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p>
        </w:tc>
      </w:tr>
      <w:tr w14:paraId="530B1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 w:type="pct"/>
            <w:vMerge w:val="continue"/>
            <w:vAlign w:val="center"/>
          </w:tcPr>
          <w:p w14:paraId="4B1F7814">
            <w:pPr>
              <w:widowControl w:val="0"/>
              <w:adjustRightInd/>
              <w:snapToGrid/>
              <w:spacing w:line="240" w:lineRule="auto"/>
              <w:ind w:firstLine="0" w:firstLineChars="0"/>
              <w:jc w:val="center"/>
              <w:rPr>
                <w:rFonts w:ascii="Times New Roman" w:hAnsi="Times New Roman" w:eastAsia="宋体" w:cs="Times New Roman"/>
                <w:color w:val="auto"/>
                <w:kern w:val="2"/>
                <w:sz w:val="21"/>
                <w:szCs w:val="21"/>
              </w:rPr>
            </w:pPr>
          </w:p>
        </w:tc>
        <w:tc>
          <w:tcPr>
            <w:tcW w:w="1092" w:type="pct"/>
            <w:gridSpan w:val="2"/>
            <w:vAlign w:val="center"/>
          </w:tcPr>
          <w:p w14:paraId="6BF5FADE">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cs="Times New Roman"/>
                <w:color w:val="auto"/>
                <w:kern w:val="2"/>
                <w:sz w:val="21"/>
                <w:szCs w:val="21"/>
                <w:u w:val="none"/>
                <w:lang w:bidi="ar"/>
              </w:rPr>
              <w:t>切削液</w:t>
            </w:r>
          </w:p>
        </w:tc>
        <w:tc>
          <w:tcPr>
            <w:tcW w:w="1173" w:type="pct"/>
            <w:vAlign w:val="center"/>
          </w:tcPr>
          <w:p w14:paraId="3D3A04BA">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w:t>
            </w:r>
          </w:p>
        </w:tc>
        <w:tc>
          <w:tcPr>
            <w:tcW w:w="542" w:type="pct"/>
            <w:vAlign w:val="center"/>
          </w:tcPr>
          <w:p w14:paraId="0555C5B8">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0.7</w:t>
            </w:r>
          </w:p>
        </w:tc>
        <w:tc>
          <w:tcPr>
            <w:tcW w:w="806" w:type="pct"/>
            <w:vAlign w:val="center"/>
          </w:tcPr>
          <w:p w14:paraId="1894844E">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0</w:t>
            </w:r>
          </w:p>
        </w:tc>
        <w:tc>
          <w:tcPr>
            <w:tcW w:w="590" w:type="pct"/>
            <w:vAlign w:val="center"/>
          </w:tcPr>
          <w:p w14:paraId="3011CED4">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0.7</w:t>
            </w:r>
          </w:p>
        </w:tc>
        <w:tc>
          <w:tcPr>
            <w:tcW w:w="402" w:type="pct"/>
            <w:vMerge w:val="continue"/>
            <w:vAlign w:val="center"/>
          </w:tcPr>
          <w:p w14:paraId="19EB73DB">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p>
        </w:tc>
      </w:tr>
      <w:tr w14:paraId="3C309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 w:type="pct"/>
            <w:vMerge w:val="continue"/>
            <w:vAlign w:val="center"/>
          </w:tcPr>
          <w:p w14:paraId="04B9E8EE">
            <w:pPr>
              <w:widowControl w:val="0"/>
              <w:adjustRightInd/>
              <w:snapToGrid/>
              <w:spacing w:line="240" w:lineRule="auto"/>
              <w:ind w:firstLine="0" w:firstLineChars="0"/>
              <w:jc w:val="center"/>
              <w:rPr>
                <w:rFonts w:ascii="Times New Roman" w:hAnsi="Times New Roman" w:eastAsia="宋体" w:cs="Times New Roman"/>
                <w:color w:val="auto"/>
                <w:kern w:val="2"/>
                <w:sz w:val="21"/>
                <w:szCs w:val="21"/>
              </w:rPr>
            </w:pPr>
          </w:p>
        </w:tc>
        <w:tc>
          <w:tcPr>
            <w:tcW w:w="1092" w:type="pct"/>
            <w:gridSpan w:val="2"/>
            <w:vAlign w:val="center"/>
          </w:tcPr>
          <w:p w14:paraId="78EDC877">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cs="Times New Roman"/>
                <w:color w:val="auto"/>
                <w:kern w:val="2"/>
                <w:sz w:val="21"/>
                <w:szCs w:val="21"/>
                <w:u w:val="none"/>
                <w:lang w:bidi="ar"/>
              </w:rPr>
              <w:t>拉伸油</w:t>
            </w:r>
          </w:p>
        </w:tc>
        <w:tc>
          <w:tcPr>
            <w:tcW w:w="1173" w:type="pct"/>
            <w:vAlign w:val="center"/>
          </w:tcPr>
          <w:p w14:paraId="32488310">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w:t>
            </w:r>
          </w:p>
        </w:tc>
        <w:tc>
          <w:tcPr>
            <w:tcW w:w="542" w:type="pct"/>
            <w:vAlign w:val="center"/>
          </w:tcPr>
          <w:p w14:paraId="0C27EEB5">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0.8</w:t>
            </w:r>
          </w:p>
        </w:tc>
        <w:tc>
          <w:tcPr>
            <w:tcW w:w="806" w:type="pct"/>
            <w:vAlign w:val="center"/>
          </w:tcPr>
          <w:p w14:paraId="2F9E4DEA">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0</w:t>
            </w:r>
          </w:p>
        </w:tc>
        <w:tc>
          <w:tcPr>
            <w:tcW w:w="590" w:type="pct"/>
            <w:vAlign w:val="center"/>
          </w:tcPr>
          <w:p w14:paraId="5C33A652">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0.8</w:t>
            </w:r>
          </w:p>
        </w:tc>
        <w:tc>
          <w:tcPr>
            <w:tcW w:w="402" w:type="pct"/>
            <w:vMerge w:val="continue"/>
            <w:vAlign w:val="center"/>
          </w:tcPr>
          <w:p w14:paraId="412A382D">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p>
        </w:tc>
      </w:tr>
      <w:tr w14:paraId="2F4DE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 w:type="pct"/>
            <w:vMerge w:val="restart"/>
            <w:vAlign w:val="center"/>
          </w:tcPr>
          <w:p w14:paraId="64459A61">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cs="Times New Roman"/>
                <w:color w:val="auto"/>
                <w:kern w:val="2"/>
                <w:sz w:val="21"/>
                <w:szCs w:val="21"/>
                <w:u w:val="none"/>
                <w:lang w:bidi="ar"/>
              </w:rPr>
              <w:t>滚镀锌</w:t>
            </w:r>
          </w:p>
        </w:tc>
        <w:tc>
          <w:tcPr>
            <w:tcW w:w="437" w:type="pct"/>
            <w:vAlign w:val="center"/>
          </w:tcPr>
          <w:p w14:paraId="197A7AB1">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cs="Times New Roman"/>
                <w:color w:val="auto"/>
                <w:kern w:val="2"/>
                <w:sz w:val="21"/>
                <w:szCs w:val="21"/>
                <w:u w:val="none"/>
                <w:lang w:bidi="ar"/>
              </w:rPr>
              <w:t>化学除油</w:t>
            </w:r>
          </w:p>
        </w:tc>
        <w:tc>
          <w:tcPr>
            <w:tcW w:w="655" w:type="pct"/>
            <w:vAlign w:val="center"/>
          </w:tcPr>
          <w:p w14:paraId="70CE574E">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cs="Times New Roman"/>
                <w:color w:val="auto"/>
                <w:kern w:val="2"/>
                <w:sz w:val="21"/>
                <w:szCs w:val="21"/>
                <w:u w:val="none"/>
                <w:lang w:bidi="ar"/>
              </w:rPr>
              <w:t>脱脂剂</w:t>
            </w:r>
          </w:p>
        </w:tc>
        <w:tc>
          <w:tcPr>
            <w:tcW w:w="1173" w:type="pct"/>
            <w:vAlign w:val="center"/>
          </w:tcPr>
          <w:p w14:paraId="767E6404">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cs="Times New Roman"/>
                <w:color w:val="auto"/>
                <w:kern w:val="2"/>
                <w:sz w:val="21"/>
                <w:szCs w:val="21"/>
                <w:u w:val="none"/>
                <w:lang w:bidi="ar"/>
              </w:rPr>
              <w:t>以碳酸钠弱碱性盐为主</w:t>
            </w:r>
          </w:p>
        </w:tc>
        <w:tc>
          <w:tcPr>
            <w:tcW w:w="542" w:type="pct"/>
            <w:vAlign w:val="center"/>
          </w:tcPr>
          <w:p w14:paraId="25CE724C">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2.5</w:t>
            </w:r>
          </w:p>
        </w:tc>
        <w:tc>
          <w:tcPr>
            <w:tcW w:w="806" w:type="pct"/>
            <w:vAlign w:val="center"/>
          </w:tcPr>
          <w:p w14:paraId="115D123F">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0</w:t>
            </w:r>
          </w:p>
        </w:tc>
        <w:tc>
          <w:tcPr>
            <w:tcW w:w="590" w:type="pct"/>
            <w:vAlign w:val="center"/>
          </w:tcPr>
          <w:p w14:paraId="1150EC4D">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2.5</w:t>
            </w:r>
          </w:p>
        </w:tc>
        <w:tc>
          <w:tcPr>
            <w:tcW w:w="402" w:type="pct"/>
            <w:vMerge w:val="continue"/>
            <w:vAlign w:val="center"/>
          </w:tcPr>
          <w:p w14:paraId="4BED3ED0">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p>
        </w:tc>
      </w:tr>
      <w:tr w14:paraId="0FFD5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 w:type="pct"/>
            <w:vMerge w:val="continue"/>
            <w:vAlign w:val="center"/>
          </w:tcPr>
          <w:p w14:paraId="5076674B">
            <w:pPr>
              <w:widowControl w:val="0"/>
              <w:adjustRightInd/>
              <w:snapToGrid/>
              <w:spacing w:line="240" w:lineRule="auto"/>
              <w:ind w:firstLine="0" w:firstLineChars="0"/>
              <w:jc w:val="center"/>
              <w:rPr>
                <w:rFonts w:ascii="Times New Roman" w:hAnsi="Times New Roman" w:eastAsia="宋体" w:cs="Times New Roman"/>
                <w:color w:val="auto"/>
                <w:kern w:val="2"/>
                <w:sz w:val="21"/>
                <w:szCs w:val="21"/>
              </w:rPr>
            </w:pPr>
          </w:p>
        </w:tc>
        <w:tc>
          <w:tcPr>
            <w:tcW w:w="437" w:type="pct"/>
            <w:vAlign w:val="center"/>
          </w:tcPr>
          <w:p w14:paraId="74FC1823">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cs="Times New Roman"/>
                <w:color w:val="auto"/>
                <w:kern w:val="2"/>
                <w:sz w:val="21"/>
                <w:szCs w:val="21"/>
                <w:u w:val="none"/>
                <w:lang w:bidi="ar"/>
              </w:rPr>
              <w:t>酸洗、活化</w:t>
            </w:r>
          </w:p>
        </w:tc>
        <w:tc>
          <w:tcPr>
            <w:tcW w:w="655" w:type="pct"/>
            <w:vAlign w:val="center"/>
          </w:tcPr>
          <w:p w14:paraId="744D1235">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cs="Times New Roman"/>
                <w:color w:val="auto"/>
                <w:kern w:val="2"/>
                <w:sz w:val="21"/>
                <w:szCs w:val="21"/>
                <w:u w:val="none"/>
                <w:lang w:bidi="ar"/>
              </w:rPr>
              <w:t>盐酸</w:t>
            </w:r>
          </w:p>
        </w:tc>
        <w:tc>
          <w:tcPr>
            <w:tcW w:w="1173" w:type="pct"/>
            <w:vAlign w:val="center"/>
          </w:tcPr>
          <w:p w14:paraId="6640AC85">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30%</w:t>
            </w:r>
          </w:p>
        </w:tc>
        <w:tc>
          <w:tcPr>
            <w:tcW w:w="542" w:type="pct"/>
            <w:vAlign w:val="center"/>
          </w:tcPr>
          <w:p w14:paraId="3CC4ABFC">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2.5</w:t>
            </w:r>
          </w:p>
        </w:tc>
        <w:tc>
          <w:tcPr>
            <w:tcW w:w="806" w:type="pct"/>
            <w:vAlign w:val="center"/>
          </w:tcPr>
          <w:p w14:paraId="170D52DB">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0</w:t>
            </w:r>
          </w:p>
        </w:tc>
        <w:tc>
          <w:tcPr>
            <w:tcW w:w="590" w:type="pct"/>
            <w:vAlign w:val="center"/>
          </w:tcPr>
          <w:p w14:paraId="09066075">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2.5</w:t>
            </w:r>
          </w:p>
        </w:tc>
        <w:tc>
          <w:tcPr>
            <w:tcW w:w="402" w:type="pct"/>
            <w:vMerge w:val="continue"/>
            <w:vAlign w:val="center"/>
          </w:tcPr>
          <w:p w14:paraId="640D9E77">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p>
        </w:tc>
      </w:tr>
      <w:tr w14:paraId="02FF2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 w:type="pct"/>
            <w:vMerge w:val="continue"/>
            <w:vAlign w:val="center"/>
          </w:tcPr>
          <w:p w14:paraId="2FDCA208">
            <w:pPr>
              <w:widowControl w:val="0"/>
              <w:adjustRightInd/>
              <w:snapToGrid/>
              <w:spacing w:line="240" w:lineRule="auto"/>
              <w:ind w:firstLine="0" w:firstLineChars="0"/>
              <w:jc w:val="center"/>
              <w:rPr>
                <w:rFonts w:ascii="Times New Roman" w:hAnsi="Times New Roman" w:eastAsia="宋体" w:cs="Times New Roman"/>
                <w:color w:val="auto"/>
                <w:kern w:val="2"/>
                <w:sz w:val="21"/>
                <w:szCs w:val="21"/>
              </w:rPr>
            </w:pPr>
          </w:p>
        </w:tc>
        <w:tc>
          <w:tcPr>
            <w:tcW w:w="437" w:type="pct"/>
            <w:vAlign w:val="center"/>
          </w:tcPr>
          <w:p w14:paraId="2E7EE3D4">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cs="Times New Roman"/>
                <w:color w:val="auto"/>
                <w:kern w:val="2"/>
                <w:sz w:val="21"/>
                <w:szCs w:val="21"/>
                <w:u w:val="none"/>
                <w:lang w:bidi="ar"/>
              </w:rPr>
              <w:t>电解除油</w:t>
            </w:r>
          </w:p>
        </w:tc>
        <w:tc>
          <w:tcPr>
            <w:tcW w:w="655" w:type="pct"/>
            <w:vAlign w:val="center"/>
          </w:tcPr>
          <w:p w14:paraId="0572141B">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cs="Times New Roman"/>
                <w:color w:val="auto"/>
                <w:kern w:val="2"/>
                <w:sz w:val="21"/>
                <w:szCs w:val="21"/>
                <w:u w:val="none"/>
                <w:lang w:bidi="ar"/>
              </w:rPr>
              <w:t>脱脂剂</w:t>
            </w:r>
          </w:p>
        </w:tc>
        <w:tc>
          <w:tcPr>
            <w:tcW w:w="1173" w:type="pct"/>
            <w:vAlign w:val="center"/>
          </w:tcPr>
          <w:p w14:paraId="0F550AF7">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cs="Times New Roman"/>
                <w:color w:val="auto"/>
                <w:kern w:val="2"/>
                <w:sz w:val="21"/>
                <w:szCs w:val="21"/>
                <w:u w:val="none"/>
                <w:lang w:bidi="ar"/>
              </w:rPr>
              <w:t>以碳酸钠弱碱性盐为主</w:t>
            </w:r>
          </w:p>
        </w:tc>
        <w:tc>
          <w:tcPr>
            <w:tcW w:w="542" w:type="pct"/>
            <w:vAlign w:val="center"/>
          </w:tcPr>
          <w:p w14:paraId="76E91D25">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3.2</w:t>
            </w:r>
          </w:p>
        </w:tc>
        <w:tc>
          <w:tcPr>
            <w:tcW w:w="806" w:type="pct"/>
            <w:vAlign w:val="center"/>
          </w:tcPr>
          <w:p w14:paraId="6DC1861B">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0</w:t>
            </w:r>
          </w:p>
        </w:tc>
        <w:tc>
          <w:tcPr>
            <w:tcW w:w="590" w:type="pct"/>
            <w:vAlign w:val="center"/>
          </w:tcPr>
          <w:p w14:paraId="0518EF23">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3.2</w:t>
            </w:r>
          </w:p>
        </w:tc>
        <w:tc>
          <w:tcPr>
            <w:tcW w:w="402" w:type="pct"/>
            <w:vMerge w:val="continue"/>
            <w:vAlign w:val="center"/>
          </w:tcPr>
          <w:p w14:paraId="72AE52C9">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p>
        </w:tc>
      </w:tr>
      <w:tr w14:paraId="0021B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 w:type="pct"/>
            <w:vMerge w:val="continue"/>
            <w:vAlign w:val="center"/>
          </w:tcPr>
          <w:p w14:paraId="3AA403B0">
            <w:pPr>
              <w:widowControl w:val="0"/>
              <w:adjustRightInd/>
              <w:snapToGrid/>
              <w:spacing w:line="240" w:lineRule="auto"/>
              <w:ind w:firstLine="0" w:firstLineChars="0"/>
              <w:jc w:val="center"/>
              <w:rPr>
                <w:rFonts w:ascii="Times New Roman" w:hAnsi="Times New Roman" w:eastAsia="宋体" w:cs="Times New Roman"/>
                <w:color w:val="auto"/>
                <w:kern w:val="2"/>
                <w:sz w:val="21"/>
                <w:szCs w:val="21"/>
              </w:rPr>
            </w:pPr>
          </w:p>
        </w:tc>
        <w:tc>
          <w:tcPr>
            <w:tcW w:w="437" w:type="pct"/>
            <w:vAlign w:val="center"/>
          </w:tcPr>
          <w:p w14:paraId="2D2CEFB7">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cs="Times New Roman"/>
                <w:color w:val="auto"/>
                <w:kern w:val="2"/>
                <w:sz w:val="21"/>
                <w:szCs w:val="21"/>
                <w:u w:val="none"/>
                <w:lang w:bidi="ar"/>
              </w:rPr>
              <w:t>超声波除油</w:t>
            </w:r>
          </w:p>
        </w:tc>
        <w:tc>
          <w:tcPr>
            <w:tcW w:w="655" w:type="pct"/>
            <w:vAlign w:val="center"/>
          </w:tcPr>
          <w:p w14:paraId="61E8BBEC">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cs="Times New Roman"/>
                <w:color w:val="auto"/>
                <w:kern w:val="2"/>
                <w:sz w:val="21"/>
                <w:szCs w:val="21"/>
                <w:u w:val="none"/>
                <w:lang w:bidi="ar"/>
              </w:rPr>
              <w:t>片碱</w:t>
            </w:r>
          </w:p>
        </w:tc>
        <w:tc>
          <w:tcPr>
            <w:tcW w:w="1173" w:type="pct"/>
            <w:vAlign w:val="center"/>
          </w:tcPr>
          <w:p w14:paraId="4EF3C373">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w:t>
            </w:r>
          </w:p>
        </w:tc>
        <w:tc>
          <w:tcPr>
            <w:tcW w:w="542" w:type="pct"/>
            <w:vAlign w:val="center"/>
          </w:tcPr>
          <w:p w14:paraId="75313E5E">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1.2</w:t>
            </w:r>
          </w:p>
        </w:tc>
        <w:tc>
          <w:tcPr>
            <w:tcW w:w="806" w:type="pct"/>
            <w:vAlign w:val="center"/>
          </w:tcPr>
          <w:p w14:paraId="45A0F467">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0</w:t>
            </w:r>
          </w:p>
        </w:tc>
        <w:tc>
          <w:tcPr>
            <w:tcW w:w="590" w:type="pct"/>
            <w:vAlign w:val="center"/>
          </w:tcPr>
          <w:p w14:paraId="780920B8">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1.2</w:t>
            </w:r>
          </w:p>
        </w:tc>
        <w:tc>
          <w:tcPr>
            <w:tcW w:w="402" w:type="pct"/>
            <w:vMerge w:val="continue"/>
            <w:vAlign w:val="center"/>
          </w:tcPr>
          <w:p w14:paraId="2CEB98D8">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p>
        </w:tc>
      </w:tr>
      <w:tr w14:paraId="108DD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 w:type="pct"/>
            <w:vMerge w:val="continue"/>
            <w:vAlign w:val="center"/>
          </w:tcPr>
          <w:p w14:paraId="7E610C63">
            <w:pPr>
              <w:widowControl w:val="0"/>
              <w:adjustRightInd/>
              <w:snapToGrid/>
              <w:spacing w:line="240" w:lineRule="auto"/>
              <w:ind w:firstLine="0" w:firstLineChars="0"/>
              <w:jc w:val="center"/>
              <w:rPr>
                <w:rFonts w:ascii="Times New Roman" w:hAnsi="Times New Roman" w:eastAsia="宋体" w:cs="Times New Roman"/>
                <w:color w:val="auto"/>
                <w:kern w:val="2"/>
                <w:sz w:val="21"/>
                <w:szCs w:val="21"/>
              </w:rPr>
            </w:pPr>
          </w:p>
        </w:tc>
        <w:tc>
          <w:tcPr>
            <w:tcW w:w="437" w:type="pct"/>
            <w:vMerge w:val="restart"/>
            <w:vAlign w:val="center"/>
          </w:tcPr>
          <w:p w14:paraId="2366ED1B">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cs="Times New Roman"/>
                <w:color w:val="auto"/>
                <w:kern w:val="2"/>
                <w:sz w:val="21"/>
                <w:szCs w:val="21"/>
                <w:u w:val="none"/>
                <w:lang w:bidi="ar"/>
              </w:rPr>
              <w:t>镀锌</w:t>
            </w:r>
          </w:p>
        </w:tc>
        <w:tc>
          <w:tcPr>
            <w:tcW w:w="655" w:type="pct"/>
            <w:vAlign w:val="center"/>
          </w:tcPr>
          <w:p w14:paraId="68C02985">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cs="Times New Roman"/>
                <w:color w:val="auto"/>
                <w:kern w:val="2"/>
                <w:sz w:val="21"/>
                <w:szCs w:val="21"/>
                <w:u w:val="none"/>
                <w:lang w:bidi="ar"/>
              </w:rPr>
              <w:t>锌锭</w:t>
            </w:r>
          </w:p>
        </w:tc>
        <w:tc>
          <w:tcPr>
            <w:tcW w:w="1173" w:type="pct"/>
            <w:vAlign w:val="center"/>
          </w:tcPr>
          <w:p w14:paraId="3CB6DB75">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≥99.9%</w:t>
            </w:r>
          </w:p>
        </w:tc>
        <w:tc>
          <w:tcPr>
            <w:tcW w:w="542" w:type="pct"/>
            <w:vAlign w:val="center"/>
          </w:tcPr>
          <w:p w14:paraId="7F7B5CF4">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31.54</w:t>
            </w:r>
          </w:p>
        </w:tc>
        <w:tc>
          <w:tcPr>
            <w:tcW w:w="806" w:type="pct"/>
            <w:vAlign w:val="center"/>
          </w:tcPr>
          <w:p w14:paraId="01600604">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0</w:t>
            </w:r>
          </w:p>
        </w:tc>
        <w:tc>
          <w:tcPr>
            <w:tcW w:w="590" w:type="pct"/>
            <w:vAlign w:val="center"/>
          </w:tcPr>
          <w:p w14:paraId="20089D04">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31.54</w:t>
            </w:r>
          </w:p>
        </w:tc>
        <w:tc>
          <w:tcPr>
            <w:tcW w:w="402" w:type="pct"/>
            <w:vMerge w:val="continue"/>
            <w:vAlign w:val="center"/>
          </w:tcPr>
          <w:p w14:paraId="58319466">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p>
        </w:tc>
      </w:tr>
      <w:tr w14:paraId="4E7BF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 w:type="pct"/>
            <w:vMerge w:val="continue"/>
            <w:vAlign w:val="center"/>
          </w:tcPr>
          <w:p w14:paraId="0862CE56">
            <w:pPr>
              <w:widowControl w:val="0"/>
              <w:adjustRightInd/>
              <w:snapToGrid/>
              <w:spacing w:line="240" w:lineRule="auto"/>
              <w:ind w:firstLine="0" w:firstLineChars="0"/>
              <w:jc w:val="center"/>
              <w:rPr>
                <w:rFonts w:ascii="Times New Roman" w:hAnsi="Times New Roman" w:eastAsia="宋体" w:cs="Times New Roman"/>
                <w:color w:val="auto"/>
                <w:kern w:val="2"/>
                <w:sz w:val="21"/>
                <w:szCs w:val="21"/>
              </w:rPr>
            </w:pPr>
          </w:p>
        </w:tc>
        <w:tc>
          <w:tcPr>
            <w:tcW w:w="437" w:type="pct"/>
            <w:vMerge w:val="continue"/>
            <w:vAlign w:val="center"/>
          </w:tcPr>
          <w:p w14:paraId="0E0D9960">
            <w:pPr>
              <w:widowControl w:val="0"/>
              <w:adjustRightInd/>
              <w:snapToGrid/>
              <w:spacing w:line="240" w:lineRule="auto"/>
              <w:ind w:firstLine="0" w:firstLineChars="0"/>
              <w:jc w:val="center"/>
              <w:rPr>
                <w:rFonts w:ascii="Times New Roman" w:hAnsi="Times New Roman" w:eastAsia="宋体" w:cs="Times New Roman"/>
                <w:color w:val="auto"/>
                <w:kern w:val="2"/>
                <w:sz w:val="21"/>
                <w:szCs w:val="21"/>
              </w:rPr>
            </w:pPr>
          </w:p>
        </w:tc>
        <w:tc>
          <w:tcPr>
            <w:tcW w:w="655" w:type="pct"/>
            <w:vAlign w:val="center"/>
          </w:tcPr>
          <w:p w14:paraId="6ACF3A42">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cs="Times New Roman"/>
                <w:color w:val="auto"/>
                <w:kern w:val="2"/>
                <w:sz w:val="21"/>
                <w:szCs w:val="21"/>
                <w:u w:val="none"/>
                <w:lang w:bidi="ar"/>
              </w:rPr>
              <w:t>氯化钾</w:t>
            </w:r>
          </w:p>
        </w:tc>
        <w:tc>
          <w:tcPr>
            <w:tcW w:w="1173" w:type="pct"/>
            <w:vAlign w:val="center"/>
          </w:tcPr>
          <w:p w14:paraId="49FFD41F">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98%</w:t>
            </w:r>
          </w:p>
        </w:tc>
        <w:tc>
          <w:tcPr>
            <w:tcW w:w="542" w:type="pct"/>
            <w:vAlign w:val="center"/>
          </w:tcPr>
          <w:p w14:paraId="2E37EA94">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48.5</w:t>
            </w:r>
          </w:p>
        </w:tc>
        <w:tc>
          <w:tcPr>
            <w:tcW w:w="806" w:type="pct"/>
            <w:vAlign w:val="center"/>
          </w:tcPr>
          <w:p w14:paraId="1A2290CD">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0</w:t>
            </w:r>
          </w:p>
        </w:tc>
        <w:tc>
          <w:tcPr>
            <w:tcW w:w="590" w:type="pct"/>
            <w:vAlign w:val="center"/>
          </w:tcPr>
          <w:p w14:paraId="367E14CE">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48.5</w:t>
            </w:r>
          </w:p>
        </w:tc>
        <w:tc>
          <w:tcPr>
            <w:tcW w:w="402" w:type="pct"/>
            <w:vMerge w:val="continue"/>
            <w:vAlign w:val="center"/>
          </w:tcPr>
          <w:p w14:paraId="0E035035">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p>
        </w:tc>
      </w:tr>
      <w:tr w14:paraId="511D6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 w:type="pct"/>
            <w:vMerge w:val="continue"/>
            <w:vAlign w:val="center"/>
          </w:tcPr>
          <w:p w14:paraId="75A68BBA">
            <w:pPr>
              <w:widowControl w:val="0"/>
              <w:adjustRightInd/>
              <w:snapToGrid/>
              <w:spacing w:line="240" w:lineRule="auto"/>
              <w:ind w:firstLine="0" w:firstLineChars="0"/>
              <w:jc w:val="center"/>
              <w:rPr>
                <w:rFonts w:ascii="Times New Roman" w:hAnsi="Times New Roman" w:eastAsia="宋体" w:cs="Times New Roman"/>
                <w:color w:val="auto"/>
                <w:kern w:val="2"/>
                <w:sz w:val="21"/>
                <w:szCs w:val="21"/>
              </w:rPr>
            </w:pPr>
          </w:p>
        </w:tc>
        <w:tc>
          <w:tcPr>
            <w:tcW w:w="437" w:type="pct"/>
            <w:vMerge w:val="continue"/>
            <w:vAlign w:val="center"/>
          </w:tcPr>
          <w:p w14:paraId="48DC4F5E">
            <w:pPr>
              <w:widowControl w:val="0"/>
              <w:adjustRightInd/>
              <w:snapToGrid/>
              <w:spacing w:line="240" w:lineRule="auto"/>
              <w:ind w:firstLine="0" w:firstLineChars="0"/>
              <w:jc w:val="center"/>
              <w:rPr>
                <w:rFonts w:ascii="Times New Roman" w:hAnsi="Times New Roman" w:eastAsia="宋体" w:cs="Times New Roman"/>
                <w:color w:val="auto"/>
                <w:kern w:val="2"/>
                <w:sz w:val="21"/>
                <w:szCs w:val="21"/>
              </w:rPr>
            </w:pPr>
          </w:p>
        </w:tc>
        <w:tc>
          <w:tcPr>
            <w:tcW w:w="655" w:type="pct"/>
            <w:vAlign w:val="center"/>
          </w:tcPr>
          <w:p w14:paraId="7604861F">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cs="Times New Roman"/>
                <w:color w:val="auto"/>
                <w:kern w:val="2"/>
                <w:sz w:val="21"/>
                <w:szCs w:val="21"/>
                <w:u w:val="none"/>
                <w:lang w:bidi="ar"/>
              </w:rPr>
              <w:t>氯化锌</w:t>
            </w:r>
          </w:p>
        </w:tc>
        <w:tc>
          <w:tcPr>
            <w:tcW w:w="1173" w:type="pct"/>
            <w:vAlign w:val="center"/>
          </w:tcPr>
          <w:p w14:paraId="6B39B2F4">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98%</w:t>
            </w:r>
          </w:p>
        </w:tc>
        <w:tc>
          <w:tcPr>
            <w:tcW w:w="542" w:type="pct"/>
            <w:vAlign w:val="center"/>
          </w:tcPr>
          <w:p w14:paraId="14E2FA04">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2.07</w:t>
            </w:r>
          </w:p>
        </w:tc>
        <w:tc>
          <w:tcPr>
            <w:tcW w:w="806" w:type="pct"/>
            <w:vAlign w:val="center"/>
          </w:tcPr>
          <w:p w14:paraId="749776D7">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0</w:t>
            </w:r>
          </w:p>
        </w:tc>
        <w:tc>
          <w:tcPr>
            <w:tcW w:w="590" w:type="pct"/>
            <w:vAlign w:val="center"/>
          </w:tcPr>
          <w:p w14:paraId="08E8380C">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2.07</w:t>
            </w:r>
          </w:p>
        </w:tc>
        <w:tc>
          <w:tcPr>
            <w:tcW w:w="402" w:type="pct"/>
            <w:vMerge w:val="continue"/>
            <w:vAlign w:val="center"/>
          </w:tcPr>
          <w:p w14:paraId="63476644">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p>
        </w:tc>
      </w:tr>
      <w:tr w14:paraId="48434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 w:type="pct"/>
            <w:vMerge w:val="continue"/>
            <w:vAlign w:val="center"/>
          </w:tcPr>
          <w:p w14:paraId="05E50934">
            <w:pPr>
              <w:widowControl w:val="0"/>
              <w:adjustRightInd/>
              <w:snapToGrid/>
              <w:spacing w:line="240" w:lineRule="auto"/>
              <w:ind w:firstLine="0" w:firstLineChars="0"/>
              <w:jc w:val="center"/>
              <w:rPr>
                <w:rFonts w:ascii="Times New Roman" w:hAnsi="Times New Roman" w:eastAsia="宋体" w:cs="Times New Roman"/>
                <w:color w:val="auto"/>
                <w:kern w:val="2"/>
                <w:sz w:val="21"/>
                <w:szCs w:val="21"/>
              </w:rPr>
            </w:pPr>
          </w:p>
        </w:tc>
        <w:tc>
          <w:tcPr>
            <w:tcW w:w="437" w:type="pct"/>
            <w:vMerge w:val="continue"/>
            <w:vAlign w:val="center"/>
          </w:tcPr>
          <w:p w14:paraId="2AC0B805">
            <w:pPr>
              <w:widowControl w:val="0"/>
              <w:adjustRightInd/>
              <w:snapToGrid/>
              <w:spacing w:line="240" w:lineRule="auto"/>
              <w:ind w:firstLine="0" w:firstLineChars="0"/>
              <w:jc w:val="center"/>
              <w:rPr>
                <w:rFonts w:ascii="Times New Roman" w:hAnsi="Times New Roman" w:eastAsia="宋体" w:cs="Times New Roman"/>
                <w:color w:val="auto"/>
                <w:kern w:val="2"/>
                <w:sz w:val="21"/>
                <w:szCs w:val="21"/>
              </w:rPr>
            </w:pPr>
          </w:p>
        </w:tc>
        <w:tc>
          <w:tcPr>
            <w:tcW w:w="655" w:type="pct"/>
            <w:vAlign w:val="center"/>
          </w:tcPr>
          <w:p w14:paraId="2C940798">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cs="Times New Roman"/>
                <w:color w:val="auto"/>
                <w:kern w:val="2"/>
                <w:sz w:val="21"/>
                <w:szCs w:val="21"/>
                <w:u w:val="none"/>
                <w:lang w:bidi="ar"/>
              </w:rPr>
              <w:t>硼酸</w:t>
            </w:r>
          </w:p>
        </w:tc>
        <w:tc>
          <w:tcPr>
            <w:tcW w:w="1173" w:type="pct"/>
            <w:vAlign w:val="center"/>
          </w:tcPr>
          <w:p w14:paraId="6E6B393B">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99%</w:t>
            </w:r>
          </w:p>
        </w:tc>
        <w:tc>
          <w:tcPr>
            <w:tcW w:w="542" w:type="pct"/>
            <w:vAlign w:val="center"/>
          </w:tcPr>
          <w:p w14:paraId="3C1982A6">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2.1</w:t>
            </w:r>
          </w:p>
        </w:tc>
        <w:tc>
          <w:tcPr>
            <w:tcW w:w="806" w:type="pct"/>
            <w:vAlign w:val="center"/>
          </w:tcPr>
          <w:p w14:paraId="7224BAE3">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0</w:t>
            </w:r>
          </w:p>
        </w:tc>
        <w:tc>
          <w:tcPr>
            <w:tcW w:w="590" w:type="pct"/>
            <w:vAlign w:val="center"/>
          </w:tcPr>
          <w:p w14:paraId="3262AF1C">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2.1</w:t>
            </w:r>
          </w:p>
        </w:tc>
        <w:tc>
          <w:tcPr>
            <w:tcW w:w="402" w:type="pct"/>
            <w:vMerge w:val="continue"/>
            <w:vAlign w:val="center"/>
          </w:tcPr>
          <w:p w14:paraId="6A4324A4">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p>
        </w:tc>
      </w:tr>
      <w:tr w14:paraId="146AD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 w:type="pct"/>
            <w:vMerge w:val="continue"/>
            <w:vAlign w:val="center"/>
          </w:tcPr>
          <w:p w14:paraId="376E2454">
            <w:pPr>
              <w:widowControl w:val="0"/>
              <w:adjustRightInd/>
              <w:snapToGrid/>
              <w:spacing w:line="240" w:lineRule="auto"/>
              <w:ind w:firstLine="0" w:firstLineChars="0"/>
              <w:jc w:val="center"/>
              <w:rPr>
                <w:rFonts w:ascii="Times New Roman" w:hAnsi="Times New Roman" w:eastAsia="宋体" w:cs="Times New Roman"/>
                <w:color w:val="auto"/>
                <w:kern w:val="2"/>
                <w:sz w:val="21"/>
                <w:szCs w:val="21"/>
              </w:rPr>
            </w:pPr>
          </w:p>
        </w:tc>
        <w:tc>
          <w:tcPr>
            <w:tcW w:w="437" w:type="pct"/>
            <w:vMerge w:val="continue"/>
            <w:vAlign w:val="center"/>
          </w:tcPr>
          <w:p w14:paraId="35921B11">
            <w:pPr>
              <w:widowControl w:val="0"/>
              <w:adjustRightInd/>
              <w:snapToGrid/>
              <w:spacing w:line="240" w:lineRule="auto"/>
              <w:ind w:firstLine="0" w:firstLineChars="0"/>
              <w:jc w:val="center"/>
              <w:rPr>
                <w:rFonts w:ascii="Times New Roman" w:hAnsi="Times New Roman" w:eastAsia="宋体" w:cs="Times New Roman"/>
                <w:color w:val="auto"/>
                <w:kern w:val="2"/>
                <w:sz w:val="21"/>
                <w:szCs w:val="21"/>
              </w:rPr>
            </w:pPr>
          </w:p>
        </w:tc>
        <w:tc>
          <w:tcPr>
            <w:tcW w:w="655" w:type="pct"/>
            <w:vAlign w:val="center"/>
          </w:tcPr>
          <w:p w14:paraId="51ED9FA7">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cs="Times New Roman"/>
                <w:color w:val="auto"/>
                <w:kern w:val="2"/>
                <w:sz w:val="21"/>
                <w:szCs w:val="21"/>
                <w:u w:val="none"/>
                <w:lang w:bidi="ar"/>
              </w:rPr>
              <w:t>光亮剂</w:t>
            </w:r>
          </w:p>
        </w:tc>
        <w:tc>
          <w:tcPr>
            <w:tcW w:w="1173" w:type="pct"/>
            <w:vAlign w:val="center"/>
          </w:tcPr>
          <w:p w14:paraId="3FB0D623">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cs="Times New Roman"/>
                <w:color w:val="auto"/>
                <w:kern w:val="2"/>
                <w:sz w:val="21"/>
                <w:szCs w:val="21"/>
                <w:u w:val="none"/>
                <w:lang w:bidi="ar"/>
              </w:rPr>
              <w:t>主要成分：丁炔二醇，糖精，丙烷磺酸吡啶嗡盐</w:t>
            </w:r>
          </w:p>
        </w:tc>
        <w:tc>
          <w:tcPr>
            <w:tcW w:w="542" w:type="pct"/>
            <w:vAlign w:val="center"/>
          </w:tcPr>
          <w:p w14:paraId="74337906">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1.3</w:t>
            </w:r>
          </w:p>
        </w:tc>
        <w:tc>
          <w:tcPr>
            <w:tcW w:w="806" w:type="pct"/>
            <w:vAlign w:val="center"/>
          </w:tcPr>
          <w:p w14:paraId="4B4C0407">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0</w:t>
            </w:r>
          </w:p>
        </w:tc>
        <w:tc>
          <w:tcPr>
            <w:tcW w:w="590" w:type="pct"/>
            <w:vAlign w:val="center"/>
          </w:tcPr>
          <w:p w14:paraId="4A3BA8C9">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1.3</w:t>
            </w:r>
          </w:p>
        </w:tc>
        <w:tc>
          <w:tcPr>
            <w:tcW w:w="402" w:type="pct"/>
            <w:vMerge w:val="continue"/>
            <w:vAlign w:val="center"/>
          </w:tcPr>
          <w:p w14:paraId="07F5A8C1">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p>
        </w:tc>
      </w:tr>
      <w:tr w14:paraId="6E914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 w:type="pct"/>
            <w:vMerge w:val="continue"/>
            <w:vAlign w:val="center"/>
          </w:tcPr>
          <w:p w14:paraId="3FDAB58A">
            <w:pPr>
              <w:widowControl w:val="0"/>
              <w:adjustRightInd/>
              <w:snapToGrid/>
              <w:spacing w:line="240" w:lineRule="auto"/>
              <w:ind w:firstLine="0" w:firstLineChars="0"/>
              <w:jc w:val="center"/>
              <w:rPr>
                <w:rFonts w:ascii="Times New Roman" w:hAnsi="Times New Roman" w:eastAsia="宋体" w:cs="Times New Roman"/>
                <w:color w:val="auto"/>
                <w:kern w:val="2"/>
                <w:sz w:val="21"/>
                <w:szCs w:val="21"/>
              </w:rPr>
            </w:pPr>
          </w:p>
        </w:tc>
        <w:tc>
          <w:tcPr>
            <w:tcW w:w="437" w:type="pct"/>
            <w:vMerge w:val="continue"/>
            <w:vAlign w:val="center"/>
          </w:tcPr>
          <w:p w14:paraId="718E9D95">
            <w:pPr>
              <w:widowControl w:val="0"/>
              <w:adjustRightInd/>
              <w:snapToGrid/>
              <w:spacing w:line="240" w:lineRule="auto"/>
              <w:ind w:firstLine="0" w:firstLineChars="0"/>
              <w:jc w:val="center"/>
              <w:rPr>
                <w:rFonts w:ascii="Times New Roman" w:hAnsi="Times New Roman" w:eastAsia="宋体" w:cs="Times New Roman"/>
                <w:color w:val="auto"/>
                <w:kern w:val="2"/>
                <w:sz w:val="21"/>
                <w:szCs w:val="21"/>
              </w:rPr>
            </w:pPr>
          </w:p>
        </w:tc>
        <w:tc>
          <w:tcPr>
            <w:tcW w:w="655" w:type="pct"/>
            <w:vAlign w:val="center"/>
          </w:tcPr>
          <w:p w14:paraId="5145CD49">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cs="Times New Roman"/>
                <w:color w:val="auto"/>
                <w:kern w:val="2"/>
                <w:sz w:val="21"/>
                <w:szCs w:val="21"/>
                <w:u w:val="none"/>
                <w:lang w:bidi="ar"/>
              </w:rPr>
              <w:t>柔软剂</w:t>
            </w:r>
          </w:p>
        </w:tc>
        <w:tc>
          <w:tcPr>
            <w:tcW w:w="1173" w:type="pct"/>
            <w:vAlign w:val="center"/>
          </w:tcPr>
          <w:p w14:paraId="22F162C6">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cs="Times New Roman"/>
                <w:color w:val="auto"/>
                <w:kern w:val="2"/>
                <w:sz w:val="21"/>
                <w:szCs w:val="21"/>
                <w:u w:val="none"/>
                <w:lang w:bidi="ar"/>
              </w:rPr>
              <w:t>主要成分：糖精钠</w:t>
            </w:r>
          </w:p>
        </w:tc>
        <w:tc>
          <w:tcPr>
            <w:tcW w:w="542" w:type="pct"/>
            <w:vAlign w:val="center"/>
          </w:tcPr>
          <w:p w14:paraId="111EC4F4">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1.1</w:t>
            </w:r>
          </w:p>
        </w:tc>
        <w:tc>
          <w:tcPr>
            <w:tcW w:w="806" w:type="pct"/>
            <w:vAlign w:val="center"/>
          </w:tcPr>
          <w:p w14:paraId="4DB4311C">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0</w:t>
            </w:r>
          </w:p>
        </w:tc>
        <w:tc>
          <w:tcPr>
            <w:tcW w:w="590" w:type="pct"/>
            <w:vAlign w:val="center"/>
          </w:tcPr>
          <w:p w14:paraId="12DE32D5">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1.1</w:t>
            </w:r>
          </w:p>
        </w:tc>
        <w:tc>
          <w:tcPr>
            <w:tcW w:w="402" w:type="pct"/>
            <w:vMerge w:val="continue"/>
            <w:vAlign w:val="center"/>
          </w:tcPr>
          <w:p w14:paraId="31D9194D">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p>
        </w:tc>
      </w:tr>
      <w:tr w14:paraId="414C2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 w:type="pct"/>
            <w:vMerge w:val="continue"/>
            <w:vAlign w:val="center"/>
          </w:tcPr>
          <w:p w14:paraId="53A046F7">
            <w:pPr>
              <w:widowControl w:val="0"/>
              <w:adjustRightInd/>
              <w:snapToGrid/>
              <w:spacing w:line="240" w:lineRule="auto"/>
              <w:ind w:firstLine="0" w:firstLineChars="0"/>
              <w:jc w:val="center"/>
              <w:rPr>
                <w:rFonts w:ascii="Times New Roman" w:hAnsi="Times New Roman" w:eastAsia="宋体" w:cs="Times New Roman"/>
                <w:color w:val="auto"/>
                <w:kern w:val="2"/>
                <w:sz w:val="21"/>
                <w:szCs w:val="21"/>
              </w:rPr>
            </w:pPr>
          </w:p>
        </w:tc>
        <w:tc>
          <w:tcPr>
            <w:tcW w:w="437" w:type="pct"/>
            <w:vAlign w:val="center"/>
          </w:tcPr>
          <w:p w14:paraId="6D679B50">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cs="Times New Roman"/>
                <w:color w:val="auto"/>
                <w:kern w:val="2"/>
                <w:sz w:val="21"/>
                <w:szCs w:val="21"/>
                <w:u w:val="none"/>
                <w:lang w:bidi="ar"/>
              </w:rPr>
              <w:t>出光</w:t>
            </w:r>
          </w:p>
        </w:tc>
        <w:tc>
          <w:tcPr>
            <w:tcW w:w="655" w:type="pct"/>
            <w:vAlign w:val="center"/>
          </w:tcPr>
          <w:p w14:paraId="032224AE">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cs="Times New Roman"/>
                <w:color w:val="auto"/>
                <w:kern w:val="2"/>
                <w:sz w:val="21"/>
                <w:szCs w:val="21"/>
                <w:u w:val="none"/>
                <w:lang w:bidi="ar"/>
              </w:rPr>
              <w:t>硝酸</w:t>
            </w:r>
          </w:p>
        </w:tc>
        <w:tc>
          <w:tcPr>
            <w:tcW w:w="1173" w:type="pct"/>
            <w:vAlign w:val="center"/>
          </w:tcPr>
          <w:p w14:paraId="1E4F22FD">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60%</w:t>
            </w:r>
          </w:p>
        </w:tc>
        <w:tc>
          <w:tcPr>
            <w:tcW w:w="542" w:type="pct"/>
            <w:vAlign w:val="center"/>
          </w:tcPr>
          <w:p w14:paraId="208D8D8A">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1.785</w:t>
            </w:r>
          </w:p>
        </w:tc>
        <w:tc>
          <w:tcPr>
            <w:tcW w:w="806" w:type="pct"/>
            <w:vAlign w:val="center"/>
          </w:tcPr>
          <w:p w14:paraId="0C7BE89F">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0</w:t>
            </w:r>
          </w:p>
        </w:tc>
        <w:tc>
          <w:tcPr>
            <w:tcW w:w="590" w:type="pct"/>
            <w:vAlign w:val="center"/>
          </w:tcPr>
          <w:p w14:paraId="04ED99B9">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1.785</w:t>
            </w:r>
          </w:p>
        </w:tc>
        <w:tc>
          <w:tcPr>
            <w:tcW w:w="402" w:type="pct"/>
            <w:vMerge w:val="continue"/>
            <w:vAlign w:val="center"/>
          </w:tcPr>
          <w:p w14:paraId="4F049728">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p>
        </w:tc>
      </w:tr>
      <w:tr w14:paraId="172C7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 w:type="pct"/>
            <w:vMerge w:val="continue"/>
            <w:vAlign w:val="center"/>
          </w:tcPr>
          <w:p w14:paraId="59C87C1E">
            <w:pPr>
              <w:widowControl w:val="0"/>
              <w:adjustRightInd/>
              <w:snapToGrid/>
              <w:spacing w:line="240" w:lineRule="auto"/>
              <w:ind w:firstLine="0" w:firstLineChars="0"/>
              <w:jc w:val="center"/>
              <w:rPr>
                <w:rFonts w:ascii="Times New Roman" w:hAnsi="Times New Roman" w:eastAsia="宋体" w:cs="Times New Roman"/>
                <w:color w:val="auto"/>
                <w:kern w:val="2"/>
                <w:sz w:val="21"/>
                <w:szCs w:val="21"/>
              </w:rPr>
            </w:pPr>
          </w:p>
        </w:tc>
        <w:tc>
          <w:tcPr>
            <w:tcW w:w="437" w:type="pct"/>
            <w:vAlign w:val="center"/>
          </w:tcPr>
          <w:p w14:paraId="0AC6D83C">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cs="Times New Roman"/>
                <w:color w:val="auto"/>
                <w:kern w:val="2"/>
                <w:sz w:val="21"/>
                <w:szCs w:val="21"/>
                <w:u w:val="none"/>
                <w:lang w:bidi="ar"/>
              </w:rPr>
              <w:t>钝化</w:t>
            </w:r>
          </w:p>
        </w:tc>
        <w:tc>
          <w:tcPr>
            <w:tcW w:w="655" w:type="pct"/>
            <w:vAlign w:val="center"/>
          </w:tcPr>
          <w:p w14:paraId="48D8A897">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cs="Times New Roman"/>
                <w:color w:val="auto"/>
                <w:kern w:val="2"/>
                <w:sz w:val="21"/>
                <w:szCs w:val="21"/>
                <w:u w:val="none"/>
                <w:lang w:bidi="ar"/>
              </w:rPr>
              <w:t>钝化剂</w:t>
            </w:r>
          </w:p>
        </w:tc>
        <w:tc>
          <w:tcPr>
            <w:tcW w:w="1173" w:type="pct"/>
            <w:vAlign w:val="center"/>
          </w:tcPr>
          <w:p w14:paraId="1BEC14FA">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cs="Times New Roman"/>
                <w:color w:val="auto"/>
                <w:kern w:val="2"/>
                <w:sz w:val="21"/>
                <w:szCs w:val="21"/>
                <w:u w:val="none"/>
                <w:lang w:bidi="ar"/>
              </w:rPr>
              <w:t>硝酸铬</w:t>
            </w:r>
            <w:r>
              <w:rPr>
                <w:rFonts w:hint="default" w:eastAsia="宋体" w:cs="Times New Roman"/>
                <w:color w:val="auto"/>
                <w:kern w:val="2"/>
                <w:sz w:val="21"/>
                <w:szCs w:val="21"/>
                <w:u w:val="none"/>
                <w:lang w:bidi="ar"/>
              </w:rPr>
              <w:t>99.8%</w:t>
            </w:r>
          </w:p>
        </w:tc>
        <w:tc>
          <w:tcPr>
            <w:tcW w:w="542" w:type="pct"/>
            <w:vAlign w:val="center"/>
          </w:tcPr>
          <w:p w14:paraId="6734AA0A">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1.73</w:t>
            </w:r>
          </w:p>
        </w:tc>
        <w:tc>
          <w:tcPr>
            <w:tcW w:w="806" w:type="pct"/>
            <w:vAlign w:val="center"/>
          </w:tcPr>
          <w:p w14:paraId="004CD656">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0</w:t>
            </w:r>
          </w:p>
        </w:tc>
        <w:tc>
          <w:tcPr>
            <w:tcW w:w="590" w:type="pct"/>
            <w:vAlign w:val="center"/>
          </w:tcPr>
          <w:p w14:paraId="36BBB8DB">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1.73</w:t>
            </w:r>
          </w:p>
        </w:tc>
        <w:tc>
          <w:tcPr>
            <w:tcW w:w="402" w:type="pct"/>
            <w:vMerge w:val="continue"/>
            <w:vAlign w:val="center"/>
          </w:tcPr>
          <w:p w14:paraId="2EA80859">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p>
        </w:tc>
      </w:tr>
      <w:tr w14:paraId="5C0C5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 w:type="pct"/>
            <w:vMerge w:val="continue"/>
            <w:vAlign w:val="center"/>
          </w:tcPr>
          <w:p w14:paraId="377E1771">
            <w:pPr>
              <w:widowControl w:val="0"/>
              <w:adjustRightInd/>
              <w:snapToGrid/>
              <w:spacing w:line="240" w:lineRule="auto"/>
              <w:ind w:firstLine="0" w:firstLineChars="0"/>
              <w:jc w:val="center"/>
              <w:rPr>
                <w:rFonts w:ascii="Times New Roman" w:hAnsi="Times New Roman" w:eastAsia="宋体" w:cs="Times New Roman"/>
                <w:color w:val="auto"/>
                <w:kern w:val="2"/>
                <w:sz w:val="21"/>
                <w:szCs w:val="21"/>
              </w:rPr>
            </w:pPr>
          </w:p>
        </w:tc>
        <w:tc>
          <w:tcPr>
            <w:tcW w:w="437" w:type="pct"/>
            <w:vAlign w:val="center"/>
          </w:tcPr>
          <w:p w14:paraId="2C675DD1">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cs="Times New Roman"/>
                <w:color w:val="auto"/>
                <w:kern w:val="2"/>
                <w:sz w:val="21"/>
                <w:szCs w:val="21"/>
                <w:u w:val="none"/>
                <w:lang w:bidi="ar"/>
              </w:rPr>
              <w:t>封闭</w:t>
            </w:r>
          </w:p>
        </w:tc>
        <w:tc>
          <w:tcPr>
            <w:tcW w:w="655" w:type="pct"/>
            <w:vAlign w:val="center"/>
          </w:tcPr>
          <w:p w14:paraId="4FC67460">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cs="Times New Roman"/>
                <w:color w:val="auto"/>
                <w:kern w:val="2"/>
                <w:sz w:val="21"/>
                <w:szCs w:val="21"/>
                <w:u w:val="none"/>
                <w:lang w:bidi="ar"/>
              </w:rPr>
              <w:t>封闭剂</w:t>
            </w:r>
          </w:p>
        </w:tc>
        <w:tc>
          <w:tcPr>
            <w:tcW w:w="1173" w:type="pct"/>
            <w:vAlign w:val="center"/>
          </w:tcPr>
          <w:p w14:paraId="5660786C">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cs="Times New Roman"/>
                <w:color w:val="auto"/>
                <w:kern w:val="2"/>
                <w:sz w:val="21"/>
                <w:szCs w:val="21"/>
                <w:u w:val="none"/>
                <w:lang w:bidi="ar"/>
              </w:rPr>
              <w:t>主要成分：</w:t>
            </w:r>
            <w:r>
              <w:rPr>
                <w:rFonts w:hint="default" w:eastAsia="宋体" w:cs="Times New Roman"/>
                <w:color w:val="auto"/>
                <w:kern w:val="2"/>
                <w:sz w:val="21"/>
                <w:szCs w:val="21"/>
                <w:u w:val="none"/>
                <w:lang w:bidi="ar"/>
              </w:rPr>
              <w:t>AES</w:t>
            </w:r>
            <w:r>
              <w:rPr>
                <w:rFonts w:hint="default" w:ascii="Times New Roman" w:hAnsi="Times New Roman" w:cs="Times New Roman"/>
                <w:color w:val="auto"/>
                <w:kern w:val="2"/>
                <w:sz w:val="21"/>
                <w:szCs w:val="21"/>
                <w:u w:val="none"/>
                <w:lang w:bidi="ar"/>
              </w:rPr>
              <w:t>和甘油</w:t>
            </w:r>
          </w:p>
        </w:tc>
        <w:tc>
          <w:tcPr>
            <w:tcW w:w="542" w:type="pct"/>
            <w:vAlign w:val="center"/>
          </w:tcPr>
          <w:p w14:paraId="37BEE580">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3.1</w:t>
            </w:r>
          </w:p>
        </w:tc>
        <w:tc>
          <w:tcPr>
            <w:tcW w:w="806" w:type="pct"/>
            <w:vAlign w:val="center"/>
          </w:tcPr>
          <w:p w14:paraId="3B31EB88">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0</w:t>
            </w:r>
          </w:p>
        </w:tc>
        <w:tc>
          <w:tcPr>
            <w:tcW w:w="590" w:type="pct"/>
            <w:vAlign w:val="center"/>
          </w:tcPr>
          <w:p w14:paraId="49A81B88">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3.1</w:t>
            </w:r>
          </w:p>
        </w:tc>
        <w:tc>
          <w:tcPr>
            <w:tcW w:w="402" w:type="pct"/>
            <w:vMerge w:val="continue"/>
            <w:vAlign w:val="center"/>
          </w:tcPr>
          <w:p w14:paraId="10992A30">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p>
        </w:tc>
      </w:tr>
      <w:tr w14:paraId="4F9EB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597" w:type="pct"/>
            <w:gridSpan w:val="7"/>
            <w:vAlign w:val="center"/>
          </w:tcPr>
          <w:p w14:paraId="55B2DD58">
            <w:pPr>
              <w:widowControl/>
              <w:adjustRightInd/>
              <w:snapToGrid/>
              <w:spacing w:line="240" w:lineRule="auto"/>
              <w:ind w:firstLine="0" w:firstLineChars="0"/>
              <w:jc w:val="center"/>
              <w:textAlignment w:val="center"/>
              <w:rPr>
                <w:rFonts w:ascii="Times New Roman" w:hAnsi="Times New Roman" w:eastAsia="宋体" w:cs="Times New Roman"/>
                <w:b/>
                <w:bCs/>
                <w:color w:val="auto"/>
                <w:kern w:val="2"/>
                <w:sz w:val="21"/>
                <w:szCs w:val="21"/>
              </w:rPr>
            </w:pPr>
            <w:r>
              <w:rPr>
                <w:rFonts w:ascii="Times New Roman" w:hAnsi="Times New Roman" w:eastAsia="宋体" w:cs="Times New Roman"/>
                <w:b/>
                <w:bCs/>
                <w:color w:val="auto"/>
                <w:kern w:val="0"/>
                <w:sz w:val="21"/>
                <w:szCs w:val="21"/>
                <w:lang w:bidi="ar"/>
              </w:rPr>
              <w:t>汽车配件</w:t>
            </w:r>
          </w:p>
        </w:tc>
        <w:tc>
          <w:tcPr>
            <w:tcW w:w="402" w:type="pct"/>
            <w:vMerge w:val="continue"/>
            <w:vAlign w:val="center"/>
          </w:tcPr>
          <w:p w14:paraId="24384C66">
            <w:pPr>
              <w:widowControl/>
              <w:adjustRightInd/>
              <w:snapToGrid/>
              <w:spacing w:line="240" w:lineRule="auto"/>
              <w:ind w:firstLine="0" w:firstLineChars="0"/>
              <w:jc w:val="center"/>
              <w:textAlignment w:val="center"/>
              <w:rPr>
                <w:rFonts w:ascii="Times New Roman" w:hAnsi="Times New Roman" w:eastAsia="宋体" w:cs="Times New Roman"/>
                <w:b/>
                <w:bCs/>
                <w:color w:val="auto"/>
                <w:kern w:val="0"/>
                <w:sz w:val="21"/>
                <w:szCs w:val="21"/>
                <w:lang w:bidi="ar"/>
              </w:rPr>
            </w:pPr>
          </w:p>
        </w:tc>
      </w:tr>
      <w:tr w14:paraId="41E83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 w:type="pct"/>
            <w:vMerge w:val="restart"/>
            <w:vAlign w:val="center"/>
          </w:tcPr>
          <w:p w14:paraId="3201250B">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cs="Times New Roman"/>
                <w:color w:val="auto"/>
                <w:kern w:val="2"/>
                <w:sz w:val="21"/>
                <w:szCs w:val="21"/>
                <w:u w:val="none"/>
                <w:lang w:bidi="ar"/>
              </w:rPr>
              <w:t>机加工</w:t>
            </w:r>
          </w:p>
        </w:tc>
        <w:tc>
          <w:tcPr>
            <w:tcW w:w="1092" w:type="pct"/>
            <w:gridSpan w:val="2"/>
            <w:vAlign w:val="center"/>
          </w:tcPr>
          <w:p w14:paraId="0E622758">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cs="Times New Roman"/>
                <w:color w:val="auto"/>
                <w:kern w:val="2"/>
                <w:sz w:val="21"/>
                <w:szCs w:val="21"/>
                <w:u w:val="none"/>
                <w:lang w:bidi="ar"/>
              </w:rPr>
              <w:t>钢板</w:t>
            </w:r>
          </w:p>
        </w:tc>
        <w:tc>
          <w:tcPr>
            <w:tcW w:w="1173" w:type="pct"/>
            <w:vAlign w:val="center"/>
          </w:tcPr>
          <w:p w14:paraId="7C331AB5">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w:t>
            </w:r>
          </w:p>
        </w:tc>
        <w:tc>
          <w:tcPr>
            <w:tcW w:w="542" w:type="pct"/>
            <w:vAlign w:val="center"/>
          </w:tcPr>
          <w:p w14:paraId="5575AECC">
            <w:pPr>
              <w:keepNext w:val="0"/>
              <w:keepLines w:val="0"/>
              <w:widowControl/>
              <w:suppressLineNumbers w:val="0"/>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10070</w:t>
            </w:r>
          </w:p>
        </w:tc>
        <w:tc>
          <w:tcPr>
            <w:tcW w:w="806" w:type="pct"/>
            <w:vAlign w:val="center"/>
          </w:tcPr>
          <w:p w14:paraId="385F8D13">
            <w:pPr>
              <w:keepNext w:val="0"/>
              <w:keepLines w:val="0"/>
              <w:widowControl/>
              <w:suppressLineNumbers w:val="0"/>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4028</w:t>
            </w:r>
          </w:p>
        </w:tc>
        <w:tc>
          <w:tcPr>
            <w:tcW w:w="590" w:type="pct"/>
            <w:vAlign w:val="center"/>
          </w:tcPr>
          <w:p w14:paraId="30485817">
            <w:pPr>
              <w:keepNext w:val="0"/>
              <w:keepLines w:val="0"/>
              <w:widowControl/>
              <w:suppressLineNumbers w:val="0"/>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0</w:t>
            </w:r>
          </w:p>
        </w:tc>
        <w:tc>
          <w:tcPr>
            <w:tcW w:w="402" w:type="pct"/>
            <w:vMerge w:val="continue"/>
            <w:vAlign w:val="center"/>
          </w:tcPr>
          <w:p w14:paraId="66948B7E">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r>
      <w:tr w14:paraId="542C7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 w:type="pct"/>
            <w:vMerge w:val="continue"/>
            <w:vAlign w:val="center"/>
          </w:tcPr>
          <w:p w14:paraId="21842CDF">
            <w:pPr>
              <w:widowControl w:val="0"/>
              <w:adjustRightInd/>
              <w:snapToGrid/>
              <w:spacing w:line="240" w:lineRule="auto"/>
              <w:ind w:firstLine="0" w:firstLineChars="0"/>
              <w:jc w:val="center"/>
              <w:rPr>
                <w:rFonts w:ascii="Times New Roman" w:hAnsi="Times New Roman" w:eastAsia="宋体" w:cs="Times New Roman"/>
                <w:color w:val="auto"/>
                <w:kern w:val="2"/>
                <w:sz w:val="21"/>
                <w:szCs w:val="21"/>
              </w:rPr>
            </w:pPr>
          </w:p>
        </w:tc>
        <w:tc>
          <w:tcPr>
            <w:tcW w:w="1092" w:type="pct"/>
            <w:gridSpan w:val="2"/>
            <w:vAlign w:val="center"/>
          </w:tcPr>
          <w:p w14:paraId="1B1AD3CA">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cs="Times New Roman"/>
                <w:color w:val="auto"/>
                <w:kern w:val="2"/>
                <w:sz w:val="21"/>
                <w:szCs w:val="21"/>
                <w:u w:val="none"/>
                <w:lang w:bidi="ar"/>
              </w:rPr>
              <w:t>卡钳毛坯件</w:t>
            </w:r>
          </w:p>
        </w:tc>
        <w:tc>
          <w:tcPr>
            <w:tcW w:w="1173" w:type="pct"/>
            <w:vAlign w:val="center"/>
          </w:tcPr>
          <w:p w14:paraId="6080781C">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w:t>
            </w:r>
          </w:p>
        </w:tc>
        <w:tc>
          <w:tcPr>
            <w:tcW w:w="542" w:type="pct"/>
            <w:vAlign w:val="center"/>
          </w:tcPr>
          <w:p w14:paraId="219DAF38">
            <w:pPr>
              <w:keepNext w:val="0"/>
              <w:keepLines w:val="0"/>
              <w:widowControl/>
              <w:suppressLineNumbers w:val="0"/>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10050</w:t>
            </w:r>
          </w:p>
        </w:tc>
        <w:tc>
          <w:tcPr>
            <w:tcW w:w="806" w:type="pct"/>
            <w:vAlign w:val="center"/>
          </w:tcPr>
          <w:p w14:paraId="70EC26A3">
            <w:pPr>
              <w:keepNext w:val="0"/>
              <w:keepLines w:val="0"/>
              <w:widowControl/>
              <w:suppressLineNumbers w:val="0"/>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4020</w:t>
            </w:r>
          </w:p>
        </w:tc>
        <w:tc>
          <w:tcPr>
            <w:tcW w:w="590" w:type="pct"/>
            <w:vAlign w:val="center"/>
          </w:tcPr>
          <w:p w14:paraId="00F584A7">
            <w:pPr>
              <w:keepNext w:val="0"/>
              <w:keepLines w:val="0"/>
              <w:widowControl/>
              <w:suppressLineNumbers w:val="0"/>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0</w:t>
            </w:r>
          </w:p>
        </w:tc>
        <w:tc>
          <w:tcPr>
            <w:tcW w:w="402" w:type="pct"/>
            <w:vMerge w:val="continue"/>
            <w:vAlign w:val="center"/>
          </w:tcPr>
          <w:p w14:paraId="34217782">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r>
      <w:tr w14:paraId="5BC22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 w:type="pct"/>
            <w:vMerge w:val="continue"/>
            <w:vAlign w:val="center"/>
          </w:tcPr>
          <w:p w14:paraId="28EF70A5">
            <w:pPr>
              <w:widowControl w:val="0"/>
              <w:adjustRightInd/>
              <w:snapToGrid/>
              <w:spacing w:line="240" w:lineRule="auto"/>
              <w:ind w:firstLine="0" w:firstLineChars="0"/>
              <w:jc w:val="center"/>
              <w:rPr>
                <w:rFonts w:ascii="Times New Roman" w:hAnsi="Times New Roman" w:eastAsia="宋体" w:cs="Times New Roman"/>
                <w:color w:val="auto"/>
                <w:kern w:val="2"/>
                <w:sz w:val="21"/>
                <w:szCs w:val="21"/>
              </w:rPr>
            </w:pPr>
          </w:p>
        </w:tc>
        <w:tc>
          <w:tcPr>
            <w:tcW w:w="1092" w:type="pct"/>
            <w:gridSpan w:val="2"/>
            <w:vAlign w:val="center"/>
          </w:tcPr>
          <w:p w14:paraId="74DB8C9E">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cs="Times New Roman"/>
                <w:color w:val="auto"/>
                <w:kern w:val="2"/>
                <w:sz w:val="21"/>
                <w:szCs w:val="21"/>
                <w:u w:val="none"/>
                <w:lang w:bidi="ar"/>
              </w:rPr>
              <w:t>外购密封圈</w:t>
            </w:r>
          </w:p>
        </w:tc>
        <w:tc>
          <w:tcPr>
            <w:tcW w:w="1173" w:type="pct"/>
            <w:vAlign w:val="center"/>
          </w:tcPr>
          <w:p w14:paraId="08FB0E7C">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w:t>
            </w:r>
          </w:p>
        </w:tc>
        <w:tc>
          <w:tcPr>
            <w:tcW w:w="542" w:type="pct"/>
            <w:vAlign w:val="center"/>
          </w:tcPr>
          <w:p w14:paraId="1D79EF58">
            <w:pPr>
              <w:keepNext w:val="0"/>
              <w:keepLines w:val="0"/>
              <w:widowControl/>
              <w:suppressLineNumbers w:val="0"/>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60</w:t>
            </w:r>
          </w:p>
        </w:tc>
        <w:tc>
          <w:tcPr>
            <w:tcW w:w="806" w:type="pct"/>
            <w:vAlign w:val="center"/>
          </w:tcPr>
          <w:p w14:paraId="5C1C7405">
            <w:pPr>
              <w:keepNext w:val="0"/>
              <w:keepLines w:val="0"/>
              <w:widowControl/>
              <w:suppressLineNumbers w:val="0"/>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24</w:t>
            </w:r>
          </w:p>
        </w:tc>
        <w:tc>
          <w:tcPr>
            <w:tcW w:w="590" w:type="pct"/>
            <w:vAlign w:val="center"/>
          </w:tcPr>
          <w:p w14:paraId="0E4AABC8">
            <w:pPr>
              <w:keepNext w:val="0"/>
              <w:keepLines w:val="0"/>
              <w:widowControl/>
              <w:suppressLineNumbers w:val="0"/>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0</w:t>
            </w:r>
          </w:p>
        </w:tc>
        <w:tc>
          <w:tcPr>
            <w:tcW w:w="402" w:type="pct"/>
            <w:vMerge w:val="continue"/>
            <w:vAlign w:val="center"/>
          </w:tcPr>
          <w:p w14:paraId="62561744">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r>
      <w:tr w14:paraId="03FB7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 w:type="pct"/>
            <w:vMerge w:val="continue"/>
            <w:vAlign w:val="center"/>
          </w:tcPr>
          <w:p w14:paraId="64C6EE71">
            <w:pPr>
              <w:widowControl w:val="0"/>
              <w:adjustRightInd/>
              <w:snapToGrid/>
              <w:spacing w:line="240" w:lineRule="auto"/>
              <w:ind w:firstLine="0" w:firstLineChars="0"/>
              <w:jc w:val="center"/>
              <w:rPr>
                <w:rFonts w:ascii="Times New Roman" w:hAnsi="Times New Roman" w:eastAsia="宋体" w:cs="Times New Roman"/>
                <w:color w:val="auto"/>
                <w:kern w:val="2"/>
                <w:sz w:val="21"/>
                <w:szCs w:val="21"/>
              </w:rPr>
            </w:pPr>
          </w:p>
        </w:tc>
        <w:tc>
          <w:tcPr>
            <w:tcW w:w="1092" w:type="pct"/>
            <w:gridSpan w:val="2"/>
            <w:vAlign w:val="center"/>
          </w:tcPr>
          <w:p w14:paraId="0FF22CF0">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cs="Times New Roman"/>
                <w:color w:val="auto"/>
                <w:kern w:val="2"/>
                <w:sz w:val="21"/>
                <w:szCs w:val="21"/>
                <w:u w:val="none"/>
                <w:lang w:bidi="ar"/>
              </w:rPr>
              <w:t>切削液</w:t>
            </w:r>
          </w:p>
        </w:tc>
        <w:tc>
          <w:tcPr>
            <w:tcW w:w="1173" w:type="pct"/>
            <w:vAlign w:val="center"/>
          </w:tcPr>
          <w:p w14:paraId="56A96C8E">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w:t>
            </w:r>
          </w:p>
        </w:tc>
        <w:tc>
          <w:tcPr>
            <w:tcW w:w="542" w:type="pct"/>
            <w:vAlign w:val="center"/>
          </w:tcPr>
          <w:p w14:paraId="17F21CC5">
            <w:pPr>
              <w:keepNext w:val="0"/>
              <w:keepLines w:val="0"/>
              <w:widowControl/>
              <w:suppressLineNumbers w:val="0"/>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0.8</w:t>
            </w:r>
          </w:p>
        </w:tc>
        <w:tc>
          <w:tcPr>
            <w:tcW w:w="806" w:type="pct"/>
            <w:vAlign w:val="center"/>
          </w:tcPr>
          <w:p w14:paraId="51329AD4">
            <w:pPr>
              <w:keepNext w:val="0"/>
              <w:keepLines w:val="0"/>
              <w:widowControl/>
              <w:suppressLineNumbers w:val="0"/>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0.32</w:t>
            </w:r>
          </w:p>
        </w:tc>
        <w:tc>
          <w:tcPr>
            <w:tcW w:w="590" w:type="pct"/>
            <w:vAlign w:val="center"/>
          </w:tcPr>
          <w:p w14:paraId="1C2AD9C2">
            <w:pPr>
              <w:keepNext w:val="0"/>
              <w:keepLines w:val="0"/>
              <w:widowControl/>
              <w:suppressLineNumbers w:val="0"/>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0</w:t>
            </w:r>
          </w:p>
        </w:tc>
        <w:tc>
          <w:tcPr>
            <w:tcW w:w="402" w:type="pct"/>
            <w:vMerge w:val="continue"/>
            <w:vAlign w:val="center"/>
          </w:tcPr>
          <w:p w14:paraId="7F2FC45A">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r>
      <w:tr w14:paraId="2794A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 w:type="pct"/>
            <w:vMerge w:val="restart"/>
            <w:vAlign w:val="center"/>
          </w:tcPr>
          <w:p w14:paraId="32F19EBB">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cs="Times New Roman"/>
                <w:color w:val="auto"/>
                <w:kern w:val="2"/>
                <w:sz w:val="21"/>
                <w:szCs w:val="21"/>
                <w:u w:val="none"/>
                <w:lang w:bidi="ar"/>
              </w:rPr>
              <w:t>挂镀锌</w:t>
            </w:r>
          </w:p>
        </w:tc>
        <w:tc>
          <w:tcPr>
            <w:tcW w:w="437" w:type="pct"/>
            <w:vMerge w:val="restart"/>
            <w:vAlign w:val="center"/>
          </w:tcPr>
          <w:p w14:paraId="16067B52">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cs="Times New Roman"/>
                <w:color w:val="auto"/>
                <w:kern w:val="2"/>
                <w:sz w:val="21"/>
                <w:szCs w:val="21"/>
                <w:u w:val="none"/>
                <w:lang w:bidi="ar"/>
              </w:rPr>
              <w:t>除油</w:t>
            </w:r>
          </w:p>
        </w:tc>
        <w:tc>
          <w:tcPr>
            <w:tcW w:w="655" w:type="pct"/>
            <w:vAlign w:val="center"/>
          </w:tcPr>
          <w:p w14:paraId="75A8A3B6">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cs="Times New Roman"/>
                <w:color w:val="auto"/>
                <w:kern w:val="2"/>
                <w:sz w:val="21"/>
                <w:szCs w:val="21"/>
                <w:u w:val="none"/>
                <w:lang w:bidi="ar"/>
              </w:rPr>
              <w:t>脱脂剂</w:t>
            </w:r>
          </w:p>
        </w:tc>
        <w:tc>
          <w:tcPr>
            <w:tcW w:w="1173" w:type="pct"/>
            <w:vAlign w:val="center"/>
          </w:tcPr>
          <w:p w14:paraId="56023BB4">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cs="Times New Roman"/>
                <w:color w:val="auto"/>
                <w:kern w:val="2"/>
                <w:sz w:val="21"/>
                <w:szCs w:val="21"/>
                <w:u w:val="none"/>
                <w:lang w:bidi="ar"/>
              </w:rPr>
              <w:t>以碳酸钠弱碱性盐为主</w:t>
            </w:r>
          </w:p>
        </w:tc>
        <w:tc>
          <w:tcPr>
            <w:tcW w:w="542" w:type="pct"/>
            <w:vAlign w:val="center"/>
          </w:tcPr>
          <w:p w14:paraId="26087012">
            <w:pPr>
              <w:keepNext w:val="0"/>
              <w:keepLines w:val="0"/>
              <w:widowControl/>
              <w:suppressLineNumbers w:val="0"/>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1.8</w:t>
            </w:r>
          </w:p>
        </w:tc>
        <w:tc>
          <w:tcPr>
            <w:tcW w:w="806" w:type="pct"/>
            <w:vAlign w:val="center"/>
          </w:tcPr>
          <w:p w14:paraId="65A972B5">
            <w:pPr>
              <w:keepNext w:val="0"/>
              <w:keepLines w:val="0"/>
              <w:widowControl/>
              <w:suppressLineNumbers w:val="0"/>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0.72</w:t>
            </w:r>
          </w:p>
        </w:tc>
        <w:tc>
          <w:tcPr>
            <w:tcW w:w="590" w:type="pct"/>
            <w:vAlign w:val="center"/>
          </w:tcPr>
          <w:p w14:paraId="34FD0612">
            <w:pPr>
              <w:keepNext w:val="0"/>
              <w:keepLines w:val="0"/>
              <w:widowControl/>
              <w:suppressLineNumbers w:val="0"/>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0</w:t>
            </w:r>
          </w:p>
        </w:tc>
        <w:tc>
          <w:tcPr>
            <w:tcW w:w="402" w:type="pct"/>
            <w:vMerge w:val="continue"/>
            <w:vAlign w:val="center"/>
          </w:tcPr>
          <w:p w14:paraId="057BDDAD">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r>
      <w:tr w14:paraId="6F4EA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 w:type="pct"/>
            <w:vMerge w:val="continue"/>
            <w:vAlign w:val="center"/>
          </w:tcPr>
          <w:p w14:paraId="63DD4D94">
            <w:pPr>
              <w:widowControl w:val="0"/>
              <w:adjustRightInd/>
              <w:snapToGrid/>
              <w:spacing w:line="240" w:lineRule="auto"/>
              <w:ind w:firstLine="0" w:firstLineChars="0"/>
              <w:jc w:val="center"/>
              <w:rPr>
                <w:rFonts w:ascii="Times New Roman" w:hAnsi="Times New Roman" w:eastAsia="宋体" w:cs="Times New Roman"/>
                <w:color w:val="auto"/>
                <w:kern w:val="2"/>
                <w:sz w:val="21"/>
                <w:szCs w:val="21"/>
              </w:rPr>
            </w:pPr>
          </w:p>
        </w:tc>
        <w:tc>
          <w:tcPr>
            <w:tcW w:w="437" w:type="pct"/>
            <w:vMerge w:val="continue"/>
            <w:vAlign w:val="center"/>
          </w:tcPr>
          <w:p w14:paraId="6997C8A7">
            <w:pPr>
              <w:widowControl w:val="0"/>
              <w:adjustRightInd/>
              <w:snapToGrid/>
              <w:spacing w:line="240" w:lineRule="auto"/>
              <w:ind w:firstLine="0" w:firstLineChars="0"/>
              <w:jc w:val="center"/>
              <w:rPr>
                <w:rFonts w:ascii="Times New Roman" w:hAnsi="Times New Roman" w:eastAsia="宋体" w:cs="Times New Roman"/>
                <w:color w:val="auto"/>
                <w:kern w:val="2"/>
                <w:sz w:val="21"/>
                <w:szCs w:val="21"/>
              </w:rPr>
            </w:pPr>
          </w:p>
        </w:tc>
        <w:tc>
          <w:tcPr>
            <w:tcW w:w="655" w:type="pct"/>
            <w:vAlign w:val="center"/>
          </w:tcPr>
          <w:p w14:paraId="62B449F9">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cs="Times New Roman"/>
                <w:color w:val="auto"/>
                <w:kern w:val="2"/>
                <w:sz w:val="21"/>
                <w:szCs w:val="21"/>
                <w:u w:val="none"/>
                <w:lang w:bidi="ar"/>
              </w:rPr>
              <w:t>氢氧化钠</w:t>
            </w:r>
          </w:p>
        </w:tc>
        <w:tc>
          <w:tcPr>
            <w:tcW w:w="1173" w:type="pct"/>
            <w:vAlign w:val="center"/>
          </w:tcPr>
          <w:p w14:paraId="3A5DA427">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99%</w:t>
            </w:r>
          </w:p>
        </w:tc>
        <w:tc>
          <w:tcPr>
            <w:tcW w:w="542" w:type="pct"/>
            <w:vAlign w:val="center"/>
          </w:tcPr>
          <w:p w14:paraId="416129F1">
            <w:pPr>
              <w:keepNext w:val="0"/>
              <w:keepLines w:val="0"/>
              <w:widowControl/>
              <w:suppressLineNumbers w:val="0"/>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2.1</w:t>
            </w:r>
          </w:p>
        </w:tc>
        <w:tc>
          <w:tcPr>
            <w:tcW w:w="806" w:type="pct"/>
            <w:vAlign w:val="center"/>
          </w:tcPr>
          <w:p w14:paraId="49F14CB6">
            <w:pPr>
              <w:keepNext w:val="0"/>
              <w:keepLines w:val="0"/>
              <w:widowControl/>
              <w:suppressLineNumbers w:val="0"/>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0.84</w:t>
            </w:r>
          </w:p>
        </w:tc>
        <w:tc>
          <w:tcPr>
            <w:tcW w:w="590" w:type="pct"/>
            <w:vAlign w:val="center"/>
          </w:tcPr>
          <w:p w14:paraId="4EA58BD2">
            <w:pPr>
              <w:keepNext w:val="0"/>
              <w:keepLines w:val="0"/>
              <w:widowControl/>
              <w:suppressLineNumbers w:val="0"/>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0</w:t>
            </w:r>
          </w:p>
        </w:tc>
        <w:tc>
          <w:tcPr>
            <w:tcW w:w="402" w:type="pct"/>
            <w:vMerge w:val="continue"/>
            <w:vAlign w:val="center"/>
          </w:tcPr>
          <w:p w14:paraId="5C853034">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r>
      <w:tr w14:paraId="094B1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 w:type="pct"/>
            <w:vMerge w:val="continue"/>
            <w:vAlign w:val="center"/>
          </w:tcPr>
          <w:p w14:paraId="25954888">
            <w:pPr>
              <w:widowControl w:val="0"/>
              <w:adjustRightInd/>
              <w:snapToGrid/>
              <w:spacing w:line="240" w:lineRule="auto"/>
              <w:ind w:firstLine="0" w:firstLineChars="0"/>
              <w:jc w:val="center"/>
              <w:rPr>
                <w:rFonts w:ascii="Times New Roman" w:hAnsi="Times New Roman" w:eastAsia="宋体" w:cs="Times New Roman"/>
                <w:color w:val="auto"/>
                <w:kern w:val="2"/>
                <w:sz w:val="21"/>
                <w:szCs w:val="21"/>
              </w:rPr>
            </w:pPr>
          </w:p>
        </w:tc>
        <w:tc>
          <w:tcPr>
            <w:tcW w:w="437" w:type="pct"/>
            <w:vAlign w:val="center"/>
          </w:tcPr>
          <w:p w14:paraId="40AEC32A">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cs="Times New Roman"/>
                <w:color w:val="auto"/>
                <w:kern w:val="2"/>
                <w:sz w:val="21"/>
                <w:szCs w:val="21"/>
                <w:u w:val="none"/>
                <w:lang w:bidi="ar"/>
              </w:rPr>
              <w:t>活化、酸洗</w:t>
            </w:r>
          </w:p>
        </w:tc>
        <w:tc>
          <w:tcPr>
            <w:tcW w:w="655" w:type="pct"/>
            <w:vAlign w:val="center"/>
          </w:tcPr>
          <w:p w14:paraId="72E6BB76">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cs="Times New Roman"/>
                <w:color w:val="auto"/>
                <w:kern w:val="2"/>
                <w:sz w:val="21"/>
                <w:szCs w:val="21"/>
                <w:u w:val="none"/>
                <w:lang w:bidi="ar"/>
              </w:rPr>
              <w:t>盐酸</w:t>
            </w:r>
          </w:p>
        </w:tc>
        <w:tc>
          <w:tcPr>
            <w:tcW w:w="1173" w:type="pct"/>
            <w:vAlign w:val="center"/>
          </w:tcPr>
          <w:p w14:paraId="69478F6E">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30%</w:t>
            </w:r>
          </w:p>
        </w:tc>
        <w:tc>
          <w:tcPr>
            <w:tcW w:w="542" w:type="pct"/>
            <w:vAlign w:val="center"/>
          </w:tcPr>
          <w:p w14:paraId="774118EA">
            <w:pPr>
              <w:keepNext w:val="0"/>
              <w:keepLines w:val="0"/>
              <w:widowControl/>
              <w:suppressLineNumbers w:val="0"/>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5.2</w:t>
            </w:r>
          </w:p>
        </w:tc>
        <w:tc>
          <w:tcPr>
            <w:tcW w:w="806" w:type="pct"/>
            <w:vAlign w:val="center"/>
          </w:tcPr>
          <w:p w14:paraId="240ED069">
            <w:pPr>
              <w:keepNext w:val="0"/>
              <w:keepLines w:val="0"/>
              <w:widowControl/>
              <w:suppressLineNumbers w:val="0"/>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2.08</w:t>
            </w:r>
          </w:p>
        </w:tc>
        <w:tc>
          <w:tcPr>
            <w:tcW w:w="590" w:type="pct"/>
            <w:vAlign w:val="center"/>
          </w:tcPr>
          <w:p w14:paraId="79EBAD3F">
            <w:pPr>
              <w:keepNext w:val="0"/>
              <w:keepLines w:val="0"/>
              <w:widowControl/>
              <w:suppressLineNumbers w:val="0"/>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0</w:t>
            </w:r>
          </w:p>
        </w:tc>
        <w:tc>
          <w:tcPr>
            <w:tcW w:w="402" w:type="pct"/>
            <w:vMerge w:val="continue"/>
            <w:vAlign w:val="center"/>
          </w:tcPr>
          <w:p w14:paraId="5361C10F">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r>
      <w:tr w14:paraId="56D00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 w:type="pct"/>
            <w:vMerge w:val="continue"/>
            <w:vAlign w:val="center"/>
          </w:tcPr>
          <w:p w14:paraId="0DBF5630">
            <w:pPr>
              <w:widowControl w:val="0"/>
              <w:adjustRightInd/>
              <w:snapToGrid/>
              <w:spacing w:line="240" w:lineRule="auto"/>
              <w:ind w:firstLine="0" w:firstLineChars="0"/>
              <w:jc w:val="center"/>
              <w:rPr>
                <w:rFonts w:ascii="Times New Roman" w:hAnsi="Times New Roman" w:eastAsia="宋体" w:cs="Times New Roman"/>
                <w:color w:val="auto"/>
                <w:kern w:val="2"/>
                <w:sz w:val="21"/>
                <w:szCs w:val="21"/>
              </w:rPr>
            </w:pPr>
          </w:p>
        </w:tc>
        <w:tc>
          <w:tcPr>
            <w:tcW w:w="437" w:type="pct"/>
            <w:vMerge w:val="restart"/>
            <w:vAlign w:val="center"/>
          </w:tcPr>
          <w:p w14:paraId="42DD330F">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cs="Times New Roman"/>
                <w:color w:val="auto"/>
                <w:kern w:val="2"/>
                <w:sz w:val="21"/>
                <w:szCs w:val="21"/>
                <w:u w:val="none"/>
                <w:lang w:bidi="ar"/>
              </w:rPr>
              <w:t>镀锌</w:t>
            </w:r>
          </w:p>
        </w:tc>
        <w:tc>
          <w:tcPr>
            <w:tcW w:w="655" w:type="pct"/>
            <w:vAlign w:val="center"/>
          </w:tcPr>
          <w:p w14:paraId="5B45A23A">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cs="Times New Roman"/>
                <w:color w:val="auto"/>
                <w:kern w:val="2"/>
                <w:sz w:val="21"/>
                <w:szCs w:val="21"/>
                <w:u w:val="none"/>
                <w:lang w:bidi="ar"/>
              </w:rPr>
              <w:t>锌锭</w:t>
            </w:r>
          </w:p>
        </w:tc>
        <w:tc>
          <w:tcPr>
            <w:tcW w:w="1173" w:type="pct"/>
            <w:vAlign w:val="center"/>
          </w:tcPr>
          <w:p w14:paraId="3C17D92A">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≥99.9%</w:t>
            </w:r>
          </w:p>
        </w:tc>
        <w:tc>
          <w:tcPr>
            <w:tcW w:w="542" w:type="pct"/>
            <w:vAlign w:val="center"/>
          </w:tcPr>
          <w:p w14:paraId="60AA89A4">
            <w:pPr>
              <w:keepNext w:val="0"/>
              <w:keepLines w:val="0"/>
              <w:widowControl/>
              <w:suppressLineNumbers w:val="0"/>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57.1183</w:t>
            </w:r>
          </w:p>
        </w:tc>
        <w:tc>
          <w:tcPr>
            <w:tcW w:w="806" w:type="pct"/>
            <w:vAlign w:val="center"/>
          </w:tcPr>
          <w:p w14:paraId="40C67BC8">
            <w:pPr>
              <w:keepNext w:val="0"/>
              <w:keepLines w:val="0"/>
              <w:widowControl/>
              <w:suppressLineNumbers w:val="0"/>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 xml:space="preserve">22.8473 </w:t>
            </w:r>
          </w:p>
        </w:tc>
        <w:tc>
          <w:tcPr>
            <w:tcW w:w="590" w:type="pct"/>
            <w:vAlign w:val="center"/>
          </w:tcPr>
          <w:p w14:paraId="77C5B104">
            <w:pPr>
              <w:keepNext w:val="0"/>
              <w:keepLines w:val="0"/>
              <w:widowControl/>
              <w:suppressLineNumbers w:val="0"/>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0</w:t>
            </w:r>
          </w:p>
        </w:tc>
        <w:tc>
          <w:tcPr>
            <w:tcW w:w="402" w:type="pct"/>
            <w:vMerge w:val="continue"/>
            <w:vAlign w:val="center"/>
          </w:tcPr>
          <w:p w14:paraId="31153870">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r>
      <w:tr w14:paraId="7F593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 w:type="pct"/>
            <w:vMerge w:val="continue"/>
            <w:vAlign w:val="center"/>
          </w:tcPr>
          <w:p w14:paraId="646BDD00">
            <w:pPr>
              <w:widowControl w:val="0"/>
              <w:adjustRightInd/>
              <w:snapToGrid/>
              <w:spacing w:line="240" w:lineRule="auto"/>
              <w:ind w:firstLine="0" w:firstLineChars="0"/>
              <w:jc w:val="center"/>
              <w:rPr>
                <w:rFonts w:ascii="Times New Roman" w:hAnsi="Times New Roman" w:eastAsia="宋体" w:cs="Times New Roman"/>
                <w:color w:val="auto"/>
                <w:kern w:val="2"/>
                <w:sz w:val="21"/>
                <w:szCs w:val="21"/>
              </w:rPr>
            </w:pPr>
          </w:p>
        </w:tc>
        <w:tc>
          <w:tcPr>
            <w:tcW w:w="437" w:type="pct"/>
            <w:vMerge w:val="continue"/>
            <w:vAlign w:val="center"/>
          </w:tcPr>
          <w:p w14:paraId="05FD1A17">
            <w:pPr>
              <w:widowControl w:val="0"/>
              <w:adjustRightInd/>
              <w:snapToGrid/>
              <w:spacing w:line="240" w:lineRule="auto"/>
              <w:ind w:firstLine="0" w:firstLineChars="0"/>
              <w:jc w:val="center"/>
              <w:rPr>
                <w:rFonts w:ascii="Times New Roman" w:hAnsi="Times New Roman" w:eastAsia="宋体" w:cs="Times New Roman"/>
                <w:color w:val="auto"/>
                <w:kern w:val="2"/>
                <w:sz w:val="21"/>
                <w:szCs w:val="21"/>
              </w:rPr>
            </w:pPr>
          </w:p>
        </w:tc>
        <w:tc>
          <w:tcPr>
            <w:tcW w:w="655" w:type="pct"/>
            <w:vAlign w:val="center"/>
          </w:tcPr>
          <w:p w14:paraId="55EDA111">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cs="Times New Roman"/>
                <w:color w:val="auto"/>
                <w:kern w:val="2"/>
                <w:sz w:val="21"/>
                <w:szCs w:val="21"/>
                <w:u w:val="none"/>
                <w:lang w:bidi="ar"/>
              </w:rPr>
              <w:t>氧化锌</w:t>
            </w:r>
          </w:p>
        </w:tc>
        <w:tc>
          <w:tcPr>
            <w:tcW w:w="1173" w:type="pct"/>
            <w:vAlign w:val="center"/>
          </w:tcPr>
          <w:p w14:paraId="2F664410">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≥99.9%</w:t>
            </w:r>
          </w:p>
        </w:tc>
        <w:tc>
          <w:tcPr>
            <w:tcW w:w="542" w:type="pct"/>
            <w:vAlign w:val="center"/>
          </w:tcPr>
          <w:p w14:paraId="076A848F">
            <w:pPr>
              <w:keepNext w:val="0"/>
              <w:keepLines w:val="0"/>
              <w:widowControl/>
              <w:suppressLineNumbers w:val="0"/>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2.1987</w:t>
            </w:r>
          </w:p>
        </w:tc>
        <w:tc>
          <w:tcPr>
            <w:tcW w:w="806" w:type="pct"/>
            <w:vAlign w:val="center"/>
          </w:tcPr>
          <w:p w14:paraId="6912EA74">
            <w:pPr>
              <w:keepNext w:val="0"/>
              <w:keepLines w:val="0"/>
              <w:widowControl/>
              <w:suppressLineNumbers w:val="0"/>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 xml:space="preserve">0.8795 </w:t>
            </w:r>
          </w:p>
        </w:tc>
        <w:tc>
          <w:tcPr>
            <w:tcW w:w="590" w:type="pct"/>
            <w:vAlign w:val="center"/>
          </w:tcPr>
          <w:p w14:paraId="36065327">
            <w:pPr>
              <w:keepNext w:val="0"/>
              <w:keepLines w:val="0"/>
              <w:widowControl/>
              <w:suppressLineNumbers w:val="0"/>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0</w:t>
            </w:r>
          </w:p>
        </w:tc>
        <w:tc>
          <w:tcPr>
            <w:tcW w:w="402" w:type="pct"/>
            <w:vMerge w:val="continue"/>
            <w:vAlign w:val="center"/>
          </w:tcPr>
          <w:p w14:paraId="4A42AF1A">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r>
      <w:tr w14:paraId="1C5CB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 w:type="pct"/>
            <w:vMerge w:val="continue"/>
            <w:vAlign w:val="center"/>
          </w:tcPr>
          <w:p w14:paraId="42C88B43">
            <w:pPr>
              <w:widowControl w:val="0"/>
              <w:adjustRightInd/>
              <w:snapToGrid/>
              <w:spacing w:line="240" w:lineRule="auto"/>
              <w:ind w:firstLine="0" w:firstLineChars="0"/>
              <w:jc w:val="center"/>
              <w:rPr>
                <w:rFonts w:ascii="Times New Roman" w:hAnsi="Times New Roman" w:eastAsia="宋体" w:cs="Times New Roman"/>
                <w:color w:val="auto"/>
                <w:kern w:val="2"/>
                <w:sz w:val="21"/>
                <w:szCs w:val="21"/>
              </w:rPr>
            </w:pPr>
          </w:p>
        </w:tc>
        <w:tc>
          <w:tcPr>
            <w:tcW w:w="437" w:type="pct"/>
            <w:vMerge w:val="continue"/>
            <w:vAlign w:val="center"/>
          </w:tcPr>
          <w:p w14:paraId="306EBF26">
            <w:pPr>
              <w:widowControl w:val="0"/>
              <w:adjustRightInd/>
              <w:snapToGrid/>
              <w:spacing w:line="240" w:lineRule="auto"/>
              <w:ind w:firstLine="0" w:firstLineChars="0"/>
              <w:jc w:val="center"/>
              <w:rPr>
                <w:rFonts w:ascii="Times New Roman" w:hAnsi="Times New Roman" w:eastAsia="宋体" w:cs="Times New Roman"/>
                <w:color w:val="auto"/>
                <w:kern w:val="2"/>
                <w:sz w:val="21"/>
                <w:szCs w:val="21"/>
              </w:rPr>
            </w:pPr>
          </w:p>
        </w:tc>
        <w:tc>
          <w:tcPr>
            <w:tcW w:w="655" w:type="pct"/>
            <w:vAlign w:val="center"/>
          </w:tcPr>
          <w:p w14:paraId="1BC0E257">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cs="Times New Roman"/>
                <w:color w:val="auto"/>
                <w:kern w:val="2"/>
                <w:sz w:val="21"/>
                <w:szCs w:val="21"/>
                <w:u w:val="none"/>
                <w:lang w:bidi="ar"/>
              </w:rPr>
              <w:t>氢氧化钠</w:t>
            </w:r>
          </w:p>
        </w:tc>
        <w:tc>
          <w:tcPr>
            <w:tcW w:w="1173" w:type="pct"/>
            <w:vAlign w:val="center"/>
          </w:tcPr>
          <w:p w14:paraId="111F8111">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≥99.5%</w:t>
            </w:r>
          </w:p>
        </w:tc>
        <w:tc>
          <w:tcPr>
            <w:tcW w:w="542" w:type="pct"/>
            <w:vAlign w:val="center"/>
          </w:tcPr>
          <w:p w14:paraId="747CD78E">
            <w:pPr>
              <w:keepNext w:val="0"/>
              <w:keepLines w:val="0"/>
              <w:widowControl/>
              <w:suppressLineNumbers w:val="0"/>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4.5</w:t>
            </w:r>
          </w:p>
        </w:tc>
        <w:tc>
          <w:tcPr>
            <w:tcW w:w="806" w:type="pct"/>
            <w:vAlign w:val="center"/>
          </w:tcPr>
          <w:p w14:paraId="00F10606">
            <w:pPr>
              <w:keepNext w:val="0"/>
              <w:keepLines w:val="0"/>
              <w:widowControl/>
              <w:suppressLineNumbers w:val="0"/>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1.8</w:t>
            </w:r>
          </w:p>
        </w:tc>
        <w:tc>
          <w:tcPr>
            <w:tcW w:w="590" w:type="pct"/>
            <w:vAlign w:val="center"/>
          </w:tcPr>
          <w:p w14:paraId="30B0A8A2">
            <w:pPr>
              <w:keepNext w:val="0"/>
              <w:keepLines w:val="0"/>
              <w:widowControl/>
              <w:suppressLineNumbers w:val="0"/>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0</w:t>
            </w:r>
          </w:p>
        </w:tc>
        <w:tc>
          <w:tcPr>
            <w:tcW w:w="402" w:type="pct"/>
            <w:vMerge w:val="continue"/>
            <w:vAlign w:val="center"/>
          </w:tcPr>
          <w:p w14:paraId="04E6B143">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r>
      <w:tr w14:paraId="7F76E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 w:type="pct"/>
            <w:vMerge w:val="continue"/>
            <w:vAlign w:val="center"/>
          </w:tcPr>
          <w:p w14:paraId="66642118">
            <w:pPr>
              <w:widowControl w:val="0"/>
              <w:adjustRightInd/>
              <w:snapToGrid/>
              <w:spacing w:line="240" w:lineRule="auto"/>
              <w:ind w:firstLine="0" w:firstLineChars="0"/>
              <w:jc w:val="center"/>
              <w:rPr>
                <w:rFonts w:ascii="Times New Roman" w:hAnsi="Times New Roman" w:eastAsia="宋体" w:cs="Times New Roman"/>
                <w:color w:val="auto"/>
                <w:kern w:val="2"/>
                <w:sz w:val="21"/>
                <w:szCs w:val="21"/>
              </w:rPr>
            </w:pPr>
          </w:p>
        </w:tc>
        <w:tc>
          <w:tcPr>
            <w:tcW w:w="437" w:type="pct"/>
            <w:vMerge w:val="continue"/>
            <w:vAlign w:val="center"/>
          </w:tcPr>
          <w:p w14:paraId="0F846E03">
            <w:pPr>
              <w:widowControl w:val="0"/>
              <w:adjustRightInd/>
              <w:snapToGrid/>
              <w:spacing w:line="240" w:lineRule="auto"/>
              <w:ind w:firstLine="0" w:firstLineChars="0"/>
              <w:jc w:val="center"/>
              <w:rPr>
                <w:rFonts w:ascii="Times New Roman" w:hAnsi="Times New Roman" w:eastAsia="宋体" w:cs="Times New Roman"/>
                <w:color w:val="auto"/>
                <w:kern w:val="2"/>
                <w:sz w:val="21"/>
                <w:szCs w:val="21"/>
              </w:rPr>
            </w:pPr>
          </w:p>
        </w:tc>
        <w:tc>
          <w:tcPr>
            <w:tcW w:w="655" w:type="pct"/>
            <w:vAlign w:val="center"/>
          </w:tcPr>
          <w:p w14:paraId="5298E49C">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cs="Times New Roman"/>
                <w:color w:val="auto"/>
                <w:kern w:val="2"/>
                <w:sz w:val="21"/>
                <w:szCs w:val="21"/>
                <w:u w:val="none"/>
                <w:lang w:bidi="ar"/>
              </w:rPr>
              <w:t>光亮剂</w:t>
            </w:r>
          </w:p>
        </w:tc>
        <w:tc>
          <w:tcPr>
            <w:tcW w:w="1173" w:type="pct"/>
            <w:vAlign w:val="center"/>
          </w:tcPr>
          <w:p w14:paraId="54A56C07">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NCZ-007</w:t>
            </w:r>
          </w:p>
        </w:tc>
        <w:tc>
          <w:tcPr>
            <w:tcW w:w="542" w:type="pct"/>
            <w:vAlign w:val="center"/>
          </w:tcPr>
          <w:p w14:paraId="2AEAA31F">
            <w:pPr>
              <w:keepNext w:val="0"/>
              <w:keepLines w:val="0"/>
              <w:widowControl/>
              <w:suppressLineNumbers w:val="0"/>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3.3</w:t>
            </w:r>
          </w:p>
        </w:tc>
        <w:tc>
          <w:tcPr>
            <w:tcW w:w="806" w:type="pct"/>
            <w:vAlign w:val="center"/>
          </w:tcPr>
          <w:p w14:paraId="5E31FD0F">
            <w:pPr>
              <w:keepNext w:val="0"/>
              <w:keepLines w:val="0"/>
              <w:widowControl/>
              <w:suppressLineNumbers w:val="0"/>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1.32</w:t>
            </w:r>
          </w:p>
        </w:tc>
        <w:tc>
          <w:tcPr>
            <w:tcW w:w="590" w:type="pct"/>
            <w:vAlign w:val="center"/>
          </w:tcPr>
          <w:p w14:paraId="4DF0B998">
            <w:pPr>
              <w:keepNext w:val="0"/>
              <w:keepLines w:val="0"/>
              <w:widowControl/>
              <w:suppressLineNumbers w:val="0"/>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0</w:t>
            </w:r>
          </w:p>
        </w:tc>
        <w:tc>
          <w:tcPr>
            <w:tcW w:w="402" w:type="pct"/>
            <w:vMerge w:val="continue"/>
            <w:vAlign w:val="center"/>
          </w:tcPr>
          <w:p w14:paraId="59B770E2">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r>
      <w:tr w14:paraId="1834B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 w:type="pct"/>
            <w:vMerge w:val="continue"/>
            <w:vAlign w:val="center"/>
          </w:tcPr>
          <w:p w14:paraId="1E4FCF43">
            <w:pPr>
              <w:widowControl w:val="0"/>
              <w:adjustRightInd/>
              <w:snapToGrid/>
              <w:spacing w:line="240" w:lineRule="auto"/>
              <w:ind w:firstLine="0" w:firstLineChars="0"/>
              <w:jc w:val="center"/>
              <w:rPr>
                <w:rFonts w:ascii="Times New Roman" w:hAnsi="Times New Roman" w:eastAsia="宋体" w:cs="Times New Roman"/>
                <w:color w:val="auto"/>
                <w:kern w:val="2"/>
                <w:sz w:val="21"/>
                <w:szCs w:val="21"/>
              </w:rPr>
            </w:pPr>
          </w:p>
        </w:tc>
        <w:tc>
          <w:tcPr>
            <w:tcW w:w="437" w:type="pct"/>
            <w:vAlign w:val="center"/>
          </w:tcPr>
          <w:p w14:paraId="41380CE5">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cs="Times New Roman"/>
                <w:color w:val="auto"/>
                <w:kern w:val="2"/>
                <w:sz w:val="21"/>
                <w:szCs w:val="21"/>
                <w:u w:val="none"/>
                <w:lang w:bidi="ar"/>
              </w:rPr>
              <w:t>出光</w:t>
            </w:r>
          </w:p>
        </w:tc>
        <w:tc>
          <w:tcPr>
            <w:tcW w:w="655" w:type="pct"/>
            <w:vAlign w:val="center"/>
          </w:tcPr>
          <w:p w14:paraId="14AB818C">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cs="Times New Roman"/>
                <w:color w:val="auto"/>
                <w:kern w:val="2"/>
                <w:sz w:val="21"/>
                <w:szCs w:val="21"/>
                <w:u w:val="none"/>
                <w:lang w:bidi="ar"/>
              </w:rPr>
              <w:t>硝酸</w:t>
            </w:r>
          </w:p>
        </w:tc>
        <w:tc>
          <w:tcPr>
            <w:tcW w:w="1173" w:type="pct"/>
            <w:vAlign w:val="center"/>
          </w:tcPr>
          <w:p w14:paraId="7E41B90D">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60%</w:t>
            </w:r>
          </w:p>
        </w:tc>
        <w:tc>
          <w:tcPr>
            <w:tcW w:w="542" w:type="pct"/>
            <w:vAlign w:val="center"/>
          </w:tcPr>
          <w:p w14:paraId="0DA191BC">
            <w:pPr>
              <w:keepNext w:val="0"/>
              <w:keepLines w:val="0"/>
              <w:widowControl/>
              <w:suppressLineNumbers w:val="0"/>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3.1</w:t>
            </w:r>
          </w:p>
        </w:tc>
        <w:tc>
          <w:tcPr>
            <w:tcW w:w="806" w:type="pct"/>
            <w:vAlign w:val="center"/>
          </w:tcPr>
          <w:p w14:paraId="530A438D">
            <w:pPr>
              <w:keepNext w:val="0"/>
              <w:keepLines w:val="0"/>
              <w:widowControl/>
              <w:suppressLineNumbers w:val="0"/>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1.24</w:t>
            </w:r>
          </w:p>
        </w:tc>
        <w:tc>
          <w:tcPr>
            <w:tcW w:w="590" w:type="pct"/>
            <w:vAlign w:val="center"/>
          </w:tcPr>
          <w:p w14:paraId="7444BB22">
            <w:pPr>
              <w:keepNext w:val="0"/>
              <w:keepLines w:val="0"/>
              <w:widowControl/>
              <w:suppressLineNumbers w:val="0"/>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0</w:t>
            </w:r>
          </w:p>
        </w:tc>
        <w:tc>
          <w:tcPr>
            <w:tcW w:w="402" w:type="pct"/>
            <w:vMerge w:val="continue"/>
            <w:vAlign w:val="center"/>
          </w:tcPr>
          <w:p w14:paraId="2AA671FE">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r>
      <w:tr w14:paraId="3EA80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 w:type="pct"/>
            <w:vMerge w:val="continue"/>
            <w:vAlign w:val="center"/>
          </w:tcPr>
          <w:p w14:paraId="7393C331">
            <w:pPr>
              <w:widowControl w:val="0"/>
              <w:adjustRightInd/>
              <w:snapToGrid/>
              <w:spacing w:line="240" w:lineRule="auto"/>
              <w:ind w:firstLine="0" w:firstLineChars="0"/>
              <w:jc w:val="center"/>
              <w:rPr>
                <w:rFonts w:ascii="Times New Roman" w:hAnsi="Times New Roman" w:eastAsia="宋体" w:cs="Times New Roman"/>
                <w:color w:val="auto"/>
                <w:kern w:val="2"/>
                <w:sz w:val="21"/>
                <w:szCs w:val="21"/>
              </w:rPr>
            </w:pPr>
          </w:p>
        </w:tc>
        <w:tc>
          <w:tcPr>
            <w:tcW w:w="437" w:type="pct"/>
            <w:vAlign w:val="center"/>
          </w:tcPr>
          <w:p w14:paraId="6A1310FD">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cs="Times New Roman"/>
                <w:color w:val="auto"/>
                <w:kern w:val="2"/>
                <w:sz w:val="21"/>
                <w:szCs w:val="21"/>
                <w:u w:val="none"/>
                <w:lang w:bidi="ar"/>
              </w:rPr>
              <w:t>钝化</w:t>
            </w:r>
          </w:p>
        </w:tc>
        <w:tc>
          <w:tcPr>
            <w:tcW w:w="655" w:type="pct"/>
            <w:vAlign w:val="center"/>
          </w:tcPr>
          <w:p w14:paraId="02D2F339">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cs="Times New Roman"/>
                <w:color w:val="auto"/>
                <w:kern w:val="2"/>
                <w:sz w:val="21"/>
                <w:szCs w:val="21"/>
                <w:u w:val="none"/>
                <w:lang w:bidi="ar"/>
              </w:rPr>
              <w:t>钝化剂</w:t>
            </w:r>
          </w:p>
        </w:tc>
        <w:tc>
          <w:tcPr>
            <w:tcW w:w="1173" w:type="pct"/>
            <w:vAlign w:val="center"/>
          </w:tcPr>
          <w:p w14:paraId="21459B88">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cs="Times New Roman"/>
                <w:color w:val="auto"/>
                <w:kern w:val="2"/>
                <w:sz w:val="21"/>
                <w:szCs w:val="21"/>
                <w:u w:val="none"/>
                <w:lang w:bidi="ar"/>
              </w:rPr>
              <w:t>硝酸铬</w:t>
            </w:r>
            <w:r>
              <w:rPr>
                <w:rFonts w:hint="default" w:eastAsia="宋体" w:cs="Times New Roman"/>
                <w:color w:val="auto"/>
                <w:kern w:val="2"/>
                <w:sz w:val="21"/>
                <w:szCs w:val="21"/>
                <w:u w:val="none"/>
                <w:lang w:bidi="ar"/>
              </w:rPr>
              <w:t>99.8%</w:t>
            </w:r>
          </w:p>
        </w:tc>
        <w:tc>
          <w:tcPr>
            <w:tcW w:w="542" w:type="pct"/>
            <w:vAlign w:val="center"/>
          </w:tcPr>
          <w:p w14:paraId="47F6E72F">
            <w:pPr>
              <w:keepNext w:val="0"/>
              <w:keepLines w:val="0"/>
              <w:widowControl/>
              <w:suppressLineNumbers w:val="0"/>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3.799</w:t>
            </w:r>
          </w:p>
        </w:tc>
        <w:tc>
          <w:tcPr>
            <w:tcW w:w="806" w:type="pct"/>
            <w:vAlign w:val="center"/>
          </w:tcPr>
          <w:p w14:paraId="2A7FD254">
            <w:pPr>
              <w:keepNext w:val="0"/>
              <w:keepLines w:val="0"/>
              <w:widowControl/>
              <w:suppressLineNumbers w:val="0"/>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 xml:space="preserve">1.520 </w:t>
            </w:r>
          </w:p>
        </w:tc>
        <w:tc>
          <w:tcPr>
            <w:tcW w:w="590" w:type="pct"/>
            <w:vAlign w:val="center"/>
          </w:tcPr>
          <w:p w14:paraId="3A02B29A">
            <w:pPr>
              <w:keepNext w:val="0"/>
              <w:keepLines w:val="0"/>
              <w:widowControl/>
              <w:suppressLineNumbers w:val="0"/>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0</w:t>
            </w:r>
          </w:p>
        </w:tc>
        <w:tc>
          <w:tcPr>
            <w:tcW w:w="402" w:type="pct"/>
            <w:vMerge w:val="continue"/>
            <w:vAlign w:val="center"/>
          </w:tcPr>
          <w:p w14:paraId="54B7F971">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r>
      <w:tr w14:paraId="68E17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 w:type="pct"/>
            <w:vMerge w:val="continue"/>
            <w:vAlign w:val="center"/>
          </w:tcPr>
          <w:p w14:paraId="0AD7C139">
            <w:pPr>
              <w:widowControl w:val="0"/>
              <w:adjustRightInd/>
              <w:snapToGrid/>
              <w:spacing w:line="240" w:lineRule="auto"/>
              <w:ind w:firstLine="0" w:firstLineChars="0"/>
              <w:jc w:val="center"/>
              <w:rPr>
                <w:rFonts w:ascii="Times New Roman" w:hAnsi="Times New Roman" w:eastAsia="宋体" w:cs="Times New Roman"/>
                <w:color w:val="auto"/>
                <w:kern w:val="2"/>
                <w:sz w:val="21"/>
                <w:szCs w:val="21"/>
              </w:rPr>
            </w:pPr>
          </w:p>
        </w:tc>
        <w:tc>
          <w:tcPr>
            <w:tcW w:w="437" w:type="pct"/>
            <w:vAlign w:val="center"/>
          </w:tcPr>
          <w:p w14:paraId="3026F545">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cs="Times New Roman"/>
                <w:color w:val="auto"/>
                <w:kern w:val="2"/>
                <w:sz w:val="21"/>
                <w:szCs w:val="21"/>
                <w:u w:val="none"/>
                <w:lang w:bidi="ar"/>
              </w:rPr>
              <w:t>封闭</w:t>
            </w:r>
          </w:p>
        </w:tc>
        <w:tc>
          <w:tcPr>
            <w:tcW w:w="655" w:type="pct"/>
            <w:vAlign w:val="center"/>
          </w:tcPr>
          <w:p w14:paraId="66D44721">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cs="Times New Roman"/>
                <w:color w:val="auto"/>
                <w:kern w:val="2"/>
                <w:sz w:val="21"/>
                <w:szCs w:val="21"/>
                <w:u w:val="none"/>
                <w:lang w:bidi="ar"/>
              </w:rPr>
              <w:t>封闭剂</w:t>
            </w:r>
          </w:p>
        </w:tc>
        <w:tc>
          <w:tcPr>
            <w:tcW w:w="1173" w:type="pct"/>
            <w:vAlign w:val="center"/>
          </w:tcPr>
          <w:p w14:paraId="7C16C1D6">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cs="Times New Roman"/>
                <w:color w:val="auto"/>
                <w:kern w:val="2"/>
                <w:sz w:val="21"/>
                <w:szCs w:val="21"/>
                <w:u w:val="none"/>
                <w:lang w:bidi="ar"/>
              </w:rPr>
              <w:t>主要成分：</w:t>
            </w:r>
            <w:r>
              <w:rPr>
                <w:rFonts w:hint="default" w:eastAsia="宋体" w:cs="Times New Roman"/>
                <w:color w:val="auto"/>
                <w:kern w:val="2"/>
                <w:sz w:val="21"/>
                <w:szCs w:val="21"/>
                <w:u w:val="none"/>
                <w:lang w:bidi="ar"/>
              </w:rPr>
              <w:t>AES</w:t>
            </w:r>
            <w:r>
              <w:rPr>
                <w:rFonts w:hint="default" w:ascii="Times New Roman" w:hAnsi="Times New Roman" w:cs="Times New Roman"/>
                <w:color w:val="auto"/>
                <w:kern w:val="2"/>
                <w:sz w:val="21"/>
                <w:szCs w:val="21"/>
                <w:u w:val="none"/>
                <w:lang w:bidi="ar"/>
              </w:rPr>
              <w:t>和甘油</w:t>
            </w:r>
          </w:p>
        </w:tc>
        <w:tc>
          <w:tcPr>
            <w:tcW w:w="542" w:type="pct"/>
            <w:vAlign w:val="center"/>
          </w:tcPr>
          <w:p w14:paraId="64B708C2">
            <w:pPr>
              <w:keepNext w:val="0"/>
              <w:keepLines w:val="0"/>
              <w:widowControl/>
              <w:suppressLineNumbers w:val="0"/>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0.8</w:t>
            </w:r>
          </w:p>
        </w:tc>
        <w:tc>
          <w:tcPr>
            <w:tcW w:w="806" w:type="pct"/>
            <w:vAlign w:val="center"/>
          </w:tcPr>
          <w:p w14:paraId="4F1D99F5">
            <w:pPr>
              <w:keepNext w:val="0"/>
              <w:keepLines w:val="0"/>
              <w:widowControl/>
              <w:suppressLineNumbers w:val="0"/>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0.32</w:t>
            </w:r>
          </w:p>
        </w:tc>
        <w:tc>
          <w:tcPr>
            <w:tcW w:w="590" w:type="pct"/>
            <w:vAlign w:val="center"/>
          </w:tcPr>
          <w:p w14:paraId="2342BC6D">
            <w:pPr>
              <w:keepNext w:val="0"/>
              <w:keepLines w:val="0"/>
              <w:widowControl/>
              <w:suppressLineNumbers w:val="0"/>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0</w:t>
            </w:r>
          </w:p>
        </w:tc>
        <w:tc>
          <w:tcPr>
            <w:tcW w:w="402" w:type="pct"/>
            <w:vMerge w:val="continue"/>
            <w:vAlign w:val="center"/>
          </w:tcPr>
          <w:p w14:paraId="1B6FAF05">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r>
      <w:tr w14:paraId="1AD24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597" w:type="pct"/>
            <w:gridSpan w:val="7"/>
            <w:vAlign w:val="center"/>
          </w:tcPr>
          <w:p w14:paraId="635FFF0E">
            <w:pPr>
              <w:widowControl/>
              <w:adjustRightInd/>
              <w:snapToGrid/>
              <w:spacing w:line="240" w:lineRule="auto"/>
              <w:ind w:firstLine="0" w:firstLineChars="0"/>
              <w:jc w:val="center"/>
              <w:textAlignment w:val="center"/>
              <w:rPr>
                <w:rFonts w:ascii="Times New Roman" w:hAnsi="Times New Roman" w:eastAsia="宋体" w:cs="Times New Roman"/>
                <w:b/>
                <w:bCs/>
                <w:color w:val="auto"/>
                <w:kern w:val="2"/>
                <w:sz w:val="21"/>
                <w:szCs w:val="21"/>
              </w:rPr>
            </w:pPr>
            <w:r>
              <w:rPr>
                <w:rFonts w:ascii="Times New Roman" w:hAnsi="Times New Roman" w:eastAsia="宋体" w:cs="Times New Roman"/>
                <w:b/>
                <w:bCs/>
                <w:color w:val="auto"/>
                <w:kern w:val="0"/>
                <w:sz w:val="21"/>
                <w:szCs w:val="21"/>
                <w:lang w:bidi="ar"/>
              </w:rPr>
              <w:t>钢带</w:t>
            </w:r>
          </w:p>
        </w:tc>
        <w:tc>
          <w:tcPr>
            <w:tcW w:w="402" w:type="pct"/>
            <w:vMerge w:val="continue"/>
            <w:vAlign w:val="center"/>
          </w:tcPr>
          <w:p w14:paraId="72361614">
            <w:pPr>
              <w:widowControl/>
              <w:adjustRightInd/>
              <w:snapToGrid/>
              <w:spacing w:line="240" w:lineRule="auto"/>
              <w:ind w:firstLine="0" w:firstLineChars="0"/>
              <w:jc w:val="center"/>
              <w:textAlignment w:val="center"/>
              <w:rPr>
                <w:rFonts w:ascii="Times New Roman" w:hAnsi="Times New Roman" w:eastAsia="宋体" w:cs="Times New Roman"/>
                <w:b/>
                <w:bCs/>
                <w:color w:val="auto"/>
                <w:kern w:val="0"/>
                <w:sz w:val="21"/>
                <w:szCs w:val="21"/>
                <w:lang w:bidi="ar"/>
              </w:rPr>
            </w:pPr>
          </w:p>
        </w:tc>
      </w:tr>
      <w:tr w14:paraId="6D1C6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 w:type="pct"/>
            <w:vMerge w:val="restart"/>
            <w:vAlign w:val="center"/>
          </w:tcPr>
          <w:p w14:paraId="528FC57F">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机加工</w:t>
            </w:r>
          </w:p>
        </w:tc>
        <w:tc>
          <w:tcPr>
            <w:tcW w:w="1092" w:type="pct"/>
            <w:gridSpan w:val="2"/>
            <w:vAlign w:val="center"/>
          </w:tcPr>
          <w:p w14:paraId="47035B03">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普通钢带</w:t>
            </w:r>
          </w:p>
        </w:tc>
        <w:tc>
          <w:tcPr>
            <w:tcW w:w="1173" w:type="pct"/>
            <w:vAlign w:val="center"/>
          </w:tcPr>
          <w:p w14:paraId="1F8A8A83">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宽160-200mm、厚0.8mm</w:t>
            </w:r>
          </w:p>
        </w:tc>
        <w:tc>
          <w:tcPr>
            <w:tcW w:w="542" w:type="pct"/>
            <w:vAlign w:val="center"/>
          </w:tcPr>
          <w:p w14:paraId="5C5E1013">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1410</w:t>
            </w:r>
          </w:p>
        </w:tc>
        <w:tc>
          <w:tcPr>
            <w:tcW w:w="806" w:type="pct"/>
            <w:vAlign w:val="center"/>
          </w:tcPr>
          <w:p w14:paraId="22F70805">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r>
              <w:rPr>
                <w:rFonts w:hint="eastAsia" w:ascii="Times New Roman" w:hAnsi="Times New Roman" w:eastAsia="宋体" w:cs="Times New Roman"/>
                <w:color w:val="auto"/>
                <w:kern w:val="0"/>
                <w:sz w:val="21"/>
                <w:szCs w:val="21"/>
                <w:lang w:val="en-US" w:eastAsia="zh-CN" w:bidi="ar"/>
              </w:rPr>
              <w:t xml:space="preserve">1022 </w:t>
            </w:r>
          </w:p>
        </w:tc>
        <w:tc>
          <w:tcPr>
            <w:tcW w:w="590" w:type="pct"/>
            <w:vAlign w:val="center"/>
          </w:tcPr>
          <w:p w14:paraId="7790BC28">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r>
              <w:rPr>
                <w:rFonts w:hint="eastAsia" w:ascii="Times New Roman" w:hAnsi="Times New Roman" w:eastAsia="宋体" w:cs="Times New Roman"/>
                <w:color w:val="auto"/>
                <w:kern w:val="0"/>
                <w:sz w:val="21"/>
                <w:szCs w:val="21"/>
                <w:lang w:val="en-US" w:eastAsia="zh-CN" w:bidi="ar"/>
              </w:rPr>
              <w:t xml:space="preserve">388 </w:t>
            </w:r>
          </w:p>
        </w:tc>
        <w:tc>
          <w:tcPr>
            <w:tcW w:w="402" w:type="pct"/>
            <w:vMerge w:val="continue"/>
            <w:vAlign w:val="center"/>
          </w:tcPr>
          <w:p w14:paraId="35605C60">
            <w:pPr>
              <w:widowControl/>
              <w:adjustRightInd/>
              <w:snapToGrid/>
              <w:spacing w:line="240" w:lineRule="auto"/>
              <w:ind w:firstLine="0" w:firstLineChars="0"/>
              <w:jc w:val="center"/>
              <w:textAlignment w:val="center"/>
              <w:rPr>
                <w:rFonts w:hint="eastAsia" w:ascii="Times New Roman" w:hAnsi="Times New Roman" w:eastAsia="宋体" w:cs="Times New Roman"/>
                <w:color w:val="auto"/>
                <w:kern w:val="0"/>
                <w:sz w:val="21"/>
                <w:szCs w:val="21"/>
                <w:lang w:val="en-US" w:eastAsia="zh-CN" w:bidi="ar"/>
              </w:rPr>
            </w:pPr>
          </w:p>
        </w:tc>
      </w:tr>
      <w:tr w14:paraId="2FC01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 w:type="pct"/>
            <w:vMerge w:val="continue"/>
            <w:vAlign w:val="center"/>
          </w:tcPr>
          <w:p w14:paraId="661BBDBA">
            <w:pPr>
              <w:widowControl w:val="0"/>
              <w:adjustRightInd/>
              <w:snapToGrid/>
              <w:spacing w:line="240" w:lineRule="auto"/>
              <w:ind w:firstLine="0" w:firstLineChars="0"/>
              <w:jc w:val="center"/>
              <w:rPr>
                <w:rFonts w:ascii="Times New Roman" w:hAnsi="Times New Roman" w:eastAsia="宋体" w:cs="Times New Roman"/>
                <w:color w:val="auto"/>
                <w:kern w:val="2"/>
                <w:sz w:val="21"/>
                <w:szCs w:val="21"/>
              </w:rPr>
            </w:pPr>
          </w:p>
        </w:tc>
        <w:tc>
          <w:tcPr>
            <w:tcW w:w="1092" w:type="pct"/>
            <w:gridSpan w:val="2"/>
            <w:vAlign w:val="center"/>
          </w:tcPr>
          <w:p w14:paraId="75A4BAE4">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拉伸油</w:t>
            </w:r>
          </w:p>
        </w:tc>
        <w:tc>
          <w:tcPr>
            <w:tcW w:w="1173" w:type="pct"/>
            <w:vAlign w:val="center"/>
          </w:tcPr>
          <w:p w14:paraId="0D0E70B9">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w:t>
            </w:r>
          </w:p>
        </w:tc>
        <w:tc>
          <w:tcPr>
            <w:tcW w:w="542" w:type="pct"/>
            <w:vAlign w:val="center"/>
          </w:tcPr>
          <w:p w14:paraId="5105B2C4">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0.3</w:t>
            </w:r>
          </w:p>
        </w:tc>
        <w:tc>
          <w:tcPr>
            <w:tcW w:w="806" w:type="pct"/>
            <w:vAlign w:val="center"/>
          </w:tcPr>
          <w:p w14:paraId="28EB5C51">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r>
              <w:rPr>
                <w:rFonts w:hint="eastAsia" w:ascii="Times New Roman" w:hAnsi="Times New Roman" w:eastAsia="宋体" w:cs="Times New Roman"/>
                <w:color w:val="auto"/>
                <w:kern w:val="0"/>
                <w:sz w:val="21"/>
                <w:szCs w:val="21"/>
                <w:lang w:val="en-US" w:eastAsia="zh-CN" w:bidi="ar"/>
              </w:rPr>
              <w:t xml:space="preserve">0.22 </w:t>
            </w:r>
          </w:p>
        </w:tc>
        <w:tc>
          <w:tcPr>
            <w:tcW w:w="590" w:type="pct"/>
            <w:vAlign w:val="center"/>
          </w:tcPr>
          <w:p w14:paraId="2AB9008A">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r>
              <w:rPr>
                <w:rFonts w:hint="eastAsia" w:ascii="Times New Roman" w:hAnsi="Times New Roman" w:eastAsia="宋体" w:cs="Times New Roman"/>
                <w:color w:val="auto"/>
                <w:kern w:val="0"/>
                <w:sz w:val="21"/>
                <w:szCs w:val="21"/>
                <w:lang w:val="en-US" w:eastAsia="zh-CN" w:bidi="ar"/>
              </w:rPr>
              <w:t xml:space="preserve">0.08 </w:t>
            </w:r>
          </w:p>
        </w:tc>
        <w:tc>
          <w:tcPr>
            <w:tcW w:w="402" w:type="pct"/>
            <w:vMerge w:val="continue"/>
            <w:vAlign w:val="center"/>
          </w:tcPr>
          <w:p w14:paraId="08DEC739">
            <w:pPr>
              <w:widowControl/>
              <w:adjustRightInd/>
              <w:snapToGrid/>
              <w:spacing w:line="240" w:lineRule="auto"/>
              <w:ind w:firstLine="0" w:firstLineChars="0"/>
              <w:jc w:val="center"/>
              <w:textAlignment w:val="center"/>
              <w:rPr>
                <w:rFonts w:hint="eastAsia" w:ascii="Times New Roman" w:hAnsi="Times New Roman" w:eastAsia="宋体" w:cs="Times New Roman"/>
                <w:color w:val="auto"/>
                <w:kern w:val="0"/>
                <w:sz w:val="21"/>
                <w:szCs w:val="21"/>
                <w:lang w:val="en-US" w:eastAsia="zh-CN" w:bidi="ar"/>
              </w:rPr>
            </w:pPr>
          </w:p>
        </w:tc>
      </w:tr>
      <w:tr w14:paraId="1A90F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 w:type="pct"/>
            <w:vMerge w:val="restart"/>
            <w:vAlign w:val="center"/>
          </w:tcPr>
          <w:p w14:paraId="33121841">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镀镍</w:t>
            </w:r>
          </w:p>
        </w:tc>
        <w:tc>
          <w:tcPr>
            <w:tcW w:w="437" w:type="pct"/>
            <w:vAlign w:val="center"/>
          </w:tcPr>
          <w:p w14:paraId="550FBE4D">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除油</w:t>
            </w:r>
          </w:p>
        </w:tc>
        <w:tc>
          <w:tcPr>
            <w:tcW w:w="655" w:type="pct"/>
            <w:vAlign w:val="center"/>
          </w:tcPr>
          <w:p w14:paraId="51331E40">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脱脂剂</w:t>
            </w:r>
          </w:p>
        </w:tc>
        <w:tc>
          <w:tcPr>
            <w:tcW w:w="1173" w:type="pct"/>
            <w:vAlign w:val="center"/>
          </w:tcPr>
          <w:p w14:paraId="146C47AF">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主要成分：氢氧化钠或硅酸钠或碳酸钠</w:t>
            </w:r>
          </w:p>
        </w:tc>
        <w:tc>
          <w:tcPr>
            <w:tcW w:w="542" w:type="pct"/>
            <w:vAlign w:val="center"/>
          </w:tcPr>
          <w:p w14:paraId="3F49BE59">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7.6</w:t>
            </w:r>
          </w:p>
        </w:tc>
        <w:tc>
          <w:tcPr>
            <w:tcW w:w="806" w:type="pct"/>
            <w:vAlign w:val="center"/>
          </w:tcPr>
          <w:p w14:paraId="5D1E1AA2">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r>
              <w:rPr>
                <w:rFonts w:hint="eastAsia" w:ascii="Times New Roman" w:hAnsi="Times New Roman" w:eastAsia="宋体" w:cs="Times New Roman"/>
                <w:color w:val="auto"/>
                <w:kern w:val="0"/>
                <w:sz w:val="21"/>
                <w:szCs w:val="21"/>
                <w:lang w:val="en-US" w:eastAsia="zh-CN" w:bidi="ar"/>
              </w:rPr>
              <w:t>5.51</w:t>
            </w:r>
          </w:p>
        </w:tc>
        <w:tc>
          <w:tcPr>
            <w:tcW w:w="590" w:type="pct"/>
            <w:vAlign w:val="center"/>
          </w:tcPr>
          <w:p w14:paraId="76A717F9">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r>
              <w:rPr>
                <w:rFonts w:hint="eastAsia" w:ascii="Times New Roman" w:hAnsi="Times New Roman" w:eastAsia="宋体" w:cs="Times New Roman"/>
                <w:color w:val="auto"/>
                <w:kern w:val="0"/>
                <w:sz w:val="21"/>
                <w:szCs w:val="21"/>
                <w:lang w:val="en-US" w:eastAsia="zh-CN" w:bidi="ar"/>
              </w:rPr>
              <w:t>2.09</w:t>
            </w:r>
          </w:p>
        </w:tc>
        <w:tc>
          <w:tcPr>
            <w:tcW w:w="402" w:type="pct"/>
            <w:vMerge w:val="continue"/>
            <w:vAlign w:val="center"/>
          </w:tcPr>
          <w:p w14:paraId="2CDD32F7">
            <w:pPr>
              <w:widowControl/>
              <w:adjustRightInd/>
              <w:snapToGrid/>
              <w:spacing w:line="240" w:lineRule="auto"/>
              <w:ind w:firstLine="0" w:firstLineChars="0"/>
              <w:jc w:val="center"/>
              <w:textAlignment w:val="center"/>
              <w:rPr>
                <w:rFonts w:hint="eastAsia" w:ascii="Times New Roman" w:hAnsi="Times New Roman" w:eastAsia="宋体" w:cs="Times New Roman"/>
                <w:color w:val="auto"/>
                <w:kern w:val="0"/>
                <w:sz w:val="21"/>
                <w:szCs w:val="21"/>
                <w:lang w:val="en-US" w:eastAsia="zh-CN" w:bidi="ar"/>
              </w:rPr>
            </w:pPr>
          </w:p>
        </w:tc>
      </w:tr>
      <w:tr w14:paraId="4EE18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 w:type="pct"/>
            <w:vMerge w:val="continue"/>
            <w:vAlign w:val="center"/>
          </w:tcPr>
          <w:p w14:paraId="741C78B7">
            <w:pPr>
              <w:widowControl w:val="0"/>
              <w:adjustRightInd/>
              <w:snapToGrid/>
              <w:spacing w:line="240" w:lineRule="auto"/>
              <w:ind w:firstLine="0" w:firstLineChars="0"/>
              <w:jc w:val="center"/>
              <w:rPr>
                <w:rFonts w:ascii="Times New Roman" w:hAnsi="Times New Roman" w:eastAsia="宋体" w:cs="Times New Roman"/>
                <w:color w:val="auto"/>
                <w:kern w:val="2"/>
                <w:sz w:val="21"/>
                <w:szCs w:val="21"/>
              </w:rPr>
            </w:pPr>
          </w:p>
        </w:tc>
        <w:tc>
          <w:tcPr>
            <w:tcW w:w="437" w:type="pct"/>
            <w:vAlign w:val="center"/>
          </w:tcPr>
          <w:p w14:paraId="3EE2E890">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活化</w:t>
            </w:r>
          </w:p>
        </w:tc>
        <w:tc>
          <w:tcPr>
            <w:tcW w:w="655" w:type="pct"/>
            <w:vAlign w:val="center"/>
          </w:tcPr>
          <w:p w14:paraId="7F815A38">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硫酸</w:t>
            </w:r>
          </w:p>
        </w:tc>
        <w:tc>
          <w:tcPr>
            <w:tcW w:w="1173" w:type="pct"/>
            <w:vAlign w:val="center"/>
          </w:tcPr>
          <w:p w14:paraId="61CF9FB9">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98%</w:t>
            </w:r>
          </w:p>
        </w:tc>
        <w:tc>
          <w:tcPr>
            <w:tcW w:w="542" w:type="pct"/>
            <w:vAlign w:val="center"/>
          </w:tcPr>
          <w:p w14:paraId="5641636D">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1.8</w:t>
            </w:r>
          </w:p>
        </w:tc>
        <w:tc>
          <w:tcPr>
            <w:tcW w:w="806" w:type="pct"/>
            <w:vAlign w:val="center"/>
          </w:tcPr>
          <w:p w14:paraId="5FCA7C2B">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r>
              <w:rPr>
                <w:rFonts w:hint="eastAsia" w:ascii="Times New Roman" w:hAnsi="Times New Roman" w:eastAsia="宋体" w:cs="Times New Roman"/>
                <w:color w:val="auto"/>
                <w:kern w:val="0"/>
                <w:sz w:val="21"/>
                <w:szCs w:val="21"/>
                <w:lang w:val="en-US" w:eastAsia="zh-CN" w:bidi="ar"/>
              </w:rPr>
              <w:t>1.305</w:t>
            </w:r>
          </w:p>
        </w:tc>
        <w:tc>
          <w:tcPr>
            <w:tcW w:w="590" w:type="pct"/>
            <w:vAlign w:val="center"/>
          </w:tcPr>
          <w:p w14:paraId="04B977F7">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r>
              <w:rPr>
                <w:rFonts w:hint="eastAsia" w:ascii="Times New Roman" w:hAnsi="Times New Roman" w:eastAsia="宋体" w:cs="Times New Roman"/>
                <w:color w:val="auto"/>
                <w:kern w:val="0"/>
                <w:sz w:val="21"/>
                <w:szCs w:val="21"/>
                <w:lang w:val="en-US" w:eastAsia="zh-CN" w:bidi="ar"/>
              </w:rPr>
              <w:t>0.495</w:t>
            </w:r>
          </w:p>
        </w:tc>
        <w:tc>
          <w:tcPr>
            <w:tcW w:w="402" w:type="pct"/>
            <w:vMerge w:val="continue"/>
            <w:vAlign w:val="center"/>
          </w:tcPr>
          <w:p w14:paraId="11A331BD">
            <w:pPr>
              <w:widowControl/>
              <w:adjustRightInd/>
              <w:snapToGrid/>
              <w:spacing w:line="240" w:lineRule="auto"/>
              <w:ind w:firstLine="0" w:firstLineChars="0"/>
              <w:jc w:val="center"/>
              <w:textAlignment w:val="center"/>
              <w:rPr>
                <w:rFonts w:hint="eastAsia" w:ascii="Times New Roman" w:hAnsi="Times New Roman" w:eastAsia="宋体" w:cs="Times New Roman"/>
                <w:color w:val="auto"/>
                <w:kern w:val="0"/>
                <w:sz w:val="21"/>
                <w:szCs w:val="21"/>
                <w:lang w:val="en-US" w:eastAsia="zh-CN" w:bidi="ar"/>
              </w:rPr>
            </w:pPr>
          </w:p>
        </w:tc>
      </w:tr>
      <w:tr w14:paraId="3EA59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 w:type="pct"/>
            <w:vMerge w:val="continue"/>
            <w:vAlign w:val="center"/>
          </w:tcPr>
          <w:p w14:paraId="58A42DA4">
            <w:pPr>
              <w:widowControl w:val="0"/>
              <w:adjustRightInd/>
              <w:snapToGrid/>
              <w:spacing w:line="240" w:lineRule="auto"/>
              <w:ind w:firstLine="0" w:firstLineChars="0"/>
              <w:jc w:val="center"/>
              <w:rPr>
                <w:rFonts w:ascii="Times New Roman" w:hAnsi="Times New Roman" w:eastAsia="宋体" w:cs="Times New Roman"/>
                <w:color w:val="auto"/>
                <w:kern w:val="2"/>
                <w:sz w:val="21"/>
                <w:szCs w:val="21"/>
              </w:rPr>
            </w:pPr>
          </w:p>
        </w:tc>
        <w:tc>
          <w:tcPr>
            <w:tcW w:w="437" w:type="pct"/>
            <w:vMerge w:val="restart"/>
            <w:vAlign w:val="center"/>
          </w:tcPr>
          <w:p w14:paraId="2F96F0A7">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镀镍</w:t>
            </w:r>
          </w:p>
        </w:tc>
        <w:tc>
          <w:tcPr>
            <w:tcW w:w="655" w:type="pct"/>
            <w:vAlign w:val="center"/>
          </w:tcPr>
          <w:p w14:paraId="7C68C87D">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镍板</w:t>
            </w:r>
          </w:p>
        </w:tc>
        <w:tc>
          <w:tcPr>
            <w:tcW w:w="1173" w:type="pct"/>
            <w:vAlign w:val="center"/>
          </w:tcPr>
          <w:p w14:paraId="46421657">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99.90%</w:t>
            </w:r>
          </w:p>
        </w:tc>
        <w:tc>
          <w:tcPr>
            <w:tcW w:w="542" w:type="pct"/>
            <w:vAlign w:val="center"/>
          </w:tcPr>
          <w:p w14:paraId="78BD0FC6">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6.7804</w:t>
            </w:r>
          </w:p>
        </w:tc>
        <w:tc>
          <w:tcPr>
            <w:tcW w:w="806" w:type="pct"/>
            <w:vAlign w:val="center"/>
          </w:tcPr>
          <w:p w14:paraId="064D4727">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r>
              <w:rPr>
                <w:rFonts w:hint="eastAsia" w:ascii="Times New Roman" w:hAnsi="Times New Roman" w:eastAsia="宋体" w:cs="Times New Roman"/>
                <w:color w:val="auto"/>
                <w:kern w:val="0"/>
                <w:sz w:val="21"/>
                <w:szCs w:val="21"/>
                <w:lang w:val="en-US" w:eastAsia="zh-CN" w:bidi="ar"/>
              </w:rPr>
              <w:t xml:space="preserve">4.9158 </w:t>
            </w:r>
          </w:p>
        </w:tc>
        <w:tc>
          <w:tcPr>
            <w:tcW w:w="590" w:type="pct"/>
            <w:vAlign w:val="center"/>
          </w:tcPr>
          <w:p w14:paraId="0CD97557">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r>
              <w:rPr>
                <w:rFonts w:hint="eastAsia" w:ascii="Times New Roman" w:hAnsi="Times New Roman" w:eastAsia="宋体" w:cs="Times New Roman"/>
                <w:color w:val="auto"/>
                <w:kern w:val="0"/>
                <w:sz w:val="21"/>
                <w:szCs w:val="21"/>
                <w:lang w:val="en-US" w:eastAsia="zh-CN" w:bidi="ar"/>
              </w:rPr>
              <w:t xml:space="preserve">1.8646 </w:t>
            </w:r>
          </w:p>
        </w:tc>
        <w:tc>
          <w:tcPr>
            <w:tcW w:w="402" w:type="pct"/>
            <w:vMerge w:val="continue"/>
            <w:vAlign w:val="center"/>
          </w:tcPr>
          <w:p w14:paraId="315DA02C">
            <w:pPr>
              <w:widowControl/>
              <w:adjustRightInd/>
              <w:snapToGrid/>
              <w:spacing w:line="240" w:lineRule="auto"/>
              <w:ind w:firstLine="0" w:firstLineChars="0"/>
              <w:jc w:val="center"/>
              <w:textAlignment w:val="center"/>
              <w:rPr>
                <w:rFonts w:hint="eastAsia" w:ascii="Times New Roman" w:hAnsi="Times New Roman" w:eastAsia="宋体" w:cs="Times New Roman"/>
                <w:color w:val="auto"/>
                <w:kern w:val="0"/>
                <w:sz w:val="21"/>
                <w:szCs w:val="21"/>
                <w:lang w:val="en-US" w:eastAsia="zh-CN" w:bidi="ar"/>
              </w:rPr>
            </w:pPr>
          </w:p>
        </w:tc>
      </w:tr>
      <w:tr w14:paraId="11C8A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 w:type="pct"/>
            <w:vMerge w:val="continue"/>
            <w:vAlign w:val="center"/>
          </w:tcPr>
          <w:p w14:paraId="5376927F">
            <w:pPr>
              <w:widowControl w:val="0"/>
              <w:adjustRightInd/>
              <w:snapToGrid/>
              <w:spacing w:line="240" w:lineRule="auto"/>
              <w:ind w:firstLine="0" w:firstLineChars="0"/>
              <w:jc w:val="center"/>
              <w:rPr>
                <w:rFonts w:ascii="Times New Roman" w:hAnsi="Times New Roman" w:eastAsia="宋体" w:cs="Times New Roman"/>
                <w:color w:val="auto"/>
                <w:kern w:val="2"/>
                <w:sz w:val="21"/>
                <w:szCs w:val="21"/>
              </w:rPr>
            </w:pPr>
          </w:p>
        </w:tc>
        <w:tc>
          <w:tcPr>
            <w:tcW w:w="437" w:type="pct"/>
            <w:vMerge w:val="continue"/>
            <w:vAlign w:val="center"/>
          </w:tcPr>
          <w:p w14:paraId="024A29D6">
            <w:pPr>
              <w:widowControl w:val="0"/>
              <w:adjustRightInd/>
              <w:snapToGrid/>
              <w:spacing w:line="240" w:lineRule="auto"/>
              <w:ind w:firstLine="0" w:firstLineChars="0"/>
              <w:jc w:val="center"/>
              <w:rPr>
                <w:rFonts w:ascii="Times New Roman" w:hAnsi="Times New Roman" w:eastAsia="宋体" w:cs="Times New Roman"/>
                <w:color w:val="auto"/>
                <w:kern w:val="2"/>
                <w:sz w:val="21"/>
                <w:szCs w:val="21"/>
              </w:rPr>
            </w:pPr>
          </w:p>
        </w:tc>
        <w:tc>
          <w:tcPr>
            <w:tcW w:w="655" w:type="pct"/>
            <w:vAlign w:val="center"/>
          </w:tcPr>
          <w:p w14:paraId="4A1F0060">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硫酸镍（六水）</w:t>
            </w:r>
          </w:p>
        </w:tc>
        <w:tc>
          <w:tcPr>
            <w:tcW w:w="1173" w:type="pct"/>
            <w:vAlign w:val="center"/>
          </w:tcPr>
          <w:p w14:paraId="73885EE5">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95%</w:t>
            </w:r>
          </w:p>
        </w:tc>
        <w:tc>
          <w:tcPr>
            <w:tcW w:w="542" w:type="pct"/>
            <w:vAlign w:val="center"/>
          </w:tcPr>
          <w:p w14:paraId="6E791381">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0.4887</w:t>
            </w:r>
          </w:p>
        </w:tc>
        <w:tc>
          <w:tcPr>
            <w:tcW w:w="806" w:type="pct"/>
            <w:vAlign w:val="center"/>
          </w:tcPr>
          <w:p w14:paraId="5768E065">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r>
              <w:rPr>
                <w:rFonts w:hint="eastAsia" w:ascii="Times New Roman" w:hAnsi="Times New Roman" w:eastAsia="宋体" w:cs="Times New Roman"/>
                <w:color w:val="auto"/>
                <w:kern w:val="0"/>
                <w:sz w:val="21"/>
                <w:szCs w:val="21"/>
                <w:lang w:val="en-US" w:eastAsia="zh-CN" w:bidi="ar"/>
              </w:rPr>
              <w:t xml:space="preserve">0.3543 </w:t>
            </w:r>
          </w:p>
        </w:tc>
        <w:tc>
          <w:tcPr>
            <w:tcW w:w="590" w:type="pct"/>
            <w:vAlign w:val="center"/>
          </w:tcPr>
          <w:p w14:paraId="7035305C">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r>
              <w:rPr>
                <w:rFonts w:hint="eastAsia" w:ascii="Times New Roman" w:hAnsi="Times New Roman" w:eastAsia="宋体" w:cs="Times New Roman"/>
                <w:color w:val="auto"/>
                <w:kern w:val="0"/>
                <w:sz w:val="21"/>
                <w:szCs w:val="21"/>
                <w:lang w:val="en-US" w:eastAsia="zh-CN" w:bidi="ar"/>
              </w:rPr>
              <w:t xml:space="preserve">0.1344 </w:t>
            </w:r>
          </w:p>
        </w:tc>
        <w:tc>
          <w:tcPr>
            <w:tcW w:w="402" w:type="pct"/>
            <w:vMerge w:val="continue"/>
            <w:vAlign w:val="center"/>
          </w:tcPr>
          <w:p w14:paraId="31D5E07D">
            <w:pPr>
              <w:widowControl/>
              <w:adjustRightInd/>
              <w:snapToGrid/>
              <w:spacing w:line="240" w:lineRule="auto"/>
              <w:ind w:firstLine="0" w:firstLineChars="0"/>
              <w:jc w:val="center"/>
              <w:textAlignment w:val="center"/>
              <w:rPr>
                <w:rFonts w:hint="eastAsia" w:ascii="Times New Roman" w:hAnsi="Times New Roman" w:eastAsia="宋体" w:cs="Times New Roman"/>
                <w:color w:val="auto"/>
                <w:kern w:val="0"/>
                <w:sz w:val="21"/>
                <w:szCs w:val="21"/>
                <w:lang w:val="en-US" w:eastAsia="zh-CN" w:bidi="ar"/>
              </w:rPr>
            </w:pPr>
          </w:p>
        </w:tc>
      </w:tr>
      <w:tr w14:paraId="6ADF7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 w:type="pct"/>
            <w:vMerge w:val="continue"/>
            <w:vAlign w:val="center"/>
          </w:tcPr>
          <w:p w14:paraId="23F8393B">
            <w:pPr>
              <w:widowControl w:val="0"/>
              <w:adjustRightInd/>
              <w:snapToGrid/>
              <w:spacing w:line="240" w:lineRule="auto"/>
              <w:ind w:firstLine="0" w:firstLineChars="0"/>
              <w:jc w:val="center"/>
              <w:rPr>
                <w:rFonts w:ascii="Times New Roman" w:hAnsi="Times New Roman" w:eastAsia="宋体" w:cs="Times New Roman"/>
                <w:color w:val="auto"/>
                <w:kern w:val="2"/>
                <w:sz w:val="21"/>
                <w:szCs w:val="21"/>
              </w:rPr>
            </w:pPr>
          </w:p>
        </w:tc>
        <w:tc>
          <w:tcPr>
            <w:tcW w:w="437" w:type="pct"/>
            <w:vMerge w:val="continue"/>
            <w:vAlign w:val="center"/>
          </w:tcPr>
          <w:p w14:paraId="1892FCDF">
            <w:pPr>
              <w:widowControl w:val="0"/>
              <w:adjustRightInd/>
              <w:snapToGrid/>
              <w:spacing w:line="240" w:lineRule="auto"/>
              <w:ind w:firstLine="0" w:firstLineChars="0"/>
              <w:jc w:val="center"/>
              <w:rPr>
                <w:rFonts w:ascii="Times New Roman" w:hAnsi="Times New Roman" w:eastAsia="宋体" w:cs="Times New Roman"/>
                <w:color w:val="auto"/>
                <w:kern w:val="2"/>
                <w:sz w:val="21"/>
                <w:szCs w:val="21"/>
              </w:rPr>
            </w:pPr>
          </w:p>
        </w:tc>
        <w:tc>
          <w:tcPr>
            <w:tcW w:w="655" w:type="pct"/>
            <w:vAlign w:val="center"/>
          </w:tcPr>
          <w:p w14:paraId="0191257F">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氯化镍（六水）</w:t>
            </w:r>
          </w:p>
        </w:tc>
        <w:tc>
          <w:tcPr>
            <w:tcW w:w="1173" w:type="pct"/>
            <w:vAlign w:val="center"/>
          </w:tcPr>
          <w:p w14:paraId="46D9D1AE">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95%</w:t>
            </w:r>
          </w:p>
        </w:tc>
        <w:tc>
          <w:tcPr>
            <w:tcW w:w="542" w:type="pct"/>
            <w:vAlign w:val="center"/>
          </w:tcPr>
          <w:p w14:paraId="0722C620">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0.1473</w:t>
            </w:r>
          </w:p>
        </w:tc>
        <w:tc>
          <w:tcPr>
            <w:tcW w:w="806" w:type="pct"/>
            <w:vAlign w:val="center"/>
          </w:tcPr>
          <w:p w14:paraId="6559BB94">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r>
              <w:rPr>
                <w:rFonts w:hint="eastAsia" w:ascii="Times New Roman" w:hAnsi="Times New Roman" w:eastAsia="宋体" w:cs="Times New Roman"/>
                <w:color w:val="auto"/>
                <w:kern w:val="0"/>
                <w:sz w:val="21"/>
                <w:szCs w:val="21"/>
                <w:lang w:val="en-US" w:eastAsia="zh-CN" w:bidi="ar"/>
              </w:rPr>
              <w:t xml:space="preserve">0.1068 </w:t>
            </w:r>
          </w:p>
        </w:tc>
        <w:tc>
          <w:tcPr>
            <w:tcW w:w="590" w:type="pct"/>
            <w:vAlign w:val="center"/>
          </w:tcPr>
          <w:p w14:paraId="6ED0FC89">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r>
              <w:rPr>
                <w:rFonts w:hint="eastAsia" w:ascii="Times New Roman" w:hAnsi="Times New Roman" w:eastAsia="宋体" w:cs="Times New Roman"/>
                <w:color w:val="auto"/>
                <w:kern w:val="0"/>
                <w:sz w:val="21"/>
                <w:szCs w:val="21"/>
                <w:lang w:val="en-US" w:eastAsia="zh-CN" w:bidi="ar"/>
              </w:rPr>
              <w:t xml:space="preserve">0.0405 </w:t>
            </w:r>
          </w:p>
        </w:tc>
        <w:tc>
          <w:tcPr>
            <w:tcW w:w="402" w:type="pct"/>
            <w:vMerge w:val="continue"/>
            <w:vAlign w:val="center"/>
          </w:tcPr>
          <w:p w14:paraId="32B2D916">
            <w:pPr>
              <w:widowControl/>
              <w:adjustRightInd/>
              <w:snapToGrid/>
              <w:spacing w:line="240" w:lineRule="auto"/>
              <w:ind w:firstLine="0" w:firstLineChars="0"/>
              <w:jc w:val="center"/>
              <w:textAlignment w:val="center"/>
              <w:rPr>
                <w:rFonts w:hint="eastAsia" w:ascii="Times New Roman" w:hAnsi="Times New Roman" w:eastAsia="宋体" w:cs="Times New Roman"/>
                <w:color w:val="auto"/>
                <w:kern w:val="0"/>
                <w:sz w:val="21"/>
                <w:szCs w:val="21"/>
                <w:lang w:val="en-US" w:eastAsia="zh-CN" w:bidi="ar"/>
              </w:rPr>
            </w:pPr>
          </w:p>
        </w:tc>
      </w:tr>
      <w:tr w14:paraId="44836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 w:type="pct"/>
            <w:vMerge w:val="continue"/>
            <w:vAlign w:val="center"/>
          </w:tcPr>
          <w:p w14:paraId="696CF66C">
            <w:pPr>
              <w:widowControl w:val="0"/>
              <w:adjustRightInd/>
              <w:snapToGrid/>
              <w:spacing w:line="240" w:lineRule="auto"/>
              <w:ind w:firstLine="0" w:firstLineChars="0"/>
              <w:jc w:val="center"/>
              <w:rPr>
                <w:rFonts w:ascii="Times New Roman" w:hAnsi="Times New Roman" w:eastAsia="宋体" w:cs="Times New Roman"/>
                <w:color w:val="auto"/>
                <w:kern w:val="2"/>
                <w:sz w:val="21"/>
                <w:szCs w:val="21"/>
              </w:rPr>
            </w:pPr>
          </w:p>
        </w:tc>
        <w:tc>
          <w:tcPr>
            <w:tcW w:w="437" w:type="pct"/>
            <w:vMerge w:val="continue"/>
            <w:vAlign w:val="center"/>
          </w:tcPr>
          <w:p w14:paraId="4691BCCE">
            <w:pPr>
              <w:widowControl w:val="0"/>
              <w:adjustRightInd/>
              <w:snapToGrid/>
              <w:spacing w:line="240" w:lineRule="auto"/>
              <w:ind w:firstLine="0" w:firstLineChars="0"/>
              <w:jc w:val="center"/>
              <w:rPr>
                <w:rFonts w:ascii="Times New Roman" w:hAnsi="Times New Roman" w:eastAsia="宋体" w:cs="Times New Roman"/>
                <w:color w:val="auto"/>
                <w:kern w:val="2"/>
                <w:sz w:val="21"/>
                <w:szCs w:val="21"/>
              </w:rPr>
            </w:pPr>
          </w:p>
        </w:tc>
        <w:tc>
          <w:tcPr>
            <w:tcW w:w="655" w:type="pct"/>
            <w:vAlign w:val="center"/>
          </w:tcPr>
          <w:p w14:paraId="116BA48B">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硼酸</w:t>
            </w:r>
          </w:p>
        </w:tc>
        <w:tc>
          <w:tcPr>
            <w:tcW w:w="1173" w:type="pct"/>
            <w:vAlign w:val="center"/>
          </w:tcPr>
          <w:p w14:paraId="5E577BB7">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99.90%</w:t>
            </w:r>
          </w:p>
        </w:tc>
        <w:tc>
          <w:tcPr>
            <w:tcW w:w="542" w:type="pct"/>
            <w:vAlign w:val="center"/>
          </w:tcPr>
          <w:p w14:paraId="038C7181">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16.4</w:t>
            </w:r>
          </w:p>
        </w:tc>
        <w:tc>
          <w:tcPr>
            <w:tcW w:w="806" w:type="pct"/>
            <w:vAlign w:val="center"/>
          </w:tcPr>
          <w:p w14:paraId="2CA5775E">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r>
              <w:rPr>
                <w:rFonts w:hint="eastAsia" w:ascii="Times New Roman" w:hAnsi="Times New Roman" w:eastAsia="宋体" w:cs="Times New Roman"/>
                <w:color w:val="auto"/>
                <w:kern w:val="0"/>
                <w:sz w:val="21"/>
                <w:szCs w:val="21"/>
                <w:lang w:val="en-US" w:eastAsia="zh-CN" w:bidi="ar"/>
              </w:rPr>
              <w:t>11.89</w:t>
            </w:r>
          </w:p>
        </w:tc>
        <w:tc>
          <w:tcPr>
            <w:tcW w:w="590" w:type="pct"/>
            <w:vAlign w:val="center"/>
          </w:tcPr>
          <w:p w14:paraId="397F16F6">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r>
              <w:rPr>
                <w:rFonts w:hint="eastAsia" w:ascii="Times New Roman" w:hAnsi="Times New Roman" w:eastAsia="宋体" w:cs="Times New Roman"/>
                <w:color w:val="auto"/>
                <w:kern w:val="0"/>
                <w:sz w:val="21"/>
                <w:szCs w:val="21"/>
                <w:lang w:val="en-US" w:eastAsia="zh-CN" w:bidi="ar"/>
              </w:rPr>
              <w:t>4.51</w:t>
            </w:r>
          </w:p>
        </w:tc>
        <w:tc>
          <w:tcPr>
            <w:tcW w:w="402" w:type="pct"/>
            <w:vMerge w:val="continue"/>
            <w:vAlign w:val="center"/>
          </w:tcPr>
          <w:p w14:paraId="41D7BA96">
            <w:pPr>
              <w:widowControl/>
              <w:adjustRightInd/>
              <w:snapToGrid/>
              <w:spacing w:line="240" w:lineRule="auto"/>
              <w:ind w:firstLine="0" w:firstLineChars="0"/>
              <w:jc w:val="center"/>
              <w:textAlignment w:val="center"/>
              <w:rPr>
                <w:rFonts w:hint="eastAsia" w:ascii="Times New Roman" w:hAnsi="Times New Roman" w:eastAsia="宋体" w:cs="Times New Roman"/>
                <w:color w:val="auto"/>
                <w:kern w:val="0"/>
                <w:sz w:val="21"/>
                <w:szCs w:val="21"/>
                <w:lang w:val="en-US" w:eastAsia="zh-CN" w:bidi="ar"/>
              </w:rPr>
            </w:pPr>
          </w:p>
        </w:tc>
      </w:tr>
      <w:tr w14:paraId="1BD55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597" w:type="pct"/>
            <w:gridSpan w:val="7"/>
            <w:vAlign w:val="center"/>
          </w:tcPr>
          <w:p w14:paraId="5456FEF6">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钢壳</w:t>
            </w:r>
          </w:p>
        </w:tc>
        <w:tc>
          <w:tcPr>
            <w:tcW w:w="402" w:type="pct"/>
            <w:vMerge w:val="continue"/>
            <w:vAlign w:val="center"/>
          </w:tcPr>
          <w:p w14:paraId="63EC4E53">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p>
        </w:tc>
      </w:tr>
      <w:tr w14:paraId="0B759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 w:type="pct"/>
            <w:vMerge w:val="restart"/>
            <w:vAlign w:val="center"/>
          </w:tcPr>
          <w:p w14:paraId="1738F88E">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r>
              <w:rPr>
                <w:rFonts w:ascii="Times New Roman" w:hAnsi="Times New Roman" w:eastAsia="宋体" w:cs="Times New Roman"/>
                <w:color w:val="auto"/>
                <w:kern w:val="0"/>
                <w:sz w:val="21"/>
                <w:szCs w:val="21"/>
                <w:lang w:bidi="ar"/>
              </w:rPr>
              <w:t>机加工</w:t>
            </w:r>
          </w:p>
        </w:tc>
        <w:tc>
          <w:tcPr>
            <w:tcW w:w="1092" w:type="pct"/>
            <w:gridSpan w:val="2"/>
            <w:vAlign w:val="center"/>
          </w:tcPr>
          <w:p w14:paraId="095F551A">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r>
              <w:rPr>
                <w:rFonts w:ascii="Times New Roman" w:hAnsi="Times New Roman" w:eastAsia="宋体" w:cs="Times New Roman"/>
                <w:color w:val="auto"/>
                <w:kern w:val="0"/>
                <w:sz w:val="21"/>
                <w:szCs w:val="21"/>
                <w:lang w:bidi="ar"/>
              </w:rPr>
              <w:t>钢带</w:t>
            </w:r>
          </w:p>
        </w:tc>
        <w:tc>
          <w:tcPr>
            <w:tcW w:w="1173" w:type="pct"/>
            <w:vAlign w:val="center"/>
          </w:tcPr>
          <w:p w14:paraId="63966A5E">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厚0.3mm</w:t>
            </w:r>
          </w:p>
        </w:tc>
        <w:tc>
          <w:tcPr>
            <w:tcW w:w="542" w:type="pct"/>
            <w:vAlign w:val="center"/>
          </w:tcPr>
          <w:p w14:paraId="024BCECB">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450</w:t>
            </w:r>
          </w:p>
        </w:tc>
        <w:tc>
          <w:tcPr>
            <w:tcW w:w="806" w:type="pct"/>
            <w:vAlign w:val="center"/>
          </w:tcPr>
          <w:p w14:paraId="54BC1DAB">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0</w:t>
            </w:r>
          </w:p>
        </w:tc>
        <w:tc>
          <w:tcPr>
            <w:tcW w:w="590" w:type="pct"/>
            <w:vAlign w:val="center"/>
          </w:tcPr>
          <w:p w14:paraId="531A5E26">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450</w:t>
            </w:r>
          </w:p>
        </w:tc>
        <w:tc>
          <w:tcPr>
            <w:tcW w:w="402" w:type="pct"/>
            <w:vMerge w:val="continue"/>
            <w:vAlign w:val="center"/>
          </w:tcPr>
          <w:p w14:paraId="0A203C01">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p>
        </w:tc>
      </w:tr>
      <w:tr w14:paraId="3EECA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 w:type="pct"/>
            <w:vMerge w:val="continue"/>
            <w:vAlign w:val="center"/>
          </w:tcPr>
          <w:p w14:paraId="3DA40BBF">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p>
        </w:tc>
        <w:tc>
          <w:tcPr>
            <w:tcW w:w="1092" w:type="pct"/>
            <w:gridSpan w:val="2"/>
            <w:vAlign w:val="center"/>
          </w:tcPr>
          <w:p w14:paraId="2E62BC9A">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r>
              <w:rPr>
                <w:rFonts w:ascii="Times New Roman" w:hAnsi="Times New Roman" w:eastAsia="宋体" w:cs="Times New Roman"/>
                <w:color w:val="auto"/>
                <w:kern w:val="0"/>
                <w:sz w:val="21"/>
                <w:szCs w:val="21"/>
                <w:lang w:bidi="ar"/>
              </w:rPr>
              <w:t>拉伸油</w:t>
            </w:r>
          </w:p>
        </w:tc>
        <w:tc>
          <w:tcPr>
            <w:tcW w:w="1173" w:type="pct"/>
            <w:vAlign w:val="center"/>
          </w:tcPr>
          <w:p w14:paraId="4F32672D">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w:t>
            </w:r>
          </w:p>
        </w:tc>
        <w:tc>
          <w:tcPr>
            <w:tcW w:w="542" w:type="pct"/>
            <w:vAlign w:val="center"/>
          </w:tcPr>
          <w:p w14:paraId="31DECDE5">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0.6</w:t>
            </w:r>
          </w:p>
        </w:tc>
        <w:tc>
          <w:tcPr>
            <w:tcW w:w="806" w:type="pct"/>
            <w:vAlign w:val="center"/>
          </w:tcPr>
          <w:p w14:paraId="34543DC3">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0</w:t>
            </w:r>
          </w:p>
        </w:tc>
        <w:tc>
          <w:tcPr>
            <w:tcW w:w="590" w:type="pct"/>
            <w:vAlign w:val="center"/>
          </w:tcPr>
          <w:p w14:paraId="53CD3BEB">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0.6</w:t>
            </w:r>
          </w:p>
        </w:tc>
        <w:tc>
          <w:tcPr>
            <w:tcW w:w="402" w:type="pct"/>
            <w:vMerge w:val="continue"/>
            <w:vAlign w:val="center"/>
          </w:tcPr>
          <w:p w14:paraId="54408374">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p>
        </w:tc>
      </w:tr>
      <w:tr w14:paraId="43862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 w:type="pct"/>
            <w:vMerge w:val="restart"/>
            <w:vAlign w:val="center"/>
          </w:tcPr>
          <w:p w14:paraId="2A6172B2">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r>
              <w:rPr>
                <w:rFonts w:ascii="Times New Roman" w:hAnsi="Times New Roman" w:eastAsia="宋体" w:cs="Times New Roman"/>
                <w:color w:val="auto"/>
                <w:kern w:val="0"/>
                <w:sz w:val="21"/>
                <w:szCs w:val="21"/>
                <w:lang w:bidi="ar"/>
              </w:rPr>
              <w:t>镀镍</w:t>
            </w:r>
          </w:p>
        </w:tc>
        <w:tc>
          <w:tcPr>
            <w:tcW w:w="437" w:type="pct"/>
            <w:vMerge w:val="restart"/>
            <w:vAlign w:val="center"/>
          </w:tcPr>
          <w:p w14:paraId="1933399C">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r>
              <w:rPr>
                <w:rFonts w:ascii="Times New Roman" w:hAnsi="Times New Roman" w:eastAsia="宋体" w:cs="Times New Roman"/>
                <w:color w:val="auto"/>
                <w:kern w:val="0"/>
                <w:sz w:val="21"/>
                <w:szCs w:val="21"/>
                <w:lang w:bidi="ar"/>
              </w:rPr>
              <w:t>前处理</w:t>
            </w:r>
          </w:p>
        </w:tc>
        <w:tc>
          <w:tcPr>
            <w:tcW w:w="655" w:type="pct"/>
            <w:vAlign w:val="center"/>
          </w:tcPr>
          <w:p w14:paraId="5733766F">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脱脂剂</w:t>
            </w:r>
          </w:p>
        </w:tc>
        <w:tc>
          <w:tcPr>
            <w:tcW w:w="1173" w:type="pct"/>
            <w:vAlign w:val="center"/>
          </w:tcPr>
          <w:p w14:paraId="308CDDF2">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主要成分：氢氧化钠或硅酸钠或碳酸钠</w:t>
            </w:r>
          </w:p>
        </w:tc>
        <w:tc>
          <w:tcPr>
            <w:tcW w:w="542" w:type="pct"/>
            <w:vAlign w:val="center"/>
          </w:tcPr>
          <w:p w14:paraId="6E31FF99">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8</w:t>
            </w:r>
          </w:p>
        </w:tc>
        <w:tc>
          <w:tcPr>
            <w:tcW w:w="806" w:type="pct"/>
            <w:vAlign w:val="center"/>
          </w:tcPr>
          <w:p w14:paraId="6E72CF25">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0</w:t>
            </w:r>
          </w:p>
        </w:tc>
        <w:tc>
          <w:tcPr>
            <w:tcW w:w="590" w:type="pct"/>
            <w:vAlign w:val="center"/>
          </w:tcPr>
          <w:p w14:paraId="298D58E3">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8</w:t>
            </w:r>
          </w:p>
        </w:tc>
        <w:tc>
          <w:tcPr>
            <w:tcW w:w="402" w:type="pct"/>
            <w:vMerge w:val="continue"/>
            <w:vAlign w:val="center"/>
          </w:tcPr>
          <w:p w14:paraId="6C770B8E">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p>
        </w:tc>
      </w:tr>
      <w:tr w14:paraId="762DD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 w:type="pct"/>
            <w:vMerge w:val="continue"/>
            <w:vAlign w:val="center"/>
          </w:tcPr>
          <w:p w14:paraId="6F3E5B48">
            <w:pPr>
              <w:widowControl w:val="0"/>
              <w:adjustRightInd/>
              <w:snapToGrid/>
              <w:spacing w:line="240" w:lineRule="auto"/>
              <w:ind w:firstLine="0" w:firstLineChars="0"/>
              <w:jc w:val="left"/>
              <w:rPr>
                <w:rFonts w:ascii="Times New Roman" w:hAnsi="Times New Roman" w:eastAsia="宋体" w:cs="Times New Roman"/>
                <w:color w:val="auto"/>
                <w:kern w:val="2"/>
                <w:sz w:val="21"/>
                <w:szCs w:val="21"/>
              </w:rPr>
            </w:pPr>
          </w:p>
        </w:tc>
        <w:tc>
          <w:tcPr>
            <w:tcW w:w="437" w:type="pct"/>
            <w:vMerge w:val="continue"/>
            <w:vAlign w:val="center"/>
          </w:tcPr>
          <w:p w14:paraId="25DD7B5B">
            <w:pPr>
              <w:widowControl w:val="0"/>
              <w:adjustRightInd/>
              <w:snapToGrid/>
              <w:spacing w:line="240" w:lineRule="auto"/>
              <w:ind w:firstLine="0" w:firstLineChars="0"/>
              <w:jc w:val="center"/>
              <w:rPr>
                <w:rFonts w:ascii="Times New Roman" w:hAnsi="Times New Roman" w:eastAsia="宋体" w:cs="Times New Roman"/>
                <w:color w:val="auto"/>
                <w:kern w:val="2"/>
                <w:sz w:val="21"/>
                <w:szCs w:val="21"/>
              </w:rPr>
            </w:pPr>
          </w:p>
        </w:tc>
        <w:tc>
          <w:tcPr>
            <w:tcW w:w="655" w:type="pct"/>
            <w:vAlign w:val="center"/>
          </w:tcPr>
          <w:p w14:paraId="10705895">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硫酸</w:t>
            </w:r>
          </w:p>
        </w:tc>
        <w:tc>
          <w:tcPr>
            <w:tcW w:w="1173" w:type="pct"/>
            <w:vAlign w:val="center"/>
          </w:tcPr>
          <w:p w14:paraId="0E2A9B34">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98%</w:t>
            </w:r>
          </w:p>
        </w:tc>
        <w:tc>
          <w:tcPr>
            <w:tcW w:w="542" w:type="pct"/>
            <w:vAlign w:val="center"/>
          </w:tcPr>
          <w:p w14:paraId="60E5E4E1">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12</w:t>
            </w:r>
          </w:p>
        </w:tc>
        <w:tc>
          <w:tcPr>
            <w:tcW w:w="806" w:type="pct"/>
            <w:vAlign w:val="center"/>
          </w:tcPr>
          <w:p w14:paraId="56B93D43">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0</w:t>
            </w:r>
          </w:p>
        </w:tc>
        <w:tc>
          <w:tcPr>
            <w:tcW w:w="590" w:type="pct"/>
            <w:vAlign w:val="center"/>
          </w:tcPr>
          <w:p w14:paraId="4C675BB0">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12</w:t>
            </w:r>
          </w:p>
        </w:tc>
        <w:tc>
          <w:tcPr>
            <w:tcW w:w="402" w:type="pct"/>
            <w:vMerge w:val="continue"/>
            <w:vAlign w:val="center"/>
          </w:tcPr>
          <w:p w14:paraId="18EB2964">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p>
        </w:tc>
      </w:tr>
      <w:tr w14:paraId="78615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 w:type="pct"/>
            <w:vMerge w:val="continue"/>
            <w:vAlign w:val="center"/>
          </w:tcPr>
          <w:p w14:paraId="5259FDDD">
            <w:pPr>
              <w:widowControl w:val="0"/>
              <w:adjustRightInd/>
              <w:snapToGrid/>
              <w:spacing w:line="240" w:lineRule="auto"/>
              <w:ind w:firstLine="0" w:firstLineChars="0"/>
              <w:jc w:val="left"/>
              <w:rPr>
                <w:rFonts w:ascii="Times New Roman" w:hAnsi="Times New Roman" w:eastAsia="宋体" w:cs="Times New Roman"/>
                <w:color w:val="auto"/>
                <w:kern w:val="2"/>
                <w:sz w:val="21"/>
                <w:szCs w:val="21"/>
              </w:rPr>
            </w:pPr>
          </w:p>
        </w:tc>
        <w:tc>
          <w:tcPr>
            <w:tcW w:w="437" w:type="pct"/>
            <w:vMerge w:val="restart"/>
            <w:vAlign w:val="center"/>
          </w:tcPr>
          <w:p w14:paraId="5286768D">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镀镍</w:t>
            </w:r>
          </w:p>
        </w:tc>
        <w:tc>
          <w:tcPr>
            <w:tcW w:w="655" w:type="pct"/>
            <w:vAlign w:val="center"/>
          </w:tcPr>
          <w:p w14:paraId="107DB141">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镍板</w:t>
            </w:r>
          </w:p>
        </w:tc>
        <w:tc>
          <w:tcPr>
            <w:tcW w:w="1173" w:type="pct"/>
            <w:vAlign w:val="center"/>
          </w:tcPr>
          <w:p w14:paraId="28404685">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99.90%</w:t>
            </w:r>
          </w:p>
        </w:tc>
        <w:tc>
          <w:tcPr>
            <w:tcW w:w="542" w:type="pct"/>
            <w:vAlign w:val="center"/>
          </w:tcPr>
          <w:p w14:paraId="3EDF65FD">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74.3645</w:t>
            </w:r>
          </w:p>
        </w:tc>
        <w:tc>
          <w:tcPr>
            <w:tcW w:w="806" w:type="pct"/>
            <w:vAlign w:val="center"/>
          </w:tcPr>
          <w:p w14:paraId="49811A72">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0</w:t>
            </w:r>
          </w:p>
        </w:tc>
        <w:tc>
          <w:tcPr>
            <w:tcW w:w="590" w:type="pct"/>
            <w:vAlign w:val="center"/>
          </w:tcPr>
          <w:p w14:paraId="26010C0D">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74.3645</w:t>
            </w:r>
          </w:p>
        </w:tc>
        <w:tc>
          <w:tcPr>
            <w:tcW w:w="402" w:type="pct"/>
            <w:vMerge w:val="continue"/>
            <w:vAlign w:val="center"/>
          </w:tcPr>
          <w:p w14:paraId="501A484A">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p>
        </w:tc>
      </w:tr>
      <w:tr w14:paraId="43ABA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 w:type="pct"/>
            <w:vMerge w:val="continue"/>
            <w:vAlign w:val="center"/>
          </w:tcPr>
          <w:p w14:paraId="4FA816F3">
            <w:pPr>
              <w:widowControl w:val="0"/>
              <w:adjustRightInd/>
              <w:snapToGrid/>
              <w:spacing w:line="240" w:lineRule="auto"/>
              <w:ind w:firstLine="0" w:firstLineChars="0"/>
              <w:jc w:val="left"/>
              <w:rPr>
                <w:rFonts w:ascii="Times New Roman" w:hAnsi="Times New Roman" w:eastAsia="宋体" w:cs="Times New Roman"/>
                <w:color w:val="auto"/>
                <w:kern w:val="2"/>
                <w:sz w:val="21"/>
                <w:szCs w:val="21"/>
              </w:rPr>
            </w:pPr>
          </w:p>
        </w:tc>
        <w:tc>
          <w:tcPr>
            <w:tcW w:w="437" w:type="pct"/>
            <w:vMerge w:val="continue"/>
            <w:vAlign w:val="center"/>
          </w:tcPr>
          <w:p w14:paraId="45A5A163">
            <w:pPr>
              <w:widowControl w:val="0"/>
              <w:adjustRightInd/>
              <w:snapToGrid/>
              <w:spacing w:line="240" w:lineRule="auto"/>
              <w:ind w:firstLine="0" w:firstLineChars="0"/>
              <w:jc w:val="center"/>
              <w:rPr>
                <w:rFonts w:ascii="Times New Roman" w:hAnsi="Times New Roman" w:eastAsia="宋体" w:cs="Times New Roman"/>
                <w:color w:val="auto"/>
                <w:kern w:val="2"/>
                <w:sz w:val="21"/>
                <w:szCs w:val="21"/>
              </w:rPr>
            </w:pPr>
          </w:p>
        </w:tc>
        <w:tc>
          <w:tcPr>
            <w:tcW w:w="655" w:type="pct"/>
            <w:vAlign w:val="center"/>
          </w:tcPr>
          <w:p w14:paraId="44544AEB">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氯化镍（六水）</w:t>
            </w:r>
          </w:p>
        </w:tc>
        <w:tc>
          <w:tcPr>
            <w:tcW w:w="1173" w:type="pct"/>
            <w:vAlign w:val="center"/>
          </w:tcPr>
          <w:p w14:paraId="4338767C">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95%</w:t>
            </w:r>
          </w:p>
        </w:tc>
        <w:tc>
          <w:tcPr>
            <w:tcW w:w="542" w:type="pct"/>
            <w:vAlign w:val="center"/>
          </w:tcPr>
          <w:p w14:paraId="481FB49A">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1.616</w:t>
            </w:r>
          </w:p>
        </w:tc>
        <w:tc>
          <w:tcPr>
            <w:tcW w:w="806" w:type="pct"/>
            <w:vAlign w:val="center"/>
          </w:tcPr>
          <w:p w14:paraId="2A6AA5D9">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0</w:t>
            </w:r>
          </w:p>
        </w:tc>
        <w:tc>
          <w:tcPr>
            <w:tcW w:w="590" w:type="pct"/>
            <w:vAlign w:val="center"/>
          </w:tcPr>
          <w:p w14:paraId="12D80BED">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1.616</w:t>
            </w:r>
          </w:p>
        </w:tc>
        <w:tc>
          <w:tcPr>
            <w:tcW w:w="402" w:type="pct"/>
            <w:vMerge w:val="continue"/>
            <w:vAlign w:val="center"/>
          </w:tcPr>
          <w:p w14:paraId="43BFE660">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p>
        </w:tc>
      </w:tr>
      <w:tr w14:paraId="1CE34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 w:type="pct"/>
            <w:vMerge w:val="continue"/>
            <w:vAlign w:val="center"/>
          </w:tcPr>
          <w:p w14:paraId="505F7868">
            <w:pPr>
              <w:widowControl w:val="0"/>
              <w:adjustRightInd/>
              <w:snapToGrid/>
              <w:spacing w:line="240" w:lineRule="auto"/>
              <w:ind w:firstLine="0" w:firstLineChars="0"/>
              <w:jc w:val="left"/>
              <w:rPr>
                <w:rFonts w:ascii="Times New Roman" w:hAnsi="Times New Roman" w:eastAsia="宋体" w:cs="Times New Roman"/>
                <w:color w:val="auto"/>
                <w:kern w:val="2"/>
                <w:sz w:val="21"/>
                <w:szCs w:val="21"/>
              </w:rPr>
            </w:pPr>
          </w:p>
        </w:tc>
        <w:tc>
          <w:tcPr>
            <w:tcW w:w="437" w:type="pct"/>
            <w:vMerge w:val="continue"/>
            <w:vAlign w:val="center"/>
          </w:tcPr>
          <w:p w14:paraId="0B2F2A6A">
            <w:pPr>
              <w:widowControl w:val="0"/>
              <w:adjustRightInd/>
              <w:snapToGrid/>
              <w:spacing w:line="240" w:lineRule="auto"/>
              <w:ind w:firstLine="0" w:firstLineChars="0"/>
              <w:jc w:val="center"/>
              <w:rPr>
                <w:rFonts w:ascii="Times New Roman" w:hAnsi="Times New Roman" w:eastAsia="宋体" w:cs="Times New Roman"/>
                <w:color w:val="auto"/>
                <w:kern w:val="2"/>
                <w:sz w:val="21"/>
                <w:szCs w:val="21"/>
              </w:rPr>
            </w:pPr>
          </w:p>
        </w:tc>
        <w:tc>
          <w:tcPr>
            <w:tcW w:w="655" w:type="pct"/>
            <w:vAlign w:val="center"/>
          </w:tcPr>
          <w:p w14:paraId="1214BB37">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硫酸镍（六水）</w:t>
            </w:r>
          </w:p>
        </w:tc>
        <w:tc>
          <w:tcPr>
            <w:tcW w:w="1173" w:type="pct"/>
            <w:vAlign w:val="center"/>
          </w:tcPr>
          <w:p w14:paraId="50DF5EEE">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95%</w:t>
            </w:r>
          </w:p>
        </w:tc>
        <w:tc>
          <w:tcPr>
            <w:tcW w:w="542" w:type="pct"/>
            <w:vAlign w:val="center"/>
          </w:tcPr>
          <w:p w14:paraId="308BC5FD">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5.3602</w:t>
            </w:r>
          </w:p>
        </w:tc>
        <w:tc>
          <w:tcPr>
            <w:tcW w:w="806" w:type="pct"/>
            <w:vAlign w:val="center"/>
          </w:tcPr>
          <w:p w14:paraId="795577C7">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0</w:t>
            </w:r>
          </w:p>
        </w:tc>
        <w:tc>
          <w:tcPr>
            <w:tcW w:w="590" w:type="pct"/>
            <w:vAlign w:val="center"/>
          </w:tcPr>
          <w:p w14:paraId="710D9195">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5.3602</w:t>
            </w:r>
          </w:p>
        </w:tc>
        <w:tc>
          <w:tcPr>
            <w:tcW w:w="402" w:type="pct"/>
            <w:vMerge w:val="continue"/>
            <w:vAlign w:val="center"/>
          </w:tcPr>
          <w:p w14:paraId="29CF66ED">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p>
        </w:tc>
      </w:tr>
      <w:tr w14:paraId="249D3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 w:type="pct"/>
            <w:vMerge w:val="continue"/>
            <w:vAlign w:val="center"/>
          </w:tcPr>
          <w:p w14:paraId="6E93DB63">
            <w:pPr>
              <w:widowControl w:val="0"/>
              <w:adjustRightInd/>
              <w:snapToGrid/>
              <w:spacing w:line="240" w:lineRule="auto"/>
              <w:ind w:firstLine="0" w:firstLineChars="0"/>
              <w:jc w:val="left"/>
              <w:rPr>
                <w:rFonts w:ascii="Times New Roman" w:hAnsi="Times New Roman" w:eastAsia="宋体" w:cs="Times New Roman"/>
                <w:color w:val="auto"/>
                <w:kern w:val="2"/>
                <w:sz w:val="21"/>
                <w:szCs w:val="21"/>
              </w:rPr>
            </w:pPr>
          </w:p>
        </w:tc>
        <w:tc>
          <w:tcPr>
            <w:tcW w:w="437" w:type="pct"/>
            <w:vMerge w:val="continue"/>
            <w:vAlign w:val="center"/>
          </w:tcPr>
          <w:p w14:paraId="2BBE1D84">
            <w:pPr>
              <w:widowControl w:val="0"/>
              <w:adjustRightInd/>
              <w:snapToGrid/>
              <w:spacing w:line="240" w:lineRule="auto"/>
              <w:ind w:firstLine="0" w:firstLineChars="0"/>
              <w:jc w:val="center"/>
              <w:rPr>
                <w:rFonts w:ascii="Times New Roman" w:hAnsi="Times New Roman" w:eastAsia="宋体" w:cs="Times New Roman"/>
                <w:color w:val="auto"/>
                <w:kern w:val="2"/>
                <w:sz w:val="21"/>
                <w:szCs w:val="21"/>
              </w:rPr>
            </w:pPr>
          </w:p>
        </w:tc>
        <w:tc>
          <w:tcPr>
            <w:tcW w:w="655" w:type="pct"/>
            <w:vAlign w:val="center"/>
          </w:tcPr>
          <w:p w14:paraId="6E01407F">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硼酸</w:t>
            </w:r>
          </w:p>
        </w:tc>
        <w:tc>
          <w:tcPr>
            <w:tcW w:w="1173" w:type="pct"/>
            <w:vAlign w:val="center"/>
          </w:tcPr>
          <w:p w14:paraId="0FD2FDBE">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99.90%</w:t>
            </w:r>
          </w:p>
        </w:tc>
        <w:tc>
          <w:tcPr>
            <w:tcW w:w="542" w:type="pct"/>
            <w:vAlign w:val="center"/>
          </w:tcPr>
          <w:p w14:paraId="2D6196CA">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3</w:t>
            </w:r>
          </w:p>
        </w:tc>
        <w:tc>
          <w:tcPr>
            <w:tcW w:w="806" w:type="pct"/>
            <w:vAlign w:val="center"/>
          </w:tcPr>
          <w:p w14:paraId="0CF298BB">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0</w:t>
            </w:r>
          </w:p>
        </w:tc>
        <w:tc>
          <w:tcPr>
            <w:tcW w:w="590" w:type="pct"/>
            <w:vAlign w:val="center"/>
          </w:tcPr>
          <w:p w14:paraId="766866C1">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3</w:t>
            </w:r>
          </w:p>
        </w:tc>
        <w:tc>
          <w:tcPr>
            <w:tcW w:w="402" w:type="pct"/>
            <w:vMerge w:val="continue"/>
            <w:vAlign w:val="center"/>
          </w:tcPr>
          <w:p w14:paraId="46681343">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p>
        </w:tc>
      </w:tr>
      <w:tr w14:paraId="5B3BE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 w:type="pct"/>
            <w:vMerge w:val="continue"/>
            <w:vAlign w:val="center"/>
          </w:tcPr>
          <w:p w14:paraId="6552D040">
            <w:pPr>
              <w:widowControl w:val="0"/>
              <w:adjustRightInd/>
              <w:snapToGrid/>
              <w:spacing w:line="240" w:lineRule="auto"/>
              <w:ind w:firstLine="0" w:firstLineChars="0"/>
              <w:jc w:val="left"/>
              <w:rPr>
                <w:rFonts w:ascii="Times New Roman" w:hAnsi="Times New Roman" w:eastAsia="宋体" w:cs="Times New Roman"/>
                <w:color w:val="auto"/>
                <w:kern w:val="2"/>
                <w:sz w:val="21"/>
                <w:szCs w:val="21"/>
              </w:rPr>
            </w:pPr>
          </w:p>
        </w:tc>
        <w:tc>
          <w:tcPr>
            <w:tcW w:w="437" w:type="pct"/>
            <w:vMerge w:val="continue"/>
            <w:vAlign w:val="center"/>
          </w:tcPr>
          <w:p w14:paraId="283AE3B9">
            <w:pPr>
              <w:widowControl w:val="0"/>
              <w:adjustRightInd/>
              <w:snapToGrid/>
              <w:spacing w:line="240" w:lineRule="auto"/>
              <w:ind w:firstLine="0" w:firstLineChars="0"/>
              <w:jc w:val="center"/>
              <w:rPr>
                <w:rFonts w:ascii="Times New Roman" w:hAnsi="Times New Roman" w:eastAsia="宋体" w:cs="Times New Roman"/>
                <w:color w:val="auto"/>
                <w:kern w:val="2"/>
                <w:sz w:val="21"/>
                <w:szCs w:val="21"/>
              </w:rPr>
            </w:pPr>
          </w:p>
        </w:tc>
        <w:tc>
          <w:tcPr>
            <w:tcW w:w="655" w:type="pct"/>
            <w:vAlign w:val="center"/>
          </w:tcPr>
          <w:p w14:paraId="78E82564">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柔软剂</w:t>
            </w:r>
          </w:p>
        </w:tc>
        <w:tc>
          <w:tcPr>
            <w:tcW w:w="1173" w:type="pct"/>
            <w:vAlign w:val="center"/>
          </w:tcPr>
          <w:p w14:paraId="5574EE51">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主要成分：糖精钠</w:t>
            </w:r>
          </w:p>
        </w:tc>
        <w:tc>
          <w:tcPr>
            <w:tcW w:w="542" w:type="pct"/>
            <w:vAlign w:val="center"/>
          </w:tcPr>
          <w:p w14:paraId="363ED431">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2.5</w:t>
            </w:r>
          </w:p>
        </w:tc>
        <w:tc>
          <w:tcPr>
            <w:tcW w:w="806" w:type="pct"/>
            <w:vAlign w:val="center"/>
          </w:tcPr>
          <w:p w14:paraId="3EDB488C">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0</w:t>
            </w:r>
          </w:p>
        </w:tc>
        <w:tc>
          <w:tcPr>
            <w:tcW w:w="590" w:type="pct"/>
            <w:vAlign w:val="center"/>
          </w:tcPr>
          <w:p w14:paraId="04E49921">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2.5</w:t>
            </w:r>
          </w:p>
        </w:tc>
        <w:tc>
          <w:tcPr>
            <w:tcW w:w="402" w:type="pct"/>
            <w:vMerge w:val="continue"/>
            <w:vAlign w:val="center"/>
          </w:tcPr>
          <w:p w14:paraId="048CA540">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p>
        </w:tc>
      </w:tr>
      <w:tr w14:paraId="44744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 w:type="pct"/>
            <w:vMerge w:val="continue"/>
            <w:vAlign w:val="center"/>
          </w:tcPr>
          <w:p w14:paraId="191CC6DA">
            <w:pPr>
              <w:widowControl w:val="0"/>
              <w:adjustRightInd/>
              <w:snapToGrid/>
              <w:spacing w:line="240" w:lineRule="auto"/>
              <w:ind w:firstLine="0" w:firstLineChars="0"/>
              <w:jc w:val="left"/>
              <w:rPr>
                <w:rFonts w:ascii="Times New Roman" w:hAnsi="Times New Roman" w:eastAsia="宋体" w:cs="Times New Roman"/>
                <w:color w:val="auto"/>
                <w:kern w:val="2"/>
                <w:sz w:val="21"/>
                <w:szCs w:val="21"/>
              </w:rPr>
            </w:pPr>
          </w:p>
        </w:tc>
        <w:tc>
          <w:tcPr>
            <w:tcW w:w="437" w:type="pct"/>
            <w:vMerge w:val="continue"/>
            <w:vAlign w:val="center"/>
          </w:tcPr>
          <w:p w14:paraId="3C0B28A3">
            <w:pPr>
              <w:widowControl w:val="0"/>
              <w:adjustRightInd/>
              <w:snapToGrid/>
              <w:spacing w:line="240" w:lineRule="auto"/>
              <w:ind w:firstLine="0" w:firstLineChars="0"/>
              <w:jc w:val="center"/>
              <w:rPr>
                <w:rFonts w:ascii="Times New Roman" w:hAnsi="Times New Roman" w:eastAsia="宋体" w:cs="Times New Roman"/>
                <w:color w:val="auto"/>
                <w:kern w:val="2"/>
                <w:sz w:val="21"/>
                <w:szCs w:val="21"/>
              </w:rPr>
            </w:pPr>
          </w:p>
        </w:tc>
        <w:tc>
          <w:tcPr>
            <w:tcW w:w="655" w:type="pct"/>
            <w:vAlign w:val="center"/>
          </w:tcPr>
          <w:p w14:paraId="3EE6CA4B">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光亮剂</w:t>
            </w:r>
          </w:p>
        </w:tc>
        <w:tc>
          <w:tcPr>
            <w:tcW w:w="1173" w:type="pct"/>
            <w:vAlign w:val="center"/>
          </w:tcPr>
          <w:p w14:paraId="4636E23C">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主要成分：丁炔二醇，糖精，丙烷磺酸吡啶嗡盐</w:t>
            </w:r>
          </w:p>
        </w:tc>
        <w:tc>
          <w:tcPr>
            <w:tcW w:w="542" w:type="pct"/>
            <w:vAlign w:val="center"/>
          </w:tcPr>
          <w:p w14:paraId="5F3025E3">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1</w:t>
            </w:r>
          </w:p>
        </w:tc>
        <w:tc>
          <w:tcPr>
            <w:tcW w:w="806" w:type="pct"/>
            <w:vAlign w:val="center"/>
          </w:tcPr>
          <w:p w14:paraId="2E508F7C">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0</w:t>
            </w:r>
          </w:p>
        </w:tc>
        <w:tc>
          <w:tcPr>
            <w:tcW w:w="590" w:type="pct"/>
            <w:vAlign w:val="center"/>
          </w:tcPr>
          <w:p w14:paraId="7A53EC62">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1</w:t>
            </w:r>
          </w:p>
        </w:tc>
        <w:tc>
          <w:tcPr>
            <w:tcW w:w="402" w:type="pct"/>
            <w:vMerge w:val="continue"/>
            <w:vAlign w:val="center"/>
          </w:tcPr>
          <w:p w14:paraId="42E0FD28">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p>
        </w:tc>
      </w:tr>
      <w:tr w14:paraId="5D660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 w:type="pct"/>
            <w:vMerge w:val="continue"/>
            <w:vAlign w:val="center"/>
          </w:tcPr>
          <w:p w14:paraId="0ECEDFA8">
            <w:pPr>
              <w:widowControl w:val="0"/>
              <w:adjustRightInd/>
              <w:snapToGrid/>
              <w:spacing w:line="240" w:lineRule="auto"/>
              <w:ind w:firstLine="0" w:firstLineChars="0"/>
              <w:jc w:val="left"/>
              <w:rPr>
                <w:rFonts w:ascii="Times New Roman" w:hAnsi="Times New Roman" w:eastAsia="宋体" w:cs="Times New Roman"/>
                <w:color w:val="auto"/>
                <w:kern w:val="2"/>
                <w:sz w:val="21"/>
                <w:szCs w:val="21"/>
              </w:rPr>
            </w:pPr>
          </w:p>
        </w:tc>
        <w:tc>
          <w:tcPr>
            <w:tcW w:w="437" w:type="pct"/>
            <w:vMerge w:val="restart"/>
            <w:vAlign w:val="center"/>
          </w:tcPr>
          <w:p w14:paraId="3522BA0A">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漂白</w:t>
            </w:r>
          </w:p>
        </w:tc>
        <w:tc>
          <w:tcPr>
            <w:tcW w:w="655" w:type="pct"/>
            <w:vAlign w:val="center"/>
          </w:tcPr>
          <w:p w14:paraId="7DA93478">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一水柠檬酸</w:t>
            </w:r>
          </w:p>
        </w:tc>
        <w:tc>
          <w:tcPr>
            <w:tcW w:w="1173" w:type="pct"/>
            <w:vAlign w:val="center"/>
          </w:tcPr>
          <w:p w14:paraId="7BCED5BD">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w:t>
            </w:r>
          </w:p>
        </w:tc>
        <w:tc>
          <w:tcPr>
            <w:tcW w:w="542" w:type="pct"/>
            <w:vAlign w:val="center"/>
          </w:tcPr>
          <w:p w14:paraId="79126596">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4.2</w:t>
            </w:r>
          </w:p>
        </w:tc>
        <w:tc>
          <w:tcPr>
            <w:tcW w:w="806" w:type="pct"/>
            <w:vAlign w:val="center"/>
          </w:tcPr>
          <w:p w14:paraId="39366670">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0</w:t>
            </w:r>
          </w:p>
        </w:tc>
        <w:tc>
          <w:tcPr>
            <w:tcW w:w="590" w:type="pct"/>
            <w:vAlign w:val="center"/>
          </w:tcPr>
          <w:p w14:paraId="4E8F99DE">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4.2</w:t>
            </w:r>
          </w:p>
        </w:tc>
        <w:tc>
          <w:tcPr>
            <w:tcW w:w="402" w:type="pct"/>
            <w:vMerge w:val="continue"/>
            <w:vAlign w:val="center"/>
          </w:tcPr>
          <w:p w14:paraId="5720B237">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p>
        </w:tc>
      </w:tr>
      <w:tr w14:paraId="0AB90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 w:type="pct"/>
            <w:vMerge w:val="continue"/>
            <w:vAlign w:val="center"/>
          </w:tcPr>
          <w:p w14:paraId="0E598A3E">
            <w:pPr>
              <w:widowControl w:val="0"/>
              <w:adjustRightInd/>
              <w:snapToGrid/>
              <w:spacing w:line="240" w:lineRule="auto"/>
              <w:ind w:firstLine="0" w:firstLineChars="0"/>
              <w:jc w:val="left"/>
              <w:rPr>
                <w:rFonts w:ascii="Times New Roman" w:hAnsi="Times New Roman" w:eastAsia="宋体" w:cs="Times New Roman"/>
                <w:color w:val="auto"/>
                <w:kern w:val="2"/>
                <w:sz w:val="21"/>
                <w:szCs w:val="21"/>
              </w:rPr>
            </w:pPr>
          </w:p>
        </w:tc>
        <w:tc>
          <w:tcPr>
            <w:tcW w:w="437" w:type="pct"/>
            <w:vMerge w:val="continue"/>
            <w:vAlign w:val="center"/>
          </w:tcPr>
          <w:p w14:paraId="17CF6052">
            <w:pPr>
              <w:widowControl w:val="0"/>
              <w:adjustRightInd/>
              <w:snapToGrid/>
              <w:spacing w:line="240" w:lineRule="auto"/>
              <w:ind w:firstLine="0" w:firstLineChars="0"/>
              <w:jc w:val="center"/>
              <w:rPr>
                <w:rFonts w:ascii="Times New Roman" w:hAnsi="Times New Roman" w:eastAsia="宋体" w:cs="Times New Roman"/>
                <w:color w:val="auto"/>
                <w:kern w:val="2"/>
                <w:sz w:val="21"/>
                <w:szCs w:val="21"/>
              </w:rPr>
            </w:pPr>
          </w:p>
        </w:tc>
        <w:tc>
          <w:tcPr>
            <w:tcW w:w="655" w:type="pct"/>
            <w:vAlign w:val="center"/>
          </w:tcPr>
          <w:p w14:paraId="043A383B">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葡萄糖酸钠</w:t>
            </w:r>
          </w:p>
        </w:tc>
        <w:tc>
          <w:tcPr>
            <w:tcW w:w="1173" w:type="pct"/>
            <w:vAlign w:val="center"/>
          </w:tcPr>
          <w:p w14:paraId="013CB326">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w:t>
            </w:r>
          </w:p>
        </w:tc>
        <w:tc>
          <w:tcPr>
            <w:tcW w:w="542" w:type="pct"/>
            <w:vAlign w:val="center"/>
          </w:tcPr>
          <w:p w14:paraId="76600473">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1.5</w:t>
            </w:r>
          </w:p>
        </w:tc>
        <w:tc>
          <w:tcPr>
            <w:tcW w:w="806" w:type="pct"/>
            <w:vAlign w:val="center"/>
          </w:tcPr>
          <w:p w14:paraId="6774A49A">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0</w:t>
            </w:r>
          </w:p>
        </w:tc>
        <w:tc>
          <w:tcPr>
            <w:tcW w:w="590" w:type="pct"/>
            <w:vAlign w:val="center"/>
          </w:tcPr>
          <w:p w14:paraId="7458011D">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1.5</w:t>
            </w:r>
          </w:p>
        </w:tc>
        <w:tc>
          <w:tcPr>
            <w:tcW w:w="402" w:type="pct"/>
            <w:vMerge w:val="continue"/>
            <w:vAlign w:val="center"/>
          </w:tcPr>
          <w:p w14:paraId="0B7B1160">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p>
        </w:tc>
      </w:tr>
      <w:tr w14:paraId="41D35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 w:type="pct"/>
            <w:vMerge w:val="continue"/>
            <w:vAlign w:val="center"/>
          </w:tcPr>
          <w:p w14:paraId="49F550CE">
            <w:pPr>
              <w:widowControl w:val="0"/>
              <w:adjustRightInd/>
              <w:snapToGrid/>
              <w:spacing w:line="240" w:lineRule="auto"/>
              <w:ind w:firstLine="0" w:firstLineChars="0"/>
              <w:jc w:val="left"/>
              <w:rPr>
                <w:rFonts w:ascii="Times New Roman" w:hAnsi="Times New Roman" w:eastAsia="宋体" w:cs="Times New Roman"/>
                <w:color w:val="auto"/>
                <w:kern w:val="2"/>
                <w:sz w:val="21"/>
                <w:szCs w:val="21"/>
              </w:rPr>
            </w:pPr>
          </w:p>
        </w:tc>
        <w:tc>
          <w:tcPr>
            <w:tcW w:w="437" w:type="pct"/>
            <w:vMerge w:val="restart"/>
            <w:vAlign w:val="center"/>
          </w:tcPr>
          <w:p w14:paraId="497AEE6B">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中和</w:t>
            </w:r>
          </w:p>
        </w:tc>
        <w:tc>
          <w:tcPr>
            <w:tcW w:w="655" w:type="pct"/>
            <w:vAlign w:val="center"/>
          </w:tcPr>
          <w:p w14:paraId="4ABEDFB0">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氢氧</w:t>
            </w:r>
          </w:p>
        </w:tc>
        <w:tc>
          <w:tcPr>
            <w:tcW w:w="1173" w:type="pct"/>
            <w:vMerge w:val="restart"/>
            <w:vAlign w:val="center"/>
          </w:tcPr>
          <w:p w14:paraId="7939CE06">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99%</w:t>
            </w:r>
          </w:p>
        </w:tc>
        <w:tc>
          <w:tcPr>
            <w:tcW w:w="542" w:type="pct"/>
            <w:vMerge w:val="restart"/>
            <w:vAlign w:val="center"/>
          </w:tcPr>
          <w:p w14:paraId="0A8EAA7C">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9</w:t>
            </w:r>
          </w:p>
        </w:tc>
        <w:tc>
          <w:tcPr>
            <w:tcW w:w="806" w:type="pct"/>
            <w:vAlign w:val="center"/>
          </w:tcPr>
          <w:p w14:paraId="7C09561A">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0</w:t>
            </w:r>
          </w:p>
        </w:tc>
        <w:tc>
          <w:tcPr>
            <w:tcW w:w="590" w:type="pct"/>
            <w:vAlign w:val="center"/>
          </w:tcPr>
          <w:p w14:paraId="501E5B64">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9</w:t>
            </w:r>
          </w:p>
        </w:tc>
        <w:tc>
          <w:tcPr>
            <w:tcW w:w="402" w:type="pct"/>
            <w:vMerge w:val="continue"/>
            <w:vAlign w:val="center"/>
          </w:tcPr>
          <w:p w14:paraId="2DBA42F9">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p>
        </w:tc>
      </w:tr>
      <w:tr w14:paraId="79546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 w:type="pct"/>
            <w:vMerge w:val="continue"/>
            <w:vAlign w:val="center"/>
          </w:tcPr>
          <w:p w14:paraId="139CF0B3">
            <w:pPr>
              <w:widowControl w:val="0"/>
              <w:adjustRightInd/>
              <w:snapToGrid/>
              <w:spacing w:line="240" w:lineRule="auto"/>
              <w:ind w:firstLine="0" w:firstLineChars="0"/>
              <w:jc w:val="left"/>
              <w:rPr>
                <w:rFonts w:ascii="Times New Roman" w:hAnsi="Times New Roman" w:eastAsia="宋体" w:cs="Times New Roman"/>
                <w:color w:val="auto"/>
                <w:kern w:val="2"/>
                <w:sz w:val="21"/>
                <w:szCs w:val="21"/>
              </w:rPr>
            </w:pPr>
          </w:p>
        </w:tc>
        <w:tc>
          <w:tcPr>
            <w:tcW w:w="437" w:type="pct"/>
            <w:vMerge w:val="continue"/>
            <w:vAlign w:val="center"/>
          </w:tcPr>
          <w:p w14:paraId="19A6E480">
            <w:pPr>
              <w:widowControl w:val="0"/>
              <w:adjustRightInd/>
              <w:snapToGrid/>
              <w:spacing w:line="240" w:lineRule="auto"/>
              <w:ind w:firstLine="0" w:firstLineChars="0"/>
              <w:jc w:val="center"/>
              <w:rPr>
                <w:rFonts w:ascii="Times New Roman" w:hAnsi="Times New Roman" w:eastAsia="宋体" w:cs="Times New Roman"/>
                <w:color w:val="auto"/>
                <w:kern w:val="2"/>
                <w:sz w:val="21"/>
                <w:szCs w:val="21"/>
              </w:rPr>
            </w:pPr>
          </w:p>
        </w:tc>
        <w:tc>
          <w:tcPr>
            <w:tcW w:w="655" w:type="pct"/>
            <w:vAlign w:val="center"/>
          </w:tcPr>
          <w:p w14:paraId="602BA87C">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化钠</w:t>
            </w:r>
          </w:p>
        </w:tc>
        <w:tc>
          <w:tcPr>
            <w:tcW w:w="1173" w:type="pct"/>
            <w:vMerge w:val="continue"/>
            <w:vAlign w:val="center"/>
          </w:tcPr>
          <w:p w14:paraId="2C2F4FD0">
            <w:pPr>
              <w:widowControl w:val="0"/>
              <w:adjustRightInd/>
              <w:snapToGrid/>
              <w:spacing w:line="240" w:lineRule="auto"/>
              <w:ind w:firstLine="0" w:firstLineChars="0"/>
              <w:jc w:val="center"/>
              <w:rPr>
                <w:rFonts w:ascii="Times New Roman" w:hAnsi="Times New Roman" w:eastAsia="宋体" w:cs="Times New Roman"/>
                <w:color w:val="auto"/>
                <w:kern w:val="2"/>
                <w:sz w:val="21"/>
                <w:szCs w:val="21"/>
              </w:rPr>
            </w:pPr>
          </w:p>
        </w:tc>
        <w:tc>
          <w:tcPr>
            <w:tcW w:w="542" w:type="pct"/>
            <w:vMerge w:val="continue"/>
            <w:vAlign w:val="center"/>
          </w:tcPr>
          <w:p w14:paraId="24DC1BB8">
            <w:pPr>
              <w:widowControl w:val="0"/>
              <w:adjustRightInd/>
              <w:snapToGrid/>
              <w:spacing w:line="240" w:lineRule="auto"/>
              <w:ind w:firstLine="0" w:firstLineChars="0"/>
              <w:jc w:val="center"/>
              <w:rPr>
                <w:rFonts w:ascii="Times New Roman" w:hAnsi="Times New Roman" w:eastAsia="宋体" w:cs="Times New Roman"/>
                <w:color w:val="auto"/>
                <w:kern w:val="2"/>
                <w:sz w:val="21"/>
                <w:szCs w:val="21"/>
              </w:rPr>
            </w:pPr>
          </w:p>
        </w:tc>
        <w:tc>
          <w:tcPr>
            <w:tcW w:w="806" w:type="pct"/>
            <w:vAlign w:val="center"/>
          </w:tcPr>
          <w:p w14:paraId="76F3D355">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0</w:t>
            </w:r>
          </w:p>
        </w:tc>
        <w:tc>
          <w:tcPr>
            <w:tcW w:w="590" w:type="pct"/>
            <w:vAlign w:val="center"/>
          </w:tcPr>
          <w:p w14:paraId="309D19CA">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0</w:t>
            </w:r>
          </w:p>
        </w:tc>
        <w:tc>
          <w:tcPr>
            <w:tcW w:w="402" w:type="pct"/>
            <w:vMerge w:val="continue"/>
            <w:vAlign w:val="center"/>
          </w:tcPr>
          <w:p w14:paraId="12D3D18D">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p>
        </w:tc>
      </w:tr>
      <w:tr w14:paraId="52676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 w:type="pct"/>
            <w:vMerge w:val="continue"/>
            <w:vAlign w:val="center"/>
          </w:tcPr>
          <w:p w14:paraId="005E63CA">
            <w:pPr>
              <w:widowControl w:val="0"/>
              <w:adjustRightInd/>
              <w:snapToGrid/>
              <w:spacing w:line="240" w:lineRule="auto"/>
              <w:ind w:firstLine="0" w:firstLineChars="0"/>
              <w:jc w:val="left"/>
              <w:rPr>
                <w:rFonts w:ascii="Times New Roman" w:hAnsi="Times New Roman" w:eastAsia="宋体" w:cs="Times New Roman"/>
                <w:color w:val="auto"/>
                <w:kern w:val="2"/>
                <w:sz w:val="21"/>
                <w:szCs w:val="21"/>
              </w:rPr>
            </w:pPr>
          </w:p>
        </w:tc>
        <w:tc>
          <w:tcPr>
            <w:tcW w:w="437" w:type="pct"/>
            <w:vAlign w:val="center"/>
          </w:tcPr>
          <w:p w14:paraId="7332F2AF">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钝化</w:t>
            </w:r>
          </w:p>
        </w:tc>
        <w:tc>
          <w:tcPr>
            <w:tcW w:w="655" w:type="pct"/>
            <w:vAlign w:val="center"/>
          </w:tcPr>
          <w:p w14:paraId="50E49CCE">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铬酸酐</w:t>
            </w:r>
          </w:p>
        </w:tc>
        <w:tc>
          <w:tcPr>
            <w:tcW w:w="1173" w:type="pct"/>
            <w:vAlign w:val="center"/>
          </w:tcPr>
          <w:p w14:paraId="1D425B55">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99.80%</w:t>
            </w:r>
          </w:p>
        </w:tc>
        <w:tc>
          <w:tcPr>
            <w:tcW w:w="542" w:type="pct"/>
            <w:vAlign w:val="center"/>
          </w:tcPr>
          <w:p w14:paraId="16994318">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1.163</w:t>
            </w:r>
          </w:p>
        </w:tc>
        <w:tc>
          <w:tcPr>
            <w:tcW w:w="806" w:type="pct"/>
            <w:vAlign w:val="center"/>
          </w:tcPr>
          <w:p w14:paraId="36E6356D">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0</w:t>
            </w:r>
          </w:p>
        </w:tc>
        <w:tc>
          <w:tcPr>
            <w:tcW w:w="590" w:type="pct"/>
            <w:vAlign w:val="center"/>
          </w:tcPr>
          <w:p w14:paraId="5BC225D1">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1.163</w:t>
            </w:r>
          </w:p>
        </w:tc>
        <w:tc>
          <w:tcPr>
            <w:tcW w:w="402" w:type="pct"/>
            <w:vMerge w:val="continue"/>
            <w:vAlign w:val="center"/>
          </w:tcPr>
          <w:p w14:paraId="74DD43BB">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p>
        </w:tc>
      </w:tr>
      <w:tr w14:paraId="3EFAA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 w:type="pct"/>
            <w:vMerge w:val="continue"/>
            <w:vAlign w:val="center"/>
          </w:tcPr>
          <w:p w14:paraId="1CBD5F88">
            <w:pPr>
              <w:widowControl w:val="0"/>
              <w:adjustRightInd/>
              <w:snapToGrid/>
              <w:spacing w:line="240" w:lineRule="auto"/>
              <w:ind w:firstLine="0" w:firstLineChars="0"/>
              <w:jc w:val="left"/>
              <w:rPr>
                <w:rFonts w:ascii="Times New Roman" w:hAnsi="Times New Roman" w:eastAsia="宋体" w:cs="Times New Roman"/>
                <w:color w:val="auto"/>
                <w:kern w:val="2"/>
                <w:sz w:val="21"/>
                <w:szCs w:val="21"/>
              </w:rPr>
            </w:pPr>
          </w:p>
        </w:tc>
        <w:tc>
          <w:tcPr>
            <w:tcW w:w="437" w:type="pct"/>
            <w:vAlign w:val="center"/>
          </w:tcPr>
          <w:p w14:paraId="1870E893">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封闭</w:t>
            </w:r>
          </w:p>
        </w:tc>
        <w:tc>
          <w:tcPr>
            <w:tcW w:w="655" w:type="pct"/>
            <w:vAlign w:val="center"/>
          </w:tcPr>
          <w:p w14:paraId="3AA88C9A">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封闭剂</w:t>
            </w:r>
          </w:p>
        </w:tc>
        <w:tc>
          <w:tcPr>
            <w:tcW w:w="1173" w:type="pct"/>
            <w:vAlign w:val="center"/>
          </w:tcPr>
          <w:p w14:paraId="50E1CF6B">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主要成分：AES和甘油</w:t>
            </w:r>
          </w:p>
        </w:tc>
        <w:tc>
          <w:tcPr>
            <w:tcW w:w="542" w:type="pct"/>
            <w:vAlign w:val="center"/>
          </w:tcPr>
          <w:p w14:paraId="33A5FF92">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13.1</w:t>
            </w:r>
          </w:p>
        </w:tc>
        <w:tc>
          <w:tcPr>
            <w:tcW w:w="806" w:type="pct"/>
            <w:vAlign w:val="center"/>
          </w:tcPr>
          <w:p w14:paraId="3DED8B59">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0</w:t>
            </w:r>
          </w:p>
        </w:tc>
        <w:tc>
          <w:tcPr>
            <w:tcW w:w="590" w:type="pct"/>
            <w:vAlign w:val="center"/>
          </w:tcPr>
          <w:p w14:paraId="16F66780">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13.1</w:t>
            </w:r>
          </w:p>
        </w:tc>
        <w:tc>
          <w:tcPr>
            <w:tcW w:w="402" w:type="pct"/>
            <w:vMerge w:val="continue"/>
            <w:vAlign w:val="center"/>
          </w:tcPr>
          <w:p w14:paraId="0D8D6139">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p>
        </w:tc>
      </w:tr>
      <w:tr w14:paraId="6062F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 w:type="pct"/>
            <w:vMerge w:val="restart"/>
            <w:vAlign w:val="center"/>
          </w:tcPr>
          <w:p w14:paraId="23F25265">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r>
              <w:rPr>
                <w:rFonts w:ascii="Times New Roman" w:hAnsi="Times New Roman" w:eastAsia="宋体" w:cs="Times New Roman"/>
                <w:color w:val="auto"/>
                <w:kern w:val="0"/>
                <w:sz w:val="21"/>
                <w:szCs w:val="21"/>
                <w:lang w:bidi="ar"/>
              </w:rPr>
              <w:t>退镀线</w:t>
            </w:r>
          </w:p>
        </w:tc>
        <w:tc>
          <w:tcPr>
            <w:tcW w:w="437" w:type="pct"/>
            <w:vMerge w:val="restart"/>
            <w:vAlign w:val="center"/>
          </w:tcPr>
          <w:p w14:paraId="6DF0C3AD">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r>
              <w:rPr>
                <w:rFonts w:ascii="Times New Roman" w:hAnsi="Times New Roman" w:eastAsia="宋体" w:cs="Times New Roman"/>
                <w:color w:val="auto"/>
                <w:kern w:val="0"/>
                <w:sz w:val="21"/>
                <w:szCs w:val="21"/>
                <w:lang w:bidi="ar"/>
              </w:rPr>
              <w:t>退镍</w:t>
            </w:r>
          </w:p>
        </w:tc>
        <w:tc>
          <w:tcPr>
            <w:tcW w:w="655" w:type="pct"/>
            <w:vAlign w:val="center"/>
          </w:tcPr>
          <w:p w14:paraId="4F5A28CF">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硫酸</w:t>
            </w:r>
          </w:p>
        </w:tc>
        <w:tc>
          <w:tcPr>
            <w:tcW w:w="1173" w:type="pct"/>
            <w:vAlign w:val="center"/>
          </w:tcPr>
          <w:p w14:paraId="50EB03AE">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98%</w:t>
            </w:r>
          </w:p>
        </w:tc>
        <w:tc>
          <w:tcPr>
            <w:tcW w:w="542" w:type="pct"/>
            <w:vAlign w:val="center"/>
          </w:tcPr>
          <w:p w14:paraId="2ECAF430">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0.8</w:t>
            </w:r>
          </w:p>
        </w:tc>
        <w:tc>
          <w:tcPr>
            <w:tcW w:w="806" w:type="pct"/>
            <w:vAlign w:val="center"/>
          </w:tcPr>
          <w:p w14:paraId="51C01A65">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val="en-US" w:eastAsia="zh-CN" w:bidi="ar"/>
              </w:rPr>
              <w:t>0.32</w:t>
            </w:r>
          </w:p>
        </w:tc>
        <w:tc>
          <w:tcPr>
            <w:tcW w:w="590" w:type="pct"/>
            <w:vAlign w:val="center"/>
          </w:tcPr>
          <w:p w14:paraId="3D811C11">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r>
              <w:rPr>
                <w:rFonts w:hint="eastAsia" w:ascii="Times New Roman" w:hAnsi="Times New Roman" w:eastAsia="宋体" w:cs="Times New Roman"/>
                <w:color w:val="auto"/>
                <w:kern w:val="0"/>
                <w:sz w:val="21"/>
                <w:szCs w:val="21"/>
                <w:lang w:val="en-US" w:eastAsia="zh-CN" w:bidi="ar"/>
              </w:rPr>
              <w:t>0.48</w:t>
            </w:r>
          </w:p>
        </w:tc>
        <w:tc>
          <w:tcPr>
            <w:tcW w:w="402" w:type="pct"/>
            <w:vMerge w:val="continue"/>
            <w:vAlign w:val="center"/>
          </w:tcPr>
          <w:p w14:paraId="63C66AE9">
            <w:pPr>
              <w:widowControl/>
              <w:adjustRightInd/>
              <w:snapToGrid/>
              <w:spacing w:line="240" w:lineRule="auto"/>
              <w:ind w:firstLine="0" w:firstLineChars="0"/>
              <w:jc w:val="center"/>
              <w:textAlignment w:val="center"/>
              <w:rPr>
                <w:rFonts w:hint="eastAsia" w:ascii="Times New Roman" w:hAnsi="Times New Roman" w:eastAsia="宋体" w:cs="Times New Roman"/>
                <w:color w:val="auto"/>
                <w:kern w:val="0"/>
                <w:sz w:val="21"/>
                <w:szCs w:val="21"/>
                <w:lang w:val="en-US" w:eastAsia="zh-CN" w:bidi="ar"/>
              </w:rPr>
            </w:pPr>
          </w:p>
        </w:tc>
      </w:tr>
      <w:tr w14:paraId="423C5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 w:type="pct"/>
            <w:vMerge w:val="continue"/>
            <w:vAlign w:val="center"/>
          </w:tcPr>
          <w:p w14:paraId="623979BE">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p>
        </w:tc>
        <w:tc>
          <w:tcPr>
            <w:tcW w:w="437" w:type="pct"/>
            <w:vMerge w:val="continue"/>
            <w:vAlign w:val="center"/>
          </w:tcPr>
          <w:p w14:paraId="76A80FEA">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p>
        </w:tc>
        <w:tc>
          <w:tcPr>
            <w:tcW w:w="655" w:type="pct"/>
            <w:vAlign w:val="center"/>
          </w:tcPr>
          <w:p w14:paraId="76DBE59A">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双氧水</w:t>
            </w:r>
          </w:p>
        </w:tc>
        <w:tc>
          <w:tcPr>
            <w:tcW w:w="1173" w:type="pct"/>
            <w:vAlign w:val="center"/>
          </w:tcPr>
          <w:p w14:paraId="1FB5A349">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30%</w:t>
            </w:r>
          </w:p>
        </w:tc>
        <w:tc>
          <w:tcPr>
            <w:tcW w:w="542" w:type="pct"/>
            <w:vAlign w:val="center"/>
          </w:tcPr>
          <w:p w14:paraId="522BF344">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0.6</w:t>
            </w:r>
          </w:p>
        </w:tc>
        <w:tc>
          <w:tcPr>
            <w:tcW w:w="806" w:type="pct"/>
            <w:vAlign w:val="center"/>
          </w:tcPr>
          <w:p w14:paraId="24A4E631">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val="en-US" w:eastAsia="zh-CN" w:bidi="ar"/>
              </w:rPr>
              <w:t>0.24</w:t>
            </w:r>
          </w:p>
        </w:tc>
        <w:tc>
          <w:tcPr>
            <w:tcW w:w="590" w:type="pct"/>
            <w:vAlign w:val="center"/>
          </w:tcPr>
          <w:p w14:paraId="122AA4E1">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r>
              <w:rPr>
                <w:rFonts w:hint="eastAsia" w:ascii="Times New Roman" w:hAnsi="Times New Roman" w:eastAsia="宋体" w:cs="Times New Roman"/>
                <w:color w:val="auto"/>
                <w:kern w:val="0"/>
                <w:sz w:val="21"/>
                <w:szCs w:val="21"/>
                <w:lang w:val="en-US" w:eastAsia="zh-CN" w:bidi="ar"/>
              </w:rPr>
              <w:t>0.36</w:t>
            </w:r>
          </w:p>
        </w:tc>
        <w:tc>
          <w:tcPr>
            <w:tcW w:w="402" w:type="pct"/>
            <w:vMerge w:val="continue"/>
            <w:vAlign w:val="center"/>
          </w:tcPr>
          <w:p w14:paraId="5D6A4EA4">
            <w:pPr>
              <w:widowControl/>
              <w:adjustRightInd/>
              <w:snapToGrid/>
              <w:spacing w:line="240" w:lineRule="auto"/>
              <w:ind w:firstLine="0" w:firstLineChars="0"/>
              <w:jc w:val="center"/>
              <w:textAlignment w:val="center"/>
              <w:rPr>
                <w:rFonts w:hint="eastAsia" w:ascii="Times New Roman" w:hAnsi="Times New Roman" w:eastAsia="宋体" w:cs="Times New Roman"/>
                <w:color w:val="auto"/>
                <w:kern w:val="0"/>
                <w:sz w:val="21"/>
                <w:szCs w:val="21"/>
                <w:lang w:val="en-US" w:eastAsia="zh-CN" w:bidi="ar"/>
              </w:rPr>
            </w:pPr>
          </w:p>
        </w:tc>
      </w:tr>
      <w:tr w14:paraId="29CBB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 w:type="pct"/>
            <w:vMerge w:val="continue"/>
            <w:vAlign w:val="center"/>
          </w:tcPr>
          <w:p w14:paraId="6D444EAA">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p>
        </w:tc>
        <w:tc>
          <w:tcPr>
            <w:tcW w:w="437" w:type="pct"/>
            <w:vMerge w:val="continue"/>
            <w:vAlign w:val="center"/>
          </w:tcPr>
          <w:p w14:paraId="2F10A6C5">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p>
        </w:tc>
        <w:tc>
          <w:tcPr>
            <w:tcW w:w="655" w:type="pct"/>
            <w:vAlign w:val="center"/>
          </w:tcPr>
          <w:p w14:paraId="3E91D375">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退镍剂</w:t>
            </w:r>
          </w:p>
        </w:tc>
        <w:tc>
          <w:tcPr>
            <w:tcW w:w="1173" w:type="pct"/>
            <w:vAlign w:val="center"/>
          </w:tcPr>
          <w:p w14:paraId="4F64C7CF">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w:t>
            </w:r>
          </w:p>
        </w:tc>
        <w:tc>
          <w:tcPr>
            <w:tcW w:w="542" w:type="pct"/>
            <w:vAlign w:val="center"/>
          </w:tcPr>
          <w:p w14:paraId="70690D52">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2.4</w:t>
            </w:r>
          </w:p>
        </w:tc>
        <w:tc>
          <w:tcPr>
            <w:tcW w:w="806" w:type="pct"/>
            <w:vAlign w:val="center"/>
          </w:tcPr>
          <w:p w14:paraId="7CCCEA39">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val="en-US" w:eastAsia="zh-CN" w:bidi="ar"/>
              </w:rPr>
              <w:t>0.96</w:t>
            </w:r>
          </w:p>
        </w:tc>
        <w:tc>
          <w:tcPr>
            <w:tcW w:w="590" w:type="pct"/>
            <w:vAlign w:val="center"/>
          </w:tcPr>
          <w:p w14:paraId="5EF8FB59">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r>
              <w:rPr>
                <w:rFonts w:hint="eastAsia" w:ascii="Times New Roman" w:hAnsi="Times New Roman" w:eastAsia="宋体" w:cs="Times New Roman"/>
                <w:color w:val="auto"/>
                <w:kern w:val="0"/>
                <w:sz w:val="21"/>
                <w:szCs w:val="21"/>
                <w:lang w:val="en-US" w:eastAsia="zh-CN" w:bidi="ar"/>
              </w:rPr>
              <w:t>1.44</w:t>
            </w:r>
          </w:p>
        </w:tc>
        <w:tc>
          <w:tcPr>
            <w:tcW w:w="402" w:type="pct"/>
            <w:vMerge w:val="continue"/>
            <w:vAlign w:val="center"/>
          </w:tcPr>
          <w:p w14:paraId="73C41471">
            <w:pPr>
              <w:widowControl/>
              <w:adjustRightInd/>
              <w:snapToGrid/>
              <w:spacing w:line="240" w:lineRule="auto"/>
              <w:ind w:firstLine="0" w:firstLineChars="0"/>
              <w:jc w:val="center"/>
              <w:textAlignment w:val="center"/>
              <w:rPr>
                <w:rFonts w:hint="eastAsia" w:ascii="Times New Roman" w:hAnsi="Times New Roman" w:eastAsia="宋体" w:cs="Times New Roman"/>
                <w:color w:val="auto"/>
                <w:kern w:val="0"/>
                <w:sz w:val="21"/>
                <w:szCs w:val="21"/>
                <w:lang w:val="en-US" w:eastAsia="zh-CN" w:bidi="ar"/>
              </w:rPr>
            </w:pPr>
          </w:p>
        </w:tc>
      </w:tr>
      <w:tr w14:paraId="5C190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 w:type="pct"/>
            <w:vMerge w:val="continue"/>
            <w:vAlign w:val="center"/>
          </w:tcPr>
          <w:p w14:paraId="384AB0D0">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p>
        </w:tc>
        <w:tc>
          <w:tcPr>
            <w:tcW w:w="437" w:type="pct"/>
            <w:vMerge w:val="restart"/>
            <w:vAlign w:val="center"/>
          </w:tcPr>
          <w:p w14:paraId="1F363A15">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r>
              <w:rPr>
                <w:rFonts w:ascii="Times New Roman" w:hAnsi="Times New Roman" w:eastAsia="宋体" w:cs="Times New Roman"/>
                <w:color w:val="auto"/>
                <w:kern w:val="0"/>
                <w:sz w:val="21"/>
                <w:szCs w:val="21"/>
                <w:lang w:bidi="ar"/>
              </w:rPr>
              <w:t>退锌</w:t>
            </w:r>
          </w:p>
        </w:tc>
        <w:tc>
          <w:tcPr>
            <w:tcW w:w="655" w:type="pct"/>
            <w:vAlign w:val="center"/>
          </w:tcPr>
          <w:p w14:paraId="3FF26FEF">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r>
              <w:rPr>
                <w:rFonts w:ascii="Times New Roman" w:hAnsi="Times New Roman" w:eastAsia="宋体" w:cs="Times New Roman"/>
                <w:color w:val="auto"/>
                <w:kern w:val="0"/>
                <w:sz w:val="21"/>
                <w:szCs w:val="21"/>
                <w:lang w:bidi="ar"/>
              </w:rPr>
              <w:t>盐酸</w:t>
            </w:r>
          </w:p>
        </w:tc>
        <w:tc>
          <w:tcPr>
            <w:tcW w:w="1173" w:type="pct"/>
            <w:vAlign w:val="center"/>
          </w:tcPr>
          <w:p w14:paraId="016D71C0">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30%</w:t>
            </w:r>
          </w:p>
        </w:tc>
        <w:tc>
          <w:tcPr>
            <w:tcW w:w="542" w:type="pct"/>
            <w:vAlign w:val="center"/>
          </w:tcPr>
          <w:p w14:paraId="3001FEEE">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3.2</w:t>
            </w:r>
          </w:p>
        </w:tc>
        <w:tc>
          <w:tcPr>
            <w:tcW w:w="806" w:type="pct"/>
            <w:vAlign w:val="center"/>
          </w:tcPr>
          <w:p w14:paraId="0D0C5D65">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val="en-US" w:eastAsia="zh-CN" w:bidi="ar"/>
              </w:rPr>
              <w:t>1.28</w:t>
            </w:r>
          </w:p>
        </w:tc>
        <w:tc>
          <w:tcPr>
            <w:tcW w:w="590" w:type="pct"/>
            <w:vAlign w:val="center"/>
          </w:tcPr>
          <w:p w14:paraId="192FB608">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r>
              <w:rPr>
                <w:rFonts w:hint="eastAsia" w:ascii="Times New Roman" w:hAnsi="Times New Roman" w:eastAsia="宋体" w:cs="Times New Roman"/>
                <w:color w:val="auto"/>
                <w:kern w:val="0"/>
                <w:sz w:val="21"/>
                <w:szCs w:val="21"/>
                <w:lang w:val="en-US" w:eastAsia="zh-CN" w:bidi="ar"/>
              </w:rPr>
              <w:t>1.92</w:t>
            </w:r>
          </w:p>
        </w:tc>
        <w:tc>
          <w:tcPr>
            <w:tcW w:w="402" w:type="pct"/>
            <w:vMerge w:val="continue"/>
            <w:vAlign w:val="center"/>
          </w:tcPr>
          <w:p w14:paraId="445E8B4F">
            <w:pPr>
              <w:widowControl/>
              <w:adjustRightInd/>
              <w:snapToGrid/>
              <w:spacing w:line="240" w:lineRule="auto"/>
              <w:ind w:firstLine="0" w:firstLineChars="0"/>
              <w:jc w:val="center"/>
              <w:textAlignment w:val="center"/>
              <w:rPr>
                <w:rFonts w:hint="eastAsia" w:ascii="Times New Roman" w:hAnsi="Times New Roman" w:eastAsia="宋体" w:cs="Times New Roman"/>
                <w:color w:val="auto"/>
                <w:kern w:val="0"/>
                <w:sz w:val="21"/>
                <w:szCs w:val="21"/>
                <w:lang w:val="en-US" w:eastAsia="zh-CN" w:bidi="ar"/>
              </w:rPr>
            </w:pPr>
          </w:p>
        </w:tc>
      </w:tr>
      <w:tr w14:paraId="75E30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 w:type="pct"/>
            <w:vMerge w:val="continue"/>
            <w:vAlign w:val="center"/>
          </w:tcPr>
          <w:p w14:paraId="6F2E13E1">
            <w:pPr>
              <w:widowControl w:val="0"/>
              <w:adjustRightInd/>
              <w:snapToGrid/>
              <w:spacing w:line="240" w:lineRule="auto"/>
              <w:ind w:firstLine="0" w:firstLineChars="0"/>
              <w:jc w:val="left"/>
              <w:rPr>
                <w:rFonts w:ascii="Times New Roman" w:hAnsi="Times New Roman" w:eastAsia="宋体" w:cs="Times New Roman"/>
                <w:color w:val="auto"/>
                <w:kern w:val="2"/>
                <w:sz w:val="21"/>
                <w:szCs w:val="21"/>
              </w:rPr>
            </w:pPr>
          </w:p>
        </w:tc>
        <w:tc>
          <w:tcPr>
            <w:tcW w:w="437" w:type="pct"/>
            <w:vMerge w:val="continue"/>
            <w:vAlign w:val="center"/>
          </w:tcPr>
          <w:p w14:paraId="1E92BA1D">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p>
        </w:tc>
        <w:tc>
          <w:tcPr>
            <w:tcW w:w="655" w:type="pct"/>
            <w:vAlign w:val="center"/>
          </w:tcPr>
          <w:p w14:paraId="3645BDF5">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r>
              <w:rPr>
                <w:rFonts w:hint="eastAsia" w:ascii="Times New Roman" w:hAnsi="Times New Roman" w:eastAsia="宋体" w:cs="Times New Roman"/>
                <w:color w:val="auto"/>
                <w:kern w:val="0"/>
                <w:sz w:val="21"/>
                <w:szCs w:val="21"/>
                <w:lang w:bidi="ar"/>
              </w:rPr>
              <w:t>脱脂剂</w:t>
            </w:r>
          </w:p>
        </w:tc>
        <w:tc>
          <w:tcPr>
            <w:tcW w:w="1173" w:type="pct"/>
            <w:vAlign w:val="center"/>
          </w:tcPr>
          <w:p w14:paraId="4378B990">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r>
              <w:rPr>
                <w:rFonts w:ascii="Times New Roman" w:hAnsi="Times New Roman" w:eastAsia="宋体" w:cs="Times New Roman"/>
                <w:color w:val="auto"/>
                <w:kern w:val="0"/>
                <w:sz w:val="21"/>
                <w:szCs w:val="21"/>
                <w:lang w:bidi="ar"/>
              </w:rPr>
              <w:t>主要成分：氢氧化钠或硅酸钠或碳酸钠</w:t>
            </w:r>
          </w:p>
        </w:tc>
        <w:tc>
          <w:tcPr>
            <w:tcW w:w="542" w:type="pct"/>
            <w:vAlign w:val="center"/>
          </w:tcPr>
          <w:p w14:paraId="74E13B5F">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r>
              <w:rPr>
                <w:rFonts w:hint="eastAsia" w:ascii="Times New Roman" w:hAnsi="Times New Roman" w:eastAsia="宋体" w:cs="Times New Roman"/>
                <w:color w:val="auto"/>
                <w:kern w:val="0"/>
                <w:sz w:val="21"/>
                <w:szCs w:val="21"/>
                <w:lang w:bidi="ar"/>
              </w:rPr>
              <w:t>0</w:t>
            </w:r>
          </w:p>
        </w:tc>
        <w:tc>
          <w:tcPr>
            <w:tcW w:w="806" w:type="pct"/>
            <w:vAlign w:val="center"/>
          </w:tcPr>
          <w:p w14:paraId="10386E2A">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r>
              <w:rPr>
                <w:rFonts w:hint="eastAsia" w:ascii="Times New Roman" w:hAnsi="Times New Roman" w:eastAsia="宋体" w:cs="Times New Roman"/>
                <w:color w:val="auto"/>
                <w:kern w:val="0"/>
                <w:sz w:val="21"/>
                <w:szCs w:val="21"/>
                <w:lang w:bidi="ar"/>
              </w:rPr>
              <w:t>0.2</w:t>
            </w:r>
          </w:p>
        </w:tc>
        <w:tc>
          <w:tcPr>
            <w:tcW w:w="590" w:type="pct"/>
            <w:vAlign w:val="center"/>
          </w:tcPr>
          <w:p w14:paraId="0CB96D0D">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r>
              <w:rPr>
                <w:rFonts w:hint="eastAsia" w:ascii="Times New Roman" w:hAnsi="Times New Roman" w:eastAsia="宋体" w:cs="Times New Roman"/>
                <w:color w:val="auto"/>
                <w:kern w:val="0"/>
                <w:sz w:val="21"/>
                <w:szCs w:val="21"/>
                <w:lang w:bidi="ar"/>
              </w:rPr>
              <w:t>0.2</w:t>
            </w:r>
          </w:p>
        </w:tc>
        <w:tc>
          <w:tcPr>
            <w:tcW w:w="402" w:type="pct"/>
            <w:vMerge w:val="continue"/>
            <w:vAlign w:val="center"/>
          </w:tcPr>
          <w:p w14:paraId="49A2BEBF">
            <w:pPr>
              <w:widowControl/>
              <w:adjustRightInd/>
              <w:snapToGrid/>
              <w:spacing w:line="240" w:lineRule="auto"/>
              <w:ind w:firstLine="0" w:firstLineChars="0"/>
              <w:jc w:val="center"/>
              <w:textAlignment w:val="center"/>
              <w:rPr>
                <w:rFonts w:hint="eastAsia" w:ascii="Times New Roman" w:hAnsi="Times New Roman" w:eastAsia="宋体" w:cs="Times New Roman"/>
                <w:color w:val="auto"/>
                <w:kern w:val="0"/>
                <w:sz w:val="21"/>
                <w:szCs w:val="21"/>
                <w:lang w:bidi="ar"/>
              </w:rPr>
            </w:pPr>
          </w:p>
        </w:tc>
      </w:tr>
      <w:tr w14:paraId="192BA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 w:type="pct"/>
            <w:vMerge w:val="restart"/>
            <w:vAlign w:val="center"/>
          </w:tcPr>
          <w:p w14:paraId="432825BE">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污水处理自动加药装置</w:t>
            </w:r>
          </w:p>
        </w:tc>
        <w:tc>
          <w:tcPr>
            <w:tcW w:w="1092" w:type="pct"/>
            <w:gridSpan w:val="2"/>
            <w:vAlign w:val="center"/>
          </w:tcPr>
          <w:p w14:paraId="0BCE4363">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氢氧化钠</w:t>
            </w:r>
          </w:p>
        </w:tc>
        <w:tc>
          <w:tcPr>
            <w:tcW w:w="1173" w:type="pct"/>
            <w:vAlign w:val="center"/>
          </w:tcPr>
          <w:p w14:paraId="58E0EA7C">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99%</w:t>
            </w:r>
          </w:p>
        </w:tc>
        <w:tc>
          <w:tcPr>
            <w:tcW w:w="542" w:type="pct"/>
            <w:vAlign w:val="center"/>
          </w:tcPr>
          <w:p w14:paraId="27B01FB3">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8</w:t>
            </w:r>
          </w:p>
        </w:tc>
        <w:tc>
          <w:tcPr>
            <w:tcW w:w="806" w:type="pct"/>
            <w:noWrap/>
            <w:vAlign w:val="center"/>
          </w:tcPr>
          <w:p w14:paraId="144FB566">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r>
              <w:rPr>
                <w:rFonts w:hint="eastAsia" w:ascii="Times New Roman" w:hAnsi="Times New Roman" w:eastAsia="宋体" w:cs="Times New Roman"/>
                <w:color w:val="auto"/>
                <w:kern w:val="0"/>
                <w:sz w:val="21"/>
                <w:szCs w:val="21"/>
                <w:lang w:val="en-US" w:eastAsia="zh-CN" w:bidi="ar"/>
              </w:rPr>
              <w:t xml:space="preserve">0.74 </w:t>
            </w:r>
          </w:p>
        </w:tc>
        <w:tc>
          <w:tcPr>
            <w:tcW w:w="590" w:type="pct"/>
            <w:noWrap/>
            <w:vAlign w:val="center"/>
          </w:tcPr>
          <w:p w14:paraId="298446AF">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r>
              <w:rPr>
                <w:rFonts w:hint="eastAsia" w:ascii="Times New Roman" w:hAnsi="Times New Roman" w:eastAsia="宋体" w:cs="Times New Roman"/>
                <w:color w:val="auto"/>
                <w:kern w:val="0"/>
                <w:sz w:val="21"/>
                <w:szCs w:val="21"/>
                <w:lang w:val="en-US" w:eastAsia="zh-CN" w:bidi="ar"/>
              </w:rPr>
              <w:t xml:space="preserve">7.26 </w:t>
            </w:r>
          </w:p>
        </w:tc>
        <w:tc>
          <w:tcPr>
            <w:tcW w:w="402" w:type="pct"/>
            <w:vMerge w:val="continue"/>
            <w:noWrap/>
            <w:vAlign w:val="center"/>
          </w:tcPr>
          <w:p w14:paraId="2A2D4D02">
            <w:pPr>
              <w:widowControl/>
              <w:adjustRightInd/>
              <w:snapToGrid/>
              <w:spacing w:line="240" w:lineRule="auto"/>
              <w:ind w:firstLine="0" w:firstLineChars="0"/>
              <w:jc w:val="center"/>
              <w:textAlignment w:val="center"/>
              <w:rPr>
                <w:rFonts w:hint="eastAsia" w:ascii="Times New Roman" w:hAnsi="Times New Roman" w:eastAsia="宋体" w:cs="Times New Roman"/>
                <w:color w:val="auto"/>
                <w:kern w:val="0"/>
                <w:sz w:val="21"/>
                <w:szCs w:val="21"/>
                <w:lang w:val="en-US" w:eastAsia="zh-CN" w:bidi="ar"/>
              </w:rPr>
            </w:pPr>
          </w:p>
        </w:tc>
      </w:tr>
      <w:tr w14:paraId="2536E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 w:type="pct"/>
            <w:vMerge w:val="continue"/>
            <w:vAlign w:val="center"/>
          </w:tcPr>
          <w:p w14:paraId="44BF9A84">
            <w:pPr>
              <w:widowControl w:val="0"/>
              <w:adjustRightInd/>
              <w:snapToGrid/>
              <w:spacing w:line="240" w:lineRule="auto"/>
              <w:ind w:firstLine="0" w:firstLineChars="0"/>
              <w:jc w:val="center"/>
              <w:rPr>
                <w:rFonts w:ascii="Times New Roman" w:hAnsi="Times New Roman" w:eastAsia="宋体" w:cs="Times New Roman"/>
                <w:color w:val="auto"/>
                <w:kern w:val="2"/>
                <w:sz w:val="21"/>
                <w:szCs w:val="21"/>
              </w:rPr>
            </w:pPr>
          </w:p>
        </w:tc>
        <w:tc>
          <w:tcPr>
            <w:tcW w:w="1092" w:type="pct"/>
            <w:gridSpan w:val="2"/>
            <w:vAlign w:val="center"/>
          </w:tcPr>
          <w:p w14:paraId="3813131A">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亚硫酸氢钠</w:t>
            </w:r>
          </w:p>
        </w:tc>
        <w:tc>
          <w:tcPr>
            <w:tcW w:w="1173" w:type="pct"/>
            <w:vAlign w:val="center"/>
          </w:tcPr>
          <w:p w14:paraId="44A3B91B">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99%</w:t>
            </w:r>
          </w:p>
        </w:tc>
        <w:tc>
          <w:tcPr>
            <w:tcW w:w="542" w:type="pct"/>
            <w:vAlign w:val="center"/>
          </w:tcPr>
          <w:p w14:paraId="7BD61150">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3</w:t>
            </w:r>
          </w:p>
        </w:tc>
        <w:tc>
          <w:tcPr>
            <w:tcW w:w="806" w:type="pct"/>
            <w:noWrap/>
            <w:vAlign w:val="center"/>
          </w:tcPr>
          <w:p w14:paraId="4BB3FE11">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r>
              <w:rPr>
                <w:rFonts w:hint="eastAsia" w:ascii="Times New Roman" w:hAnsi="Times New Roman" w:eastAsia="宋体" w:cs="Times New Roman"/>
                <w:color w:val="auto"/>
                <w:kern w:val="0"/>
                <w:sz w:val="21"/>
                <w:szCs w:val="21"/>
                <w:lang w:val="en-US" w:eastAsia="zh-CN" w:bidi="ar"/>
              </w:rPr>
              <w:t xml:space="preserve">0.28 </w:t>
            </w:r>
          </w:p>
        </w:tc>
        <w:tc>
          <w:tcPr>
            <w:tcW w:w="590" w:type="pct"/>
            <w:noWrap/>
            <w:vAlign w:val="center"/>
          </w:tcPr>
          <w:p w14:paraId="0D1C9A7C">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r>
              <w:rPr>
                <w:rFonts w:hint="eastAsia" w:ascii="Times New Roman" w:hAnsi="Times New Roman" w:eastAsia="宋体" w:cs="Times New Roman"/>
                <w:color w:val="auto"/>
                <w:kern w:val="0"/>
                <w:sz w:val="21"/>
                <w:szCs w:val="21"/>
                <w:lang w:val="en-US" w:eastAsia="zh-CN" w:bidi="ar"/>
              </w:rPr>
              <w:t xml:space="preserve">2.72 </w:t>
            </w:r>
          </w:p>
        </w:tc>
        <w:tc>
          <w:tcPr>
            <w:tcW w:w="402" w:type="pct"/>
            <w:vMerge w:val="continue"/>
            <w:noWrap/>
            <w:vAlign w:val="center"/>
          </w:tcPr>
          <w:p w14:paraId="1BE28AF6">
            <w:pPr>
              <w:widowControl/>
              <w:adjustRightInd/>
              <w:snapToGrid/>
              <w:spacing w:line="240" w:lineRule="auto"/>
              <w:ind w:firstLine="0" w:firstLineChars="0"/>
              <w:jc w:val="center"/>
              <w:textAlignment w:val="center"/>
              <w:rPr>
                <w:rFonts w:hint="eastAsia" w:ascii="Times New Roman" w:hAnsi="Times New Roman" w:eastAsia="宋体" w:cs="Times New Roman"/>
                <w:color w:val="auto"/>
                <w:kern w:val="0"/>
                <w:sz w:val="21"/>
                <w:szCs w:val="21"/>
                <w:lang w:val="en-US" w:eastAsia="zh-CN" w:bidi="ar"/>
              </w:rPr>
            </w:pPr>
          </w:p>
        </w:tc>
      </w:tr>
      <w:tr w14:paraId="61F8D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 w:type="pct"/>
            <w:vMerge w:val="continue"/>
            <w:vAlign w:val="center"/>
          </w:tcPr>
          <w:p w14:paraId="71EDB839">
            <w:pPr>
              <w:widowControl w:val="0"/>
              <w:adjustRightInd/>
              <w:snapToGrid/>
              <w:spacing w:line="240" w:lineRule="auto"/>
              <w:ind w:firstLine="0" w:firstLineChars="0"/>
              <w:jc w:val="center"/>
              <w:rPr>
                <w:rFonts w:ascii="Times New Roman" w:hAnsi="Times New Roman" w:eastAsia="宋体" w:cs="Times New Roman"/>
                <w:color w:val="auto"/>
                <w:kern w:val="2"/>
                <w:sz w:val="21"/>
                <w:szCs w:val="21"/>
              </w:rPr>
            </w:pPr>
          </w:p>
        </w:tc>
        <w:tc>
          <w:tcPr>
            <w:tcW w:w="1092" w:type="pct"/>
            <w:gridSpan w:val="2"/>
            <w:vAlign w:val="center"/>
          </w:tcPr>
          <w:p w14:paraId="2992C917">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亚硫酸铁</w:t>
            </w:r>
          </w:p>
        </w:tc>
        <w:tc>
          <w:tcPr>
            <w:tcW w:w="1173" w:type="pct"/>
            <w:vAlign w:val="center"/>
          </w:tcPr>
          <w:p w14:paraId="2EE7E420">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50%</w:t>
            </w:r>
          </w:p>
        </w:tc>
        <w:tc>
          <w:tcPr>
            <w:tcW w:w="542" w:type="pct"/>
            <w:vAlign w:val="center"/>
          </w:tcPr>
          <w:p w14:paraId="5DBF701E">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8</w:t>
            </w:r>
          </w:p>
        </w:tc>
        <w:tc>
          <w:tcPr>
            <w:tcW w:w="806" w:type="pct"/>
            <w:noWrap/>
            <w:vAlign w:val="center"/>
          </w:tcPr>
          <w:p w14:paraId="3A61C310">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r>
              <w:rPr>
                <w:rFonts w:hint="eastAsia" w:ascii="Times New Roman" w:hAnsi="Times New Roman" w:eastAsia="宋体" w:cs="Times New Roman"/>
                <w:color w:val="auto"/>
                <w:kern w:val="0"/>
                <w:sz w:val="21"/>
                <w:szCs w:val="21"/>
                <w:lang w:val="en-US" w:eastAsia="zh-CN" w:bidi="ar"/>
              </w:rPr>
              <w:t xml:space="preserve">0.74 </w:t>
            </w:r>
          </w:p>
        </w:tc>
        <w:tc>
          <w:tcPr>
            <w:tcW w:w="590" w:type="pct"/>
            <w:noWrap/>
            <w:vAlign w:val="center"/>
          </w:tcPr>
          <w:p w14:paraId="54ECFF03">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r>
              <w:rPr>
                <w:rFonts w:hint="eastAsia" w:ascii="Times New Roman" w:hAnsi="Times New Roman" w:eastAsia="宋体" w:cs="Times New Roman"/>
                <w:color w:val="auto"/>
                <w:kern w:val="0"/>
                <w:sz w:val="21"/>
                <w:szCs w:val="21"/>
                <w:lang w:val="en-US" w:eastAsia="zh-CN" w:bidi="ar"/>
              </w:rPr>
              <w:t xml:space="preserve">7.26 </w:t>
            </w:r>
          </w:p>
        </w:tc>
        <w:tc>
          <w:tcPr>
            <w:tcW w:w="402" w:type="pct"/>
            <w:vMerge w:val="continue"/>
            <w:noWrap/>
            <w:vAlign w:val="center"/>
          </w:tcPr>
          <w:p w14:paraId="4A31EE16">
            <w:pPr>
              <w:widowControl/>
              <w:adjustRightInd/>
              <w:snapToGrid/>
              <w:spacing w:line="240" w:lineRule="auto"/>
              <w:ind w:firstLine="0" w:firstLineChars="0"/>
              <w:jc w:val="center"/>
              <w:textAlignment w:val="center"/>
              <w:rPr>
                <w:rFonts w:hint="eastAsia" w:ascii="Times New Roman" w:hAnsi="Times New Roman" w:eastAsia="宋体" w:cs="Times New Roman"/>
                <w:color w:val="auto"/>
                <w:kern w:val="0"/>
                <w:sz w:val="21"/>
                <w:szCs w:val="21"/>
                <w:lang w:val="en-US" w:eastAsia="zh-CN" w:bidi="ar"/>
              </w:rPr>
            </w:pPr>
          </w:p>
        </w:tc>
      </w:tr>
      <w:tr w14:paraId="4D32B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 w:type="pct"/>
            <w:vMerge w:val="continue"/>
            <w:vAlign w:val="center"/>
          </w:tcPr>
          <w:p w14:paraId="28AFD305">
            <w:pPr>
              <w:widowControl w:val="0"/>
              <w:adjustRightInd/>
              <w:snapToGrid/>
              <w:spacing w:line="240" w:lineRule="auto"/>
              <w:ind w:firstLine="0" w:firstLineChars="0"/>
              <w:jc w:val="center"/>
              <w:rPr>
                <w:rFonts w:ascii="Times New Roman" w:hAnsi="Times New Roman" w:eastAsia="宋体" w:cs="Times New Roman"/>
                <w:color w:val="auto"/>
                <w:kern w:val="2"/>
                <w:sz w:val="21"/>
                <w:szCs w:val="21"/>
              </w:rPr>
            </w:pPr>
          </w:p>
        </w:tc>
        <w:tc>
          <w:tcPr>
            <w:tcW w:w="1092" w:type="pct"/>
            <w:gridSpan w:val="2"/>
            <w:vAlign w:val="center"/>
          </w:tcPr>
          <w:p w14:paraId="3873BE76">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双氧水</w:t>
            </w:r>
          </w:p>
        </w:tc>
        <w:tc>
          <w:tcPr>
            <w:tcW w:w="1173" w:type="pct"/>
            <w:vAlign w:val="center"/>
          </w:tcPr>
          <w:p w14:paraId="08798EFD">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30%</w:t>
            </w:r>
          </w:p>
        </w:tc>
        <w:tc>
          <w:tcPr>
            <w:tcW w:w="542" w:type="pct"/>
            <w:vAlign w:val="center"/>
          </w:tcPr>
          <w:p w14:paraId="730E9AE7">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6</w:t>
            </w:r>
          </w:p>
        </w:tc>
        <w:tc>
          <w:tcPr>
            <w:tcW w:w="806" w:type="pct"/>
            <w:noWrap/>
            <w:vAlign w:val="center"/>
          </w:tcPr>
          <w:p w14:paraId="5C9BE4C6">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r>
              <w:rPr>
                <w:rFonts w:hint="eastAsia" w:ascii="Times New Roman" w:hAnsi="Times New Roman" w:eastAsia="宋体" w:cs="Times New Roman"/>
                <w:color w:val="auto"/>
                <w:kern w:val="0"/>
                <w:sz w:val="21"/>
                <w:szCs w:val="21"/>
                <w:lang w:val="en-US" w:eastAsia="zh-CN" w:bidi="ar"/>
              </w:rPr>
              <w:t xml:space="preserve">0.55 </w:t>
            </w:r>
          </w:p>
        </w:tc>
        <w:tc>
          <w:tcPr>
            <w:tcW w:w="590" w:type="pct"/>
            <w:noWrap/>
            <w:vAlign w:val="center"/>
          </w:tcPr>
          <w:p w14:paraId="6E76F4E5">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r>
              <w:rPr>
                <w:rFonts w:hint="eastAsia" w:ascii="Times New Roman" w:hAnsi="Times New Roman" w:eastAsia="宋体" w:cs="Times New Roman"/>
                <w:color w:val="auto"/>
                <w:kern w:val="0"/>
                <w:sz w:val="21"/>
                <w:szCs w:val="21"/>
                <w:lang w:val="en-US" w:eastAsia="zh-CN" w:bidi="ar"/>
              </w:rPr>
              <w:t xml:space="preserve">5.45 </w:t>
            </w:r>
          </w:p>
        </w:tc>
        <w:tc>
          <w:tcPr>
            <w:tcW w:w="402" w:type="pct"/>
            <w:vMerge w:val="continue"/>
            <w:noWrap/>
            <w:vAlign w:val="center"/>
          </w:tcPr>
          <w:p w14:paraId="7C245DFB">
            <w:pPr>
              <w:widowControl/>
              <w:adjustRightInd/>
              <w:snapToGrid/>
              <w:spacing w:line="240" w:lineRule="auto"/>
              <w:ind w:firstLine="0" w:firstLineChars="0"/>
              <w:jc w:val="center"/>
              <w:textAlignment w:val="center"/>
              <w:rPr>
                <w:rFonts w:hint="eastAsia" w:ascii="Times New Roman" w:hAnsi="Times New Roman" w:eastAsia="宋体" w:cs="Times New Roman"/>
                <w:color w:val="auto"/>
                <w:kern w:val="0"/>
                <w:sz w:val="21"/>
                <w:szCs w:val="21"/>
                <w:lang w:val="en-US" w:eastAsia="zh-CN" w:bidi="ar"/>
              </w:rPr>
            </w:pPr>
          </w:p>
        </w:tc>
      </w:tr>
      <w:tr w14:paraId="5A7DE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 w:type="pct"/>
            <w:vMerge w:val="continue"/>
            <w:vAlign w:val="center"/>
          </w:tcPr>
          <w:p w14:paraId="24AEBBAC">
            <w:pPr>
              <w:widowControl w:val="0"/>
              <w:adjustRightInd/>
              <w:snapToGrid/>
              <w:spacing w:line="240" w:lineRule="auto"/>
              <w:ind w:firstLine="0" w:firstLineChars="0"/>
              <w:jc w:val="center"/>
              <w:rPr>
                <w:rFonts w:ascii="Times New Roman" w:hAnsi="Times New Roman" w:eastAsia="宋体" w:cs="Times New Roman"/>
                <w:color w:val="auto"/>
                <w:kern w:val="2"/>
                <w:sz w:val="21"/>
                <w:szCs w:val="21"/>
              </w:rPr>
            </w:pPr>
          </w:p>
        </w:tc>
        <w:tc>
          <w:tcPr>
            <w:tcW w:w="1092" w:type="pct"/>
            <w:gridSpan w:val="2"/>
            <w:vAlign w:val="center"/>
          </w:tcPr>
          <w:p w14:paraId="45D5FC79">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PAC</w:t>
            </w:r>
            <w:r>
              <w:rPr>
                <w:rFonts w:hint="default" w:ascii="Times New Roman" w:hAnsi="Times New Roman" w:cs="Times New Roman"/>
                <w:color w:val="auto"/>
                <w:kern w:val="2"/>
                <w:sz w:val="21"/>
                <w:szCs w:val="21"/>
                <w:u w:val="none"/>
                <w:lang w:bidi="ar"/>
              </w:rPr>
              <w:t>（混凝剂）</w:t>
            </w:r>
          </w:p>
        </w:tc>
        <w:tc>
          <w:tcPr>
            <w:tcW w:w="1173" w:type="pct"/>
            <w:vAlign w:val="center"/>
          </w:tcPr>
          <w:p w14:paraId="7C7DB206">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99%</w:t>
            </w:r>
          </w:p>
        </w:tc>
        <w:tc>
          <w:tcPr>
            <w:tcW w:w="542" w:type="pct"/>
            <w:vAlign w:val="center"/>
          </w:tcPr>
          <w:p w14:paraId="43895732">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3</w:t>
            </w:r>
          </w:p>
        </w:tc>
        <w:tc>
          <w:tcPr>
            <w:tcW w:w="806" w:type="pct"/>
            <w:noWrap/>
            <w:vAlign w:val="center"/>
          </w:tcPr>
          <w:p w14:paraId="62915C24">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r>
              <w:rPr>
                <w:rFonts w:hint="eastAsia" w:ascii="Times New Roman" w:hAnsi="Times New Roman" w:eastAsia="宋体" w:cs="Times New Roman"/>
                <w:color w:val="auto"/>
                <w:kern w:val="0"/>
                <w:sz w:val="21"/>
                <w:szCs w:val="21"/>
                <w:lang w:val="en-US" w:eastAsia="zh-CN" w:bidi="ar"/>
              </w:rPr>
              <w:t xml:space="preserve">0.28 </w:t>
            </w:r>
          </w:p>
        </w:tc>
        <w:tc>
          <w:tcPr>
            <w:tcW w:w="590" w:type="pct"/>
            <w:noWrap/>
            <w:vAlign w:val="center"/>
          </w:tcPr>
          <w:p w14:paraId="35C467B8">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r>
              <w:rPr>
                <w:rFonts w:hint="eastAsia" w:ascii="Times New Roman" w:hAnsi="Times New Roman" w:eastAsia="宋体" w:cs="Times New Roman"/>
                <w:color w:val="auto"/>
                <w:kern w:val="0"/>
                <w:sz w:val="21"/>
                <w:szCs w:val="21"/>
                <w:lang w:val="en-US" w:eastAsia="zh-CN" w:bidi="ar"/>
              </w:rPr>
              <w:t xml:space="preserve">2.72 </w:t>
            </w:r>
          </w:p>
        </w:tc>
        <w:tc>
          <w:tcPr>
            <w:tcW w:w="402" w:type="pct"/>
            <w:vMerge w:val="continue"/>
            <w:noWrap/>
            <w:vAlign w:val="center"/>
          </w:tcPr>
          <w:p w14:paraId="7530DC2B">
            <w:pPr>
              <w:widowControl/>
              <w:adjustRightInd/>
              <w:snapToGrid/>
              <w:spacing w:line="240" w:lineRule="auto"/>
              <w:ind w:firstLine="0" w:firstLineChars="0"/>
              <w:jc w:val="center"/>
              <w:textAlignment w:val="center"/>
              <w:rPr>
                <w:rFonts w:hint="eastAsia" w:ascii="Times New Roman" w:hAnsi="Times New Roman" w:eastAsia="宋体" w:cs="Times New Roman"/>
                <w:color w:val="auto"/>
                <w:kern w:val="0"/>
                <w:sz w:val="21"/>
                <w:szCs w:val="21"/>
                <w:lang w:val="en-US" w:eastAsia="zh-CN" w:bidi="ar"/>
              </w:rPr>
            </w:pPr>
          </w:p>
        </w:tc>
      </w:tr>
      <w:tr w14:paraId="6070D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 w:type="pct"/>
            <w:vMerge w:val="continue"/>
            <w:vAlign w:val="center"/>
          </w:tcPr>
          <w:p w14:paraId="3847D6C9">
            <w:pPr>
              <w:widowControl w:val="0"/>
              <w:adjustRightInd/>
              <w:snapToGrid/>
              <w:spacing w:line="240" w:lineRule="auto"/>
              <w:ind w:firstLine="0" w:firstLineChars="0"/>
              <w:jc w:val="center"/>
              <w:rPr>
                <w:rFonts w:ascii="Times New Roman" w:hAnsi="Times New Roman" w:eastAsia="宋体" w:cs="Times New Roman"/>
                <w:color w:val="auto"/>
                <w:kern w:val="2"/>
                <w:sz w:val="21"/>
                <w:szCs w:val="21"/>
              </w:rPr>
            </w:pPr>
          </w:p>
        </w:tc>
        <w:tc>
          <w:tcPr>
            <w:tcW w:w="1092" w:type="pct"/>
            <w:gridSpan w:val="2"/>
            <w:vAlign w:val="center"/>
          </w:tcPr>
          <w:p w14:paraId="031518A9">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PAM</w:t>
            </w:r>
            <w:r>
              <w:rPr>
                <w:rFonts w:hint="default" w:ascii="Times New Roman" w:hAnsi="Times New Roman" w:cs="Times New Roman"/>
                <w:color w:val="auto"/>
                <w:kern w:val="2"/>
                <w:sz w:val="21"/>
                <w:szCs w:val="21"/>
                <w:u w:val="none"/>
                <w:lang w:bidi="ar"/>
              </w:rPr>
              <w:t>（混凝剂）</w:t>
            </w:r>
          </w:p>
        </w:tc>
        <w:tc>
          <w:tcPr>
            <w:tcW w:w="1173" w:type="pct"/>
            <w:vAlign w:val="center"/>
          </w:tcPr>
          <w:p w14:paraId="6002C596">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99%</w:t>
            </w:r>
          </w:p>
        </w:tc>
        <w:tc>
          <w:tcPr>
            <w:tcW w:w="542" w:type="pct"/>
            <w:vAlign w:val="center"/>
          </w:tcPr>
          <w:p w14:paraId="7DD0F456">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3</w:t>
            </w:r>
          </w:p>
        </w:tc>
        <w:tc>
          <w:tcPr>
            <w:tcW w:w="806" w:type="pct"/>
            <w:noWrap/>
            <w:vAlign w:val="center"/>
          </w:tcPr>
          <w:p w14:paraId="18C60F80">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r>
              <w:rPr>
                <w:rFonts w:hint="eastAsia" w:ascii="Times New Roman" w:hAnsi="Times New Roman" w:eastAsia="宋体" w:cs="Times New Roman"/>
                <w:color w:val="auto"/>
                <w:kern w:val="0"/>
                <w:sz w:val="21"/>
                <w:szCs w:val="21"/>
                <w:lang w:val="en-US" w:eastAsia="zh-CN" w:bidi="ar"/>
              </w:rPr>
              <w:t xml:space="preserve">0.28 </w:t>
            </w:r>
          </w:p>
        </w:tc>
        <w:tc>
          <w:tcPr>
            <w:tcW w:w="590" w:type="pct"/>
            <w:noWrap/>
            <w:vAlign w:val="center"/>
          </w:tcPr>
          <w:p w14:paraId="3F78E3B5">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r>
              <w:rPr>
                <w:rFonts w:hint="eastAsia" w:ascii="Times New Roman" w:hAnsi="Times New Roman" w:eastAsia="宋体" w:cs="Times New Roman"/>
                <w:color w:val="auto"/>
                <w:kern w:val="0"/>
                <w:sz w:val="21"/>
                <w:szCs w:val="21"/>
                <w:lang w:val="en-US" w:eastAsia="zh-CN" w:bidi="ar"/>
              </w:rPr>
              <w:t xml:space="preserve">2.72 </w:t>
            </w:r>
          </w:p>
        </w:tc>
        <w:tc>
          <w:tcPr>
            <w:tcW w:w="402" w:type="pct"/>
            <w:vMerge w:val="continue"/>
            <w:noWrap/>
            <w:vAlign w:val="center"/>
          </w:tcPr>
          <w:p w14:paraId="3DAE7F85">
            <w:pPr>
              <w:widowControl/>
              <w:adjustRightInd/>
              <w:snapToGrid/>
              <w:spacing w:line="240" w:lineRule="auto"/>
              <w:ind w:firstLine="0" w:firstLineChars="0"/>
              <w:jc w:val="center"/>
              <w:textAlignment w:val="center"/>
              <w:rPr>
                <w:rFonts w:hint="eastAsia" w:ascii="Times New Roman" w:hAnsi="Times New Roman" w:eastAsia="宋体" w:cs="Times New Roman"/>
                <w:color w:val="auto"/>
                <w:kern w:val="0"/>
                <w:sz w:val="21"/>
                <w:szCs w:val="21"/>
                <w:lang w:val="en-US" w:eastAsia="zh-CN" w:bidi="ar"/>
              </w:rPr>
            </w:pPr>
          </w:p>
        </w:tc>
      </w:tr>
      <w:tr w14:paraId="4C0B7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 w:type="pct"/>
            <w:vMerge w:val="continue"/>
            <w:vAlign w:val="center"/>
          </w:tcPr>
          <w:p w14:paraId="6024A9DE">
            <w:pPr>
              <w:widowControl w:val="0"/>
              <w:adjustRightInd/>
              <w:snapToGrid/>
              <w:spacing w:line="240" w:lineRule="auto"/>
              <w:ind w:firstLine="0" w:firstLineChars="0"/>
              <w:jc w:val="center"/>
              <w:rPr>
                <w:rFonts w:ascii="Times New Roman" w:hAnsi="Times New Roman" w:eastAsia="宋体" w:cs="Times New Roman"/>
                <w:color w:val="auto"/>
                <w:kern w:val="2"/>
                <w:sz w:val="21"/>
                <w:szCs w:val="21"/>
              </w:rPr>
            </w:pPr>
          </w:p>
        </w:tc>
        <w:tc>
          <w:tcPr>
            <w:tcW w:w="1092" w:type="pct"/>
            <w:gridSpan w:val="2"/>
            <w:vAlign w:val="center"/>
          </w:tcPr>
          <w:p w14:paraId="2BD65193">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重捕剂</w:t>
            </w:r>
          </w:p>
        </w:tc>
        <w:tc>
          <w:tcPr>
            <w:tcW w:w="1173" w:type="pct"/>
            <w:vAlign w:val="center"/>
          </w:tcPr>
          <w:p w14:paraId="49DFCF76">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99%</w:t>
            </w:r>
          </w:p>
        </w:tc>
        <w:tc>
          <w:tcPr>
            <w:tcW w:w="542" w:type="pct"/>
            <w:vAlign w:val="center"/>
          </w:tcPr>
          <w:p w14:paraId="2250A986">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4</w:t>
            </w:r>
          </w:p>
        </w:tc>
        <w:tc>
          <w:tcPr>
            <w:tcW w:w="806" w:type="pct"/>
            <w:noWrap/>
            <w:vAlign w:val="center"/>
          </w:tcPr>
          <w:p w14:paraId="42D8E2E6">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r>
              <w:rPr>
                <w:rFonts w:hint="eastAsia" w:ascii="Times New Roman" w:hAnsi="Times New Roman" w:eastAsia="宋体" w:cs="Times New Roman"/>
                <w:color w:val="auto"/>
                <w:kern w:val="0"/>
                <w:sz w:val="21"/>
                <w:szCs w:val="21"/>
                <w:lang w:val="en-US" w:eastAsia="zh-CN" w:bidi="ar"/>
              </w:rPr>
              <w:t xml:space="preserve">0.37 </w:t>
            </w:r>
          </w:p>
        </w:tc>
        <w:tc>
          <w:tcPr>
            <w:tcW w:w="590" w:type="pct"/>
            <w:noWrap/>
            <w:vAlign w:val="center"/>
          </w:tcPr>
          <w:p w14:paraId="4CB52B77">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r>
              <w:rPr>
                <w:rFonts w:hint="eastAsia" w:ascii="Times New Roman" w:hAnsi="Times New Roman" w:eastAsia="宋体" w:cs="Times New Roman"/>
                <w:color w:val="auto"/>
                <w:kern w:val="0"/>
                <w:sz w:val="21"/>
                <w:szCs w:val="21"/>
                <w:lang w:val="en-US" w:eastAsia="zh-CN" w:bidi="ar"/>
              </w:rPr>
              <w:t xml:space="preserve">3.63 </w:t>
            </w:r>
          </w:p>
        </w:tc>
        <w:tc>
          <w:tcPr>
            <w:tcW w:w="402" w:type="pct"/>
            <w:vMerge w:val="continue"/>
            <w:noWrap/>
            <w:vAlign w:val="center"/>
          </w:tcPr>
          <w:p w14:paraId="362C5569">
            <w:pPr>
              <w:widowControl/>
              <w:adjustRightInd/>
              <w:snapToGrid/>
              <w:spacing w:line="240" w:lineRule="auto"/>
              <w:ind w:firstLine="0" w:firstLineChars="0"/>
              <w:jc w:val="center"/>
              <w:textAlignment w:val="center"/>
              <w:rPr>
                <w:rFonts w:hint="eastAsia" w:ascii="Times New Roman" w:hAnsi="Times New Roman" w:eastAsia="宋体" w:cs="Times New Roman"/>
                <w:color w:val="auto"/>
                <w:kern w:val="0"/>
                <w:sz w:val="21"/>
                <w:szCs w:val="21"/>
                <w:lang w:val="en-US" w:eastAsia="zh-CN" w:bidi="ar"/>
              </w:rPr>
            </w:pPr>
          </w:p>
        </w:tc>
      </w:tr>
      <w:tr w14:paraId="04F11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 w:type="pct"/>
            <w:vMerge w:val="continue"/>
            <w:vAlign w:val="center"/>
          </w:tcPr>
          <w:p w14:paraId="1EC0BBEF">
            <w:pPr>
              <w:widowControl w:val="0"/>
              <w:adjustRightInd/>
              <w:snapToGrid/>
              <w:spacing w:line="240" w:lineRule="auto"/>
              <w:ind w:firstLine="0" w:firstLineChars="0"/>
              <w:jc w:val="center"/>
              <w:rPr>
                <w:rFonts w:ascii="Times New Roman" w:hAnsi="Times New Roman" w:eastAsia="宋体" w:cs="Times New Roman"/>
                <w:color w:val="auto"/>
                <w:kern w:val="2"/>
                <w:sz w:val="21"/>
                <w:szCs w:val="21"/>
              </w:rPr>
            </w:pPr>
          </w:p>
        </w:tc>
        <w:tc>
          <w:tcPr>
            <w:tcW w:w="1092" w:type="pct"/>
            <w:gridSpan w:val="2"/>
            <w:vAlign w:val="center"/>
          </w:tcPr>
          <w:p w14:paraId="48E8A6D9">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破乳剂</w:t>
            </w:r>
          </w:p>
        </w:tc>
        <w:tc>
          <w:tcPr>
            <w:tcW w:w="1173" w:type="pct"/>
            <w:vAlign w:val="center"/>
          </w:tcPr>
          <w:p w14:paraId="6530454E">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99%</w:t>
            </w:r>
          </w:p>
        </w:tc>
        <w:tc>
          <w:tcPr>
            <w:tcW w:w="542" w:type="pct"/>
            <w:vAlign w:val="center"/>
          </w:tcPr>
          <w:p w14:paraId="51134F41">
            <w:pPr>
              <w:widowControl/>
              <w:adjustRightInd/>
              <w:snapToGrid/>
              <w:spacing w:line="240" w:lineRule="auto"/>
              <w:ind w:firstLine="0" w:firstLineChars="0"/>
              <w:jc w:val="center"/>
              <w:textAlignment w:val="center"/>
              <w:rPr>
                <w:rFonts w:ascii="Times New Roman" w:hAnsi="Times New Roman" w:eastAsia="宋体" w:cs="Times New Roman"/>
                <w:color w:val="auto"/>
                <w:kern w:val="2"/>
                <w:sz w:val="21"/>
                <w:szCs w:val="21"/>
              </w:rPr>
            </w:pPr>
            <w:r>
              <w:rPr>
                <w:rFonts w:ascii="Times New Roman" w:hAnsi="Times New Roman" w:eastAsia="宋体" w:cs="Times New Roman"/>
                <w:color w:val="auto"/>
                <w:kern w:val="0"/>
                <w:sz w:val="21"/>
                <w:szCs w:val="21"/>
                <w:lang w:bidi="ar"/>
              </w:rPr>
              <w:t>25</w:t>
            </w:r>
          </w:p>
        </w:tc>
        <w:tc>
          <w:tcPr>
            <w:tcW w:w="806" w:type="pct"/>
            <w:noWrap/>
            <w:vAlign w:val="center"/>
          </w:tcPr>
          <w:p w14:paraId="67FBB1A6">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r>
              <w:rPr>
                <w:rFonts w:hint="eastAsia" w:ascii="Times New Roman" w:hAnsi="Times New Roman" w:eastAsia="宋体" w:cs="Times New Roman"/>
                <w:color w:val="auto"/>
                <w:kern w:val="0"/>
                <w:sz w:val="21"/>
                <w:szCs w:val="21"/>
                <w:lang w:val="en-US" w:eastAsia="zh-CN" w:bidi="ar"/>
              </w:rPr>
              <w:t xml:space="preserve">2.31 </w:t>
            </w:r>
          </w:p>
        </w:tc>
        <w:tc>
          <w:tcPr>
            <w:tcW w:w="590" w:type="pct"/>
            <w:noWrap/>
            <w:vAlign w:val="center"/>
          </w:tcPr>
          <w:p w14:paraId="14F70AF3">
            <w:pPr>
              <w:widowControl/>
              <w:adjustRightInd/>
              <w:snapToGrid/>
              <w:spacing w:line="240" w:lineRule="auto"/>
              <w:ind w:firstLine="0" w:firstLineChars="0"/>
              <w:jc w:val="center"/>
              <w:textAlignment w:val="center"/>
              <w:rPr>
                <w:rFonts w:ascii="Times New Roman" w:hAnsi="Times New Roman" w:eastAsia="宋体" w:cs="Times New Roman"/>
                <w:color w:val="auto"/>
                <w:kern w:val="0"/>
                <w:sz w:val="21"/>
                <w:szCs w:val="21"/>
                <w:lang w:bidi="ar"/>
              </w:rPr>
            </w:pPr>
            <w:r>
              <w:rPr>
                <w:rFonts w:hint="eastAsia" w:ascii="Times New Roman" w:hAnsi="Times New Roman" w:eastAsia="宋体" w:cs="Times New Roman"/>
                <w:color w:val="auto"/>
                <w:kern w:val="0"/>
                <w:sz w:val="21"/>
                <w:szCs w:val="21"/>
                <w:lang w:val="en-US" w:eastAsia="zh-CN" w:bidi="ar"/>
              </w:rPr>
              <w:t xml:space="preserve">22.69 </w:t>
            </w:r>
          </w:p>
        </w:tc>
        <w:tc>
          <w:tcPr>
            <w:tcW w:w="402" w:type="pct"/>
            <w:vMerge w:val="continue"/>
            <w:noWrap/>
            <w:vAlign w:val="center"/>
          </w:tcPr>
          <w:p w14:paraId="5889D613">
            <w:pPr>
              <w:widowControl/>
              <w:adjustRightInd/>
              <w:snapToGrid/>
              <w:spacing w:line="240" w:lineRule="auto"/>
              <w:ind w:firstLine="0" w:firstLineChars="0"/>
              <w:jc w:val="center"/>
              <w:textAlignment w:val="center"/>
              <w:rPr>
                <w:rFonts w:hint="eastAsia" w:ascii="Times New Roman" w:hAnsi="Times New Roman" w:eastAsia="宋体" w:cs="Times New Roman"/>
                <w:color w:val="auto"/>
                <w:kern w:val="0"/>
                <w:sz w:val="21"/>
                <w:szCs w:val="21"/>
                <w:lang w:val="en-US" w:eastAsia="zh-CN" w:bidi="ar"/>
              </w:rPr>
            </w:pPr>
          </w:p>
        </w:tc>
      </w:tr>
    </w:tbl>
    <w:p w14:paraId="563C4714">
      <w:pPr>
        <w:keepNext w:val="0"/>
        <w:keepLines w:val="0"/>
        <w:pageBreakBefore w:val="0"/>
        <w:widowControl/>
        <w:kinsoku/>
        <w:wordWrap/>
        <w:overflowPunct/>
        <w:topLinePunct w:val="0"/>
        <w:autoSpaceDE/>
        <w:autoSpaceDN/>
        <w:bidi w:val="0"/>
        <w:adjustRightInd w:val="0"/>
        <w:snapToGrid w:val="0"/>
        <w:ind w:left="0" w:leftChars="0" w:firstLine="480" w:firstLineChars="200"/>
        <w:textAlignment w:val="auto"/>
        <w:rPr>
          <w:color w:val="auto"/>
        </w:rPr>
      </w:pPr>
      <w:r>
        <w:rPr>
          <w:rFonts w:ascii="Times New Roman" w:hAnsi="Times New Roman" w:eastAsia="宋体" w:cs="Times New Roman"/>
          <w:sz w:val="24"/>
          <w:szCs w:val="24"/>
        </w:rPr>
        <w:t>本项目</w:t>
      </w:r>
      <w:r>
        <w:rPr>
          <w:rFonts w:hint="eastAsia" w:ascii="Times New Roman" w:hAnsi="Times New Roman" w:eastAsia="宋体" w:cs="Times New Roman"/>
          <w:sz w:val="24"/>
          <w:szCs w:val="24"/>
          <w:lang w:val="en-US" w:eastAsia="zh-CN"/>
        </w:rPr>
        <w:t>分期建设，一期项目建设内容</w:t>
      </w:r>
      <w:r>
        <w:rPr>
          <w:rFonts w:ascii="Times New Roman" w:hAnsi="Times New Roman" w:eastAsia="宋体" w:cs="Times New Roman"/>
          <w:sz w:val="24"/>
          <w:szCs w:val="24"/>
        </w:rPr>
        <w:t>实际建设原辅材料种类与环评相比</w:t>
      </w:r>
      <w:r>
        <w:rPr>
          <w:rFonts w:hint="eastAsia" w:ascii="Times New Roman" w:hAnsi="Times New Roman" w:eastAsia="宋体" w:cs="Times New Roman"/>
          <w:sz w:val="24"/>
          <w:szCs w:val="24"/>
        </w:rPr>
        <w:t>基本无变化</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lang w:val="en-US" w:eastAsia="zh-CN"/>
        </w:rPr>
        <w:t>实际建设原辅料数量较环评数量减少</w:t>
      </w:r>
      <w:r>
        <w:rPr>
          <w:rFonts w:hint="eastAsia" w:cs="Times New Roman"/>
          <w:sz w:val="24"/>
          <w:szCs w:val="24"/>
          <w:lang w:val="en-US" w:eastAsia="zh-CN"/>
        </w:rPr>
        <w:t>。</w:t>
      </w:r>
      <w:r>
        <w:rPr>
          <w:rFonts w:hint="eastAsia" w:cs="Times New Roman"/>
          <w:szCs w:val="24"/>
        </w:rPr>
        <w:t>根据</w:t>
      </w:r>
      <w:r>
        <w:rPr>
          <w:rFonts w:hint="eastAsia" w:hAnsi="宋体"/>
          <w:szCs w:val="24"/>
        </w:rPr>
        <w:t>《污染影响类建设项目重大变动清单（试行）的通知》（环办环评函[2020]688号）可知，</w:t>
      </w:r>
      <w:r>
        <w:rPr>
          <w:rFonts w:hint="eastAsia" w:cs="Times New Roman"/>
          <w:szCs w:val="24"/>
        </w:rPr>
        <w:t>不涉及重大变动。</w:t>
      </w:r>
    </w:p>
    <w:p w14:paraId="62A2995E">
      <w:pPr>
        <w:ind w:firstLine="480"/>
        <w:rPr>
          <w:color w:val="auto"/>
        </w:rPr>
        <w:sectPr>
          <w:pgSz w:w="16838" w:h="11906" w:orient="landscape"/>
          <w:pgMar w:top="1800" w:right="1440" w:bottom="1800" w:left="1440" w:header="851" w:footer="992" w:gutter="0"/>
          <w:cols w:space="425" w:num="1"/>
          <w:docGrid w:type="lines" w:linePitch="312" w:charSpace="0"/>
        </w:sectPr>
      </w:pPr>
    </w:p>
    <w:p w14:paraId="0A946B7B">
      <w:pPr>
        <w:pStyle w:val="3"/>
        <w:spacing w:before="163" w:after="163"/>
        <w:ind w:firstLine="643"/>
        <w:rPr>
          <w:rFonts w:cs="Times New Roman"/>
          <w:color w:val="auto"/>
        </w:rPr>
      </w:pPr>
      <w:bookmarkStart w:id="8" w:name="_Toc172712288"/>
      <w:r>
        <w:rPr>
          <w:rFonts w:cs="Times New Roman"/>
          <w:color w:val="auto"/>
        </w:rPr>
        <w:t>3.4主要设备</w:t>
      </w:r>
      <w:bookmarkEnd w:id="8"/>
    </w:p>
    <w:p w14:paraId="06A26395">
      <w:pPr>
        <w:ind w:firstLine="480"/>
        <w:rPr>
          <w:rFonts w:cs="Times New Roman"/>
          <w:color w:val="auto"/>
        </w:rPr>
      </w:pPr>
      <w:r>
        <w:rPr>
          <w:rFonts w:hint="eastAsia" w:cs="Times New Roman"/>
          <w:color w:val="auto"/>
          <w:lang w:val="en-US" w:eastAsia="zh-CN"/>
        </w:rPr>
        <w:t>本</w:t>
      </w:r>
      <w:r>
        <w:rPr>
          <w:rFonts w:cs="Times New Roman"/>
          <w:color w:val="auto"/>
        </w:rPr>
        <w:t>项目主要的生产设备见下表。</w:t>
      </w:r>
    </w:p>
    <w:p w14:paraId="2A88F7B7">
      <w:pPr>
        <w:pStyle w:val="55"/>
        <w:ind w:firstLine="480"/>
        <w:rPr>
          <w:rFonts w:eastAsia="黑体"/>
          <w:b w:val="0"/>
          <w:bCs/>
          <w:color w:val="auto"/>
          <w:lang w:val="pt-BR"/>
        </w:rPr>
      </w:pPr>
      <w:r>
        <w:rPr>
          <w:rFonts w:eastAsia="黑体"/>
          <w:b w:val="0"/>
          <w:bCs/>
          <w:color w:val="auto"/>
          <w:lang w:val="pt-BR"/>
        </w:rPr>
        <w:t>表3-5</w:t>
      </w:r>
      <w:r>
        <w:rPr>
          <w:rFonts w:eastAsia="黑体"/>
          <w:b w:val="0"/>
          <w:bCs/>
          <w:color w:val="auto"/>
        </w:rPr>
        <w:t xml:space="preserve">                               </w:t>
      </w:r>
      <w:r>
        <w:rPr>
          <w:rFonts w:hint="eastAsia" w:eastAsia="黑体"/>
          <w:b w:val="0"/>
          <w:bCs/>
          <w:color w:val="auto"/>
        </w:rPr>
        <w:t xml:space="preserve">                                        </w:t>
      </w:r>
      <w:r>
        <w:rPr>
          <w:rFonts w:hint="eastAsia" w:eastAsia="黑体"/>
          <w:b w:val="0"/>
          <w:bCs/>
          <w:color w:val="auto"/>
          <w:lang w:val="en-US" w:eastAsia="zh-CN"/>
        </w:rPr>
        <w:t xml:space="preserve"> </w:t>
      </w:r>
      <w:r>
        <w:rPr>
          <w:rFonts w:hint="eastAsia" w:eastAsia="黑体"/>
          <w:b w:val="0"/>
          <w:bCs/>
          <w:color w:val="auto"/>
        </w:rPr>
        <w:t xml:space="preserve"> </w:t>
      </w:r>
      <w:r>
        <w:rPr>
          <w:rFonts w:hint="eastAsia" w:eastAsia="黑体"/>
          <w:b w:val="0"/>
          <w:bCs/>
          <w:color w:val="auto"/>
          <w:lang w:val="en-US" w:eastAsia="zh-CN"/>
        </w:rPr>
        <w:t>本项目</w:t>
      </w:r>
      <w:r>
        <w:rPr>
          <w:rFonts w:eastAsia="黑体"/>
          <w:b w:val="0"/>
          <w:bCs/>
          <w:color w:val="auto"/>
          <w:lang w:val="pt-BR"/>
        </w:rPr>
        <w:t>主要设备一览表</w:t>
      </w:r>
    </w:p>
    <w:tbl>
      <w:tblPr>
        <w:tblStyle w:val="26"/>
        <w:tblW w:w="13979" w:type="dxa"/>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598"/>
        <w:gridCol w:w="1640"/>
        <w:gridCol w:w="2564"/>
        <w:gridCol w:w="925"/>
        <w:gridCol w:w="953"/>
        <w:gridCol w:w="2215"/>
        <w:gridCol w:w="765"/>
        <w:gridCol w:w="1053"/>
        <w:gridCol w:w="2547"/>
      </w:tblGrid>
      <w:tr w14:paraId="54E70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restart"/>
            <w:vAlign w:val="center"/>
          </w:tcPr>
          <w:p w14:paraId="1AD292E7">
            <w:pPr>
              <w:widowControl/>
              <w:adjustRightInd/>
              <w:snapToGrid/>
              <w:spacing w:line="240" w:lineRule="auto"/>
              <w:ind w:firstLine="0" w:firstLineChars="0"/>
              <w:jc w:val="center"/>
              <w:textAlignment w:val="center"/>
              <w:rPr>
                <w:rFonts w:hint="default" w:ascii="Times New Roman" w:hAnsi="Times New Roman" w:eastAsia="宋体" w:cs="Times New Roman"/>
                <w:b/>
                <w:bCs/>
                <w:color w:val="auto"/>
                <w:kern w:val="2"/>
                <w:sz w:val="21"/>
                <w:szCs w:val="21"/>
              </w:rPr>
            </w:pPr>
            <w:r>
              <w:rPr>
                <w:rFonts w:hint="default" w:ascii="Times New Roman" w:hAnsi="Times New Roman" w:eastAsia="宋体" w:cs="Times New Roman"/>
                <w:b/>
                <w:bCs/>
                <w:color w:val="auto"/>
                <w:kern w:val="0"/>
                <w:sz w:val="21"/>
                <w:szCs w:val="21"/>
                <w:lang w:bidi="ar"/>
              </w:rPr>
              <w:t>生产工序</w:t>
            </w:r>
          </w:p>
        </w:tc>
        <w:tc>
          <w:tcPr>
            <w:tcW w:w="6680" w:type="dxa"/>
            <w:gridSpan w:val="5"/>
            <w:noWrap/>
            <w:vAlign w:val="center"/>
          </w:tcPr>
          <w:p w14:paraId="3E6A0044">
            <w:pPr>
              <w:widowControl/>
              <w:adjustRightInd/>
              <w:snapToGrid/>
              <w:spacing w:line="240" w:lineRule="auto"/>
              <w:ind w:firstLine="0" w:firstLineChars="0"/>
              <w:jc w:val="center"/>
              <w:textAlignment w:val="center"/>
              <w:rPr>
                <w:rFonts w:hint="default" w:ascii="Times New Roman" w:hAnsi="Times New Roman" w:eastAsia="宋体" w:cs="Times New Roman"/>
                <w:b/>
                <w:bCs/>
                <w:color w:val="auto"/>
                <w:kern w:val="2"/>
                <w:sz w:val="21"/>
                <w:szCs w:val="21"/>
              </w:rPr>
            </w:pPr>
            <w:r>
              <w:rPr>
                <w:rFonts w:hint="default" w:ascii="Times New Roman" w:hAnsi="Times New Roman" w:eastAsia="宋体" w:cs="Times New Roman"/>
                <w:b/>
                <w:bCs/>
                <w:color w:val="auto"/>
                <w:kern w:val="0"/>
                <w:sz w:val="21"/>
                <w:szCs w:val="21"/>
                <w:lang w:bidi="ar"/>
              </w:rPr>
              <w:t>环评内容</w:t>
            </w:r>
          </w:p>
        </w:tc>
        <w:tc>
          <w:tcPr>
            <w:tcW w:w="4033" w:type="dxa"/>
            <w:gridSpan w:val="3"/>
            <w:vAlign w:val="center"/>
          </w:tcPr>
          <w:p w14:paraId="1B64265C">
            <w:pPr>
              <w:widowControl/>
              <w:adjustRightInd/>
              <w:snapToGrid/>
              <w:spacing w:line="240" w:lineRule="auto"/>
              <w:ind w:firstLine="0" w:firstLineChars="0"/>
              <w:jc w:val="center"/>
              <w:textAlignment w:val="center"/>
              <w:rPr>
                <w:rFonts w:hint="eastAsia" w:ascii="Times New Roman" w:hAnsi="Times New Roman" w:eastAsia="宋体" w:cs="Times New Roman"/>
                <w:b/>
                <w:bCs/>
                <w:color w:val="auto"/>
                <w:kern w:val="2"/>
                <w:sz w:val="21"/>
                <w:szCs w:val="21"/>
                <w:lang w:eastAsia="zh-CN"/>
              </w:rPr>
            </w:pPr>
            <w:r>
              <w:rPr>
                <w:rFonts w:hint="eastAsia" w:cs="Times New Roman"/>
                <w:b/>
                <w:bCs/>
                <w:color w:val="auto"/>
                <w:kern w:val="0"/>
                <w:sz w:val="21"/>
                <w:szCs w:val="21"/>
                <w:lang w:val="en-US" w:eastAsia="zh-CN" w:bidi="ar"/>
              </w:rPr>
              <w:t>实际</w:t>
            </w:r>
            <w:r>
              <w:rPr>
                <w:rFonts w:hint="default" w:ascii="Times New Roman" w:hAnsi="Times New Roman" w:eastAsia="宋体" w:cs="Times New Roman"/>
                <w:b/>
                <w:bCs/>
                <w:color w:val="auto"/>
                <w:kern w:val="0"/>
                <w:sz w:val="21"/>
                <w:szCs w:val="21"/>
                <w:lang w:bidi="ar"/>
              </w:rPr>
              <w:t>建设</w:t>
            </w:r>
            <w:r>
              <w:rPr>
                <w:rFonts w:hint="eastAsia" w:cs="Times New Roman"/>
                <w:b/>
                <w:bCs/>
                <w:color w:val="auto"/>
                <w:kern w:val="0"/>
                <w:sz w:val="21"/>
                <w:szCs w:val="21"/>
                <w:lang w:eastAsia="zh-CN" w:bidi="ar"/>
              </w:rPr>
              <w:t>（</w:t>
            </w:r>
            <w:r>
              <w:rPr>
                <w:rFonts w:hint="eastAsia" w:cs="Times New Roman"/>
                <w:b/>
                <w:bCs/>
                <w:color w:val="auto"/>
                <w:kern w:val="0"/>
                <w:sz w:val="21"/>
                <w:szCs w:val="21"/>
                <w:lang w:val="en-US" w:eastAsia="zh-CN" w:bidi="ar"/>
              </w:rPr>
              <w:t>一期</w:t>
            </w:r>
            <w:r>
              <w:rPr>
                <w:rFonts w:hint="eastAsia" w:cs="Times New Roman"/>
                <w:b/>
                <w:bCs/>
                <w:color w:val="auto"/>
                <w:kern w:val="0"/>
                <w:sz w:val="21"/>
                <w:szCs w:val="21"/>
                <w:lang w:eastAsia="zh-CN" w:bidi="ar"/>
              </w:rPr>
              <w:t>）</w:t>
            </w:r>
          </w:p>
        </w:tc>
        <w:tc>
          <w:tcPr>
            <w:tcW w:w="2547" w:type="dxa"/>
            <w:vMerge w:val="restart"/>
            <w:vAlign w:val="center"/>
          </w:tcPr>
          <w:p w14:paraId="77B40438">
            <w:pPr>
              <w:widowControl/>
              <w:adjustRightInd/>
              <w:snapToGrid/>
              <w:spacing w:line="240" w:lineRule="auto"/>
              <w:ind w:firstLine="0" w:firstLineChars="0"/>
              <w:jc w:val="center"/>
              <w:textAlignment w:val="center"/>
              <w:rPr>
                <w:rFonts w:hint="default" w:ascii="Times New Roman" w:hAnsi="Times New Roman" w:eastAsia="宋体" w:cs="Times New Roman"/>
                <w:b/>
                <w:bCs/>
                <w:color w:val="auto"/>
                <w:kern w:val="2"/>
                <w:sz w:val="21"/>
                <w:szCs w:val="21"/>
              </w:rPr>
            </w:pPr>
            <w:r>
              <w:rPr>
                <w:rFonts w:hint="default" w:ascii="Times New Roman" w:hAnsi="Times New Roman" w:eastAsia="宋体" w:cs="Times New Roman"/>
                <w:b/>
                <w:bCs/>
                <w:color w:val="auto"/>
                <w:kern w:val="0"/>
                <w:sz w:val="21"/>
                <w:szCs w:val="21"/>
                <w:lang w:bidi="ar"/>
              </w:rPr>
              <w:t>备注</w:t>
            </w:r>
          </w:p>
        </w:tc>
      </w:tr>
      <w:tr w14:paraId="50350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shd w:val="clear" w:color="auto" w:fill="auto"/>
            <w:vAlign w:val="center"/>
          </w:tcPr>
          <w:p w14:paraId="46C1B431">
            <w:pPr>
              <w:widowControl w:val="0"/>
              <w:adjustRightInd/>
              <w:snapToGrid/>
              <w:spacing w:line="240" w:lineRule="auto"/>
              <w:ind w:firstLine="0" w:firstLineChars="0"/>
              <w:jc w:val="center"/>
              <w:rPr>
                <w:rFonts w:hint="default" w:ascii="Times New Roman" w:hAnsi="Times New Roman" w:eastAsia="宋体" w:cs="Times New Roman"/>
                <w:b/>
                <w:bCs/>
                <w:color w:val="auto"/>
                <w:kern w:val="2"/>
                <w:sz w:val="21"/>
                <w:szCs w:val="21"/>
              </w:rPr>
            </w:pPr>
          </w:p>
        </w:tc>
        <w:tc>
          <w:tcPr>
            <w:tcW w:w="2238" w:type="dxa"/>
            <w:gridSpan w:val="2"/>
            <w:shd w:val="clear" w:color="auto" w:fill="auto"/>
            <w:noWrap/>
            <w:vAlign w:val="center"/>
          </w:tcPr>
          <w:p w14:paraId="497A5EF6">
            <w:pPr>
              <w:widowControl/>
              <w:adjustRightInd/>
              <w:snapToGrid/>
              <w:spacing w:line="240" w:lineRule="auto"/>
              <w:ind w:firstLine="0" w:firstLineChars="0"/>
              <w:jc w:val="center"/>
              <w:textAlignment w:val="center"/>
              <w:rPr>
                <w:rFonts w:hint="default" w:ascii="Times New Roman" w:hAnsi="Times New Roman" w:eastAsia="宋体" w:cs="Times New Roman"/>
                <w:b/>
                <w:bCs/>
                <w:color w:val="auto"/>
                <w:kern w:val="2"/>
                <w:sz w:val="21"/>
                <w:szCs w:val="21"/>
              </w:rPr>
            </w:pPr>
            <w:r>
              <w:rPr>
                <w:rFonts w:hint="default" w:ascii="Times New Roman" w:hAnsi="Times New Roman" w:eastAsia="宋体" w:cs="Times New Roman"/>
                <w:b/>
                <w:bCs/>
                <w:color w:val="auto"/>
                <w:kern w:val="0"/>
                <w:sz w:val="21"/>
                <w:szCs w:val="21"/>
                <w:lang w:bidi="ar"/>
              </w:rPr>
              <w:t>设备名称</w:t>
            </w:r>
          </w:p>
        </w:tc>
        <w:tc>
          <w:tcPr>
            <w:tcW w:w="2564" w:type="dxa"/>
            <w:shd w:val="clear" w:color="auto" w:fill="auto"/>
            <w:vAlign w:val="center"/>
          </w:tcPr>
          <w:p w14:paraId="0FFAA22F">
            <w:pPr>
              <w:widowControl/>
              <w:adjustRightInd/>
              <w:snapToGrid/>
              <w:spacing w:line="240" w:lineRule="auto"/>
              <w:ind w:firstLine="0" w:firstLineChars="0"/>
              <w:jc w:val="center"/>
              <w:textAlignment w:val="center"/>
              <w:rPr>
                <w:rFonts w:hint="default" w:ascii="Times New Roman" w:hAnsi="Times New Roman" w:eastAsia="宋体" w:cs="Times New Roman"/>
                <w:b/>
                <w:bCs/>
                <w:color w:val="auto"/>
                <w:kern w:val="2"/>
                <w:sz w:val="21"/>
                <w:szCs w:val="21"/>
              </w:rPr>
            </w:pPr>
            <w:r>
              <w:rPr>
                <w:rFonts w:hint="default" w:ascii="Times New Roman" w:hAnsi="Times New Roman" w:eastAsia="宋体" w:cs="Times New Roman"/>
                <w:b/>
                <w:bCs/>
                <w:color w:val="auto"/>
                <w:kern w:val="0"/>
                <w:sz w:val="21"/>
                <w:szCs w:val="21"/>
                <w:lang w:bidi="ar"/>
              </w:rPr>
              <w:t>型号/规格（长×宽×高，mm）</w:t>
            </w:r>
          </w:p>
        </w:tc>
        <w:tc>
          <w:tcPr>
            <w:tcW w:w="925" w:type="dxa"/>
            <w:shd w:val="clear" w:color="auto" w:fill="auto"/>
            <w:vAlign w:val="center"/>
          </w:tcPr>
          <w:p w14:paraId="7E84E0EF">
            <w:pPr>
              <w:widowControl/>
              <w:adjustRightInd/>
              <w:snapToGrid/>
              <w:spacing w:line="240" w:lineRule="auto"/>
              <w:ind w:firstLine="0" w:firstLineChars="0"/>
              <w:jc w:val="center"/>
              <w:textAlignment w:val="center"/>
              <w:rPr>
                <w:rFonts w:hint="default" w:ascii="Times New Roman" w:hAnsi="Times New Roman" w:eastAsia="宋体" w:cs="Times New Roman"/>
                <w:b/>
                <w:bCs/>
                <w:color w:val="auto"/>
                <w:kern w:val="2"/>
                <w:sz w:val="21"/>
                <w:szCs w:val="21"/>
              </w:rPr>
            </w:pPr>
            <w:r>
              <w:rPr>
                <w:rFonts w:hint="default" w:ascii="Times New Roman" w:hAnsi="Times New Roman" w:eastAsia="宋体" w:cs="Times New Roman"/>
                <w:b/>
                <w:bCs/>
                <w:color w:val="auto"/>
                <w:kern w:val="0"/>
                <w:sz w:val="21"/>
                <w:szCs w:val="21"/>
                <w:lang w:bidi="ar"/>
              </w:rPr>
              <w:t>数量（个/套）</w:t>
            </w:r>
          </w:p>
        </w:tc>
        <w:tc>
          <w:tcPr>
            <w:tcW w:w="953" w:type="dxa"/>
            <w:shd w:val="clear" w:color="auto" w:fill="auto"/>
            <w:vAlign w:val="center"/>
          </w:tcPr>
          <w:p w14:paraId="7D20F1C5">
            <w:pPr>
              <w:widowControl/>
              <w:adjustRightInd/>
              <w:snapToGrid/>
              <w:spacing w:line="240" w:lineRule="auto"/>
              <w:ind w:firstLine="0" w:firstLineChars="0"/>
              <w:jc w:val="center"/>
              <w:textAlignment w:val="center"/>
              <w:rPr>
                <w:rFonts w:hint="default" w:ascii="Times New Roman" w:hAnsi="Times New Roman" w:eastAsia="宋体" w:cs="Times New Roman"/>
                <w:b/>
                <w:bCs/>
                <w:color w:val="auto"/>
                <w:kern w:val="2"/>
                <w:sz w:val="21"/>
                <w:szCs w:val="21"/>
              </w:rPr>
            </w:pPr>
            <w:r>
              <w:rPr>
                <w:rFonts w:hint="default" w:ascii="Times New Roman" w:hAnsi="Times New Roman" w:eastAsia="宋体" w:cs="Times New Roman"/>
                <w:b/>
                <w:bCs/>
                <w:color w:val="auto"/>
                <w:kern w:val="0"/>
                <w:sz w:val="21"/>
                <w:szCs w:val="21"/>
                <w:lang w:bidi="ar"/>
              </w:rPr>
              <w:t>环评批复槽总容积，m</w:t>
            </w:r>
            <w:r>
              <w:rPr>
                <w:rFonts w:hint="default" w:ascii="Times New Roman" w:hAnsi="Times New Roman" w:eastAsia="宋体" w:cs="Times New Roman"/>
                <w:b/>
                <w:bCs/>
                <w:color w:val="auto"/>
                <w:kern w:val="0"/>
                <w:sz w:val="21"/>
                <w:szCs w:val="21"/>
                <w:vertAlign w:val="superscript"/>
                <w:lang w:bidi="ar"/>
              </w:rPr>
              <w:t>3</w:t>
            </w:r>
          </w:p>
        </w:tc>
        <w:tc>
          <w:tcPr>
            <w:tcW w:w="2215" w:type="dxa"/>
            <w:shd w:val="clear" w:color="auto" w:fill="auto"/>
            <w:vAlign w:val="center"/>
          </w:tcPr>
          <w:p w14:paraId="27B7BAFF">
            <w:pPr>
              <w:widowControl/>
              <w:adjustRightInd/>
              <w:snapToGrid/>
              <w:spacing w:line="240" w:lineRule="auto"/>
              <w:ind w:firstLine="0" w:firstLineChars="0"/>
              <w:jc w:val="center"/>
              <w:textAlignment w:val="center"/>
              <w:rPr>
                <w:rFonts w:hint="default" w:ascii="Times New Roman" w:hAnsi="Times New Roman" w:eastAsia="宋体" w:cs="Times New Roman"/>
                <w:b/>
                <w:bCs/>
                <w:color w:val="auto"/>
                <w:kern w:val="2"/>
                <w:sz w:val="21"/>
                <w:szCs w:val="21"/>
              </w:rPr>
            </w:pPr>
            <w:r>
              <w:rPr>
                <w:rFonts w:hint="default" w:ascii="Times New Roman" w:hAnsi="Times New Roman" w:eastAsia="宋体" w:cs="Times New Roman"/>
                <w:b/>
                <w:bCs/>
                <w:color w:val="auto"/>
                <w:kern w:val="0"/>
                <w:sz w:val="21"/>
                <w:szCs w:val="21"/>
                <w:lang w:bidi="ar"/>
              </w:rPr>
              <w:t>型号/规格（长×宽×高，mm）</w:t>
            </w:r>
          </w:p>
        </w:tc>
        <w:tc>
          <w:tcPr>
            <w:tcW w:w="765" w:type="dxa"/>
            <w:shd w:val="clear" w:color="auto" w:fill="auto"/>
            <w:vAlign w:val="center"/>
          </w:tcPr>
          <w:p w14:paraId="6612C5A2">
            <w:pPr>
              <w:widowControl/>
              <w:adjustRightInd/>
              <w:snapToGrid/>
              <w:spacing w:line="240" w:lineRule="auto"/>
              <w:ind w:firstLine="0" w:firstLineChars="0"/>
              <w:jc w:val="center"/>
              <w:textAlignment w:val="center"/>
              <w:rPr>
                <w:rFonts w:hint="default" w:ascii="Times New Roman" w:hAnsi="Times New Roman" w:eastAsia="宋体" w:cs="Times New Roman"/>
                <w:b/>
                <w:bCs/>
                <w:color w:val="auto"/>
                <w:kern w:val="2"/>
                <w:sz w:val="21"/>
                <w:szCs w:val="21"/>
              </w:rPr>
            </w:pPr>
            <w:r>
              <w:rPr>
                <w:rFonts w:hint="default" w:ascii="Times New Roman" w:hAnsi="Times New Roman" w:eastAsia="宋体" w:cs="Times New Roman"/>
                <w:b/>
                <w:bCs/>
                <w:color w:val="auto"/>
                <w:kern w:val="0"/>
                <w:sz w:val="21"/>
                <w:szCs w:val="21"/>
                <w:lang w:bidi="ar"/>
              </w:rPr>
              <w:t>数量（个/套）</w:t>
            </w:r>
          </w:p>
        </w:tc>
        <w:tc>
          <w:tcPr>
            <w:tcW w:w="1053" w:type="dxa"/>
            <w:shd w:val="clear" w:color="auto" w:fill="auto"/>
            <w:vAlign w:val="center"/>
          </w:tcPr>
          <w:p w14:paraId="58299BCB">
            <w:pPr>
              <w:widowControl/>
              <w:adjustRightInd/>
              <w:snapToGrid/>
              <w:spacing w:line="240" w:lineRule="auto"/>
              <w:ind w:firstLine="0" w:firstLineChars="0"/>
              <w:jc w:val="center"/>
              <w:textAlignment w:val="center"/>
              <w:rPr>
                <w:rFonts w:hint="default" w:ascii="Times New Roman" w:hAnsi="Times New Roman" w:eastAsia="宋体" w:cs="Times New Roman"/>
                <w:b/>
                <w:bCs/>
                <w:color w:val="auto"/>
                <w:kern w:val="2"/>
                <w:sz w:val="21"/>
                <w:szCs w:val="21"/>
              </w:rPr>
            </w:pPr>
            <w:r>
              <w:rPr>
                <w:rFonts w:hint="default" w:ascii="Times New Roman" w:hAnsi="Times New Roman" w:eastAsia="宋体" w:cs="Times New Roman"/>
                <w:b/>
                <w:bCs/>
                <w:color w:val="auto"/>
                <w:kern w:val="0"/>
                <w:sz w:val="21"/>
                <w:szCs w:val="21"/>
                <w:lang w:bidi="ar"/>
              </w:rPr>
              <w:t>实际槽总容积，m</w:t>
            </w:r>
            <w:r>
              <w:rPr>
                <w:rFonts w:hint="default" w:ascii="Times New Roman" w:hAnsi="Times New Roman" w:eastAsia="宋体" w:cs="Times New Roman"/>
                <w:b/>
                <w:bCs/>
                <w:color w:val="auto"/>
                <w:kern w:val="0"/>
                <w:sz w:val="21"/>
                <w:szCs w:val="21"/>
                <w:vertAlign w:val="superscript"/>
                <w:lang w:bidi="ar"/>
              </w:rPr>
              <w:t>3</w:t>
            </w:r>
          </w:p>
        </w:tc>
        <w:tc>
          <w:tcPr>
            <w:tcW w:w="2547" w:type="dxa"/>
            <w:vMerge w:val="continue"/>
            <w:shd w:val="clear" w:color="auto" w:fill="auto"/>
            <w:vAlign w:val="center"/>
          </w:tcPr>
          <w:p w14:paraId="1D707F43">
            <w:pPr>
              <w:widowControl w:val="0"/>
              <w:adjustRightInd/>
              <w:snapToGrid/>
              <w:spacing w:line="240" w:lineRule="auto"/>
              <w:ind w:firstLine="0" w:firstLineChars="0"/>
              <w:jc w:val="center"/>
              <w:rPr>
                <w:rFonts w:hint="default" w:ascii="Times New Roman" w:hAnsi="Times New Roman" w:eastAsia="宋体" w:cs="Times New Roman"/>
                <w:b/>
                <w:bCs/>
                <w:color w:val="auto"/>
                <w:kern w:val="2"/>
                <w:sz w:val="21"/>
                <w:szCs w:val="21"/>
              </w:rPr>
            </w:pPr>
          </w:p>
        </w:tc>
      </w:tr>
      <w:tr w14:paraId="7A1C7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13979" w:type="dxa"/>
            <w:gridSpan w:val="10"/>
            <w:shd w:val="clear" w:color="auto" w:fill="auto"/>
            <w:vAlign w:val="center"/>
          </w:tcPr>
          <w:p w14:paraId="720866F4">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五金件</w:t>
            </w:r>
          </w:p>
        </w:tc>
      </w:tr>
      <w:tr w14:paraId="3C8B7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restart"/>
            <w:vAlign w:val="center"/>
          </w:tcPr>
          <w:p w14:paraId="215D76E2">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机加工</w:t>
            </w:r>
          </w:p>
        </w:tc>
        <w:tc>
          <w:tcPr>
            <w:tcW w:w="2238" w:type="dxa"/>
            <w:gridSpan w:val="2"/>
            <w:vMerge w:val="restart"/>
            <w:noWrap/>
            <w:vAlign w:val="center"/>
          </w:tcPr>
          <w:p w14:paraId="7569DD60">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冲床</w:t>
            </w:r>
          </w:p>
        </w:tc>
        <w:tc>
          <w:tcPr>
            <w:tcW w:w="2564" w:type="dxa"/>
            <w:noWrap/>
            <w:vAlign w:val="center"/>
          </w:tcPr>
          <w:p w14:paraId="4D206EF3">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C1250</w:t>
            </w:r>
          </w:p>
        </w:tc>
        <w:tc>
          <w:tcPr>
            <w:tcW w:w="925" w:type="dxa"/>
            <w:noWrap/>
            <w:vAlign w:val="center"/>
          </w:tcPr>
          <w:p w14:paraId="2C4635A3">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3</w:t>
            </w:r>
          </w:p>
        </w:tc>
        <w:tc>
          <w:tcPr>
            <w:tcW w:w="953" w:type="dxa"/>
            <w:noWrap/>
            <w:vAlign w:val="center"/>
          </w:tcPr>
          <w:p w14:paraId="4EC57FCB">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671D94CF">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noWrap/>
            <w:vAlign w:val="center"/>
          </w:tcPr>
          <w:p w14:paraId="364958E4">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1053" w:type="dxa"/>
            <w:noWrap/>
            <w:vAlign w:val="center"/>
          </w:tcPr>
          <w:p w14:paraId="19B741E8">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noWrap/>
            <w:vAlign w:val="center"/>
          </w:tcPr>
          <w:p w14:paraId="7A41E802">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二期建设</w:t>
            </w:r>
          </w:p>
        </w:tc>
      </w:tr>
      <w:tr w14:paraId="02F01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7A77CA5B">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vMerge w:val="continue"/>
            <w:noWrap/>
            <w:vAlign w:val="center"/>
          </w:tcPr>
          <w:p w14:paraId="4FE6D733">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564" w:type="dxa"/>
            <w:noWrap/>
            <w:vAlign w:val="center"/>
          </w:tcPr>
          <w:p w14:paraId="570398CD">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C315</w:t>
            </w:r>
          </w:p>
        </w:tc>
        <w:tc>
          <w:tcPr>
            <w:tcW w:w="925" w:type="dxa"/>
            <w:noWrap/>
            <w:vAlign w:val="center"/>
          </w:tcPr>
          <w:p w14:paraId="2BFB5381">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2</w:t>
            </w:r>
          </w:p>
        </w:tc>
        <w:tc>
          <w:tcPr>
            <w:tcW w:w="953" w:type="dxa"/>
            <w:noWrap/>
            <w:vAlign w:val="center"/>
          </w:tcPr>
          <w:p w14:paraId="6E27B1ED">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1F16CA4E">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noWrap/>
            <w:vAlign w:val="center"/>
          </w:tcPr>
          <w:p w14:paraId="411EB3DF">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1053" w:type="dxa"/>
            <w:noWrap/>
            <w:vAlign w:val="center"/>
          </w:tcPr>
          <w:p w14:paraId="5465B931">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noWrap/>
            <w:vAlign w:val="center"/>
          </w:tcPr>
          <w:p w14:paraId="3348ABDA">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二期建设</w:t>
            </w:r>
          </w:p>
        </w:tc>
      </w:tr>
      <w:tr w14:paraId="541F7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070A5FE5">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vMerge w:val="continue"/>
            <w:noWrap/>
            <w:vAlign w:val="center"/>
          </w:tcPr>
          <w:p w14:paraId="4662109F">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564" w:type="dxa"/>
            <w:noWrap/>
            <w:vAlign w:val="center"/>
          </w:tcPr>
          <w:p w14:paraId="038A5C2F">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C2512</w:t>
            </w:r>
          </w:p>
        </w:tc>
        <w:tc>
          <w:tcPr>
            <w:tcW w:w="925" w:type="dxa"/>
            <w:noWrap/>
            <w:vAlign w:val="center"/>
          </w:tcPr>
          <w:p w14:paraId="40819AD7">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5</w:t>
            </w:r>
          </w:p>
        </w:tc>
        <w:tc>
          <w:tcPr>
            <w:tcW w:w="953" w:type="dxa"/>
            <w:noWrap/>
            <w:vAlign w:val="center"/>
          </w:tcPr>
          <w:p w14:paraId="7926B150">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1BB717BE">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noWrap/>
            <w:vAlign w:val="center"/>
          </w:tcPr>
          <w:p w14:paraId="7DE25ACE">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1053" w:type="dxa"/>
            <w:noWrap/>
            <w:vAlign w:val="center"/>
          </w:tcPr>
          <w:p w14:paraId="372D7EB3">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noWrap/>
            <w:vAlign w:val="center"/>
          </w:tcPr>
          <w:p w14:paraId="53DFF3C0">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二期建设</w:t>
            </w:r>
          </w:p>
        </w:tc>
      </w:tr>
      <w:tr w14:paraId="1BA06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1C4F38C3">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vMerge w:val="restart"/>
            <w:noWrap/>
            <w:vAlign w:val="center"/>
          </w:tcPr>
          <w:p w14:paraId="6D990048">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折弯机</w:t>
            </w:r>
          </w:p>
        </w:tc>
        <w:tc>
          <w:tcPr>
            <w:tcW w:w="2564" w:type="dxa"/>
            <w:noWrap/>
            <w:vAlign w:val="center"/>
          </w:tcPr>
          <w:p w14:paraId="05938E44">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35T</w:t>
            </w:r>
          </w:p>
        </w:tc>
        <w:tc>
          <w:tcPr>
            <w:tcW w:w="925" w:type="dxa"/>
            <w:noWrap/>
            <w:vAlign w:val="center"/>
          </w:tcPr>
          <w:p w14:paraId="238931BF">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4</w:t>
            </w:r>
          </w:p>
        </w:tc>
        <w:tc>
          <w:tcPr>
            <w:tcW w:w="953" w:type="dxa"/>
            <w:noWrap/>
            <w:vAlign w:val="center"/>
          </w:tcPr>
          <w:p w14:paraId="04F97129">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037325F3">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noWrap/>
            <w:vAlign w:val="center"/>
          </w:tcPr>
          <w:p w14:paraId="06FA0200">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1053" w:type="dxa"/>
            <w:noWrap/>
            <w:vAlign w:val="center"/>
          </w:tcPr>
          <w:p w14:paraId="33918A9A">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noWrap/>
            <w:vAlign w:val="center"/>
          </w:tcPr>
          <w:p w14:paraId="189A7E72">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二期建设</w:t>
            </w:r>
          </w:p>
        </w:tc>
      </w:tr>
      <w:tr w14:paraId="7892F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1FB7580C">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vMerge w:val="continue"/>
            <w:noWrap/>
            <w:vAlign w:val="center"/>
          </w:tcPr>
          <w:p w14:paraId="60CA3DB4">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564" w:type="dxa"/>
            <w:noWrap/>
            <w:vAlign w:val="center"/>
          </w:tcPr>
          <w:p w14:paraId="001D431D">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20T</w:t>
            </w:r>
          </w:p>
        </w:tc>
        <w:tc>
          <w:tcPr>
            <w:tcW w:w="925" w:type="dxa"/>
            <w:noWrap/>
            <w:vAlign w:val="center"/>
          </w:tcPr>
          <w:p w14:paraId="35430F20">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5</w:t>
            </w:r>
          </w:p>
        </w:tc>
        <w:tc>
          <w:tcPr>
            <w:tcW w:w="953" w:type="dxa"/>
            <w:noWrap/>
            <w:vAlign w:val="center"/>
          </w:tcPr>
          <w:p w14:paraId="72E35A55">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4E001675">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noWrap/>
            <w:vAlign w:val="center"/>
          </w:tcPr>
          <w:p w14:paraId="57C4633E">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1053" w:type="dxa"/>
            <w:noWrap/>
            <w:vAlign w:val="center"/>
          </w:tcPr>
          <w:p w14:paraId="296AB30E">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noWrap/>
            <w:vAlign w:val="center"/>
          </w:tcPr>
          <w:p w14:paraId="50DBAEC2">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二期建设</w:t>
            </w:r>
          </w:p>
        </w:tc>
      </w:tr>
      <w:tr w14:paraId="3E653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020407C9">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51B9874B">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切割机</w:t>
            </w:r>
          </w:p>
        </w:tc>
        <w:tc>
          <w:tcPr>
            <w:tcW w:w="2564" w:type="dxa"/>
            <w:noWrap/>
            <w:vAlign w:val="center"/>
          </w:tcPr>
          <w:p w14:paraId="00C0E6D2">
            <w:pPr>
              <w:widowControl/>
              <w:adjustRightInd/>
              <w:snapToGrid/>
              <w:spacing w:line="240" w:lineRule="auto"/>
              <w:ind w:firstLine="0" w:firstLineChars="0"/>
              <w:jc w:val="center"/>
              <w:textAlignment w:val="center"/>
              <w:rPr>
                <w:rFonts w:hint="eastAsia" w:cs="Times New Roman"/>
                <w:color w:val="auto"/>
                <w:kern w:val="2"/>
                <w:sz w:val="21"/>
                <w:szCs w:val="21"/>
                <w:lang w:val="en-US" w:eastAsia="zh-CN"/>
              </w:rPr>
            </w:pPr>
            <w:r>
              <w:rPr>
                <w:rFonts w:hint="eastAsia" w:cs="Times New Roman"/>
                <w:color w:val="auto"/>
                <w:kern w:val="2"/>
                <w:sz w:val="21"/>
                <w:szCs w:val="21"/>
                <w:lang w:val="en-US" w:eastAsia="zh-CN"/>
              </w:rPr>
              <w:t>/</w:t>
            </w:r>
          </w:p>
        </w:tc>
        <w:tc>
          <w:tcPr>
            <w:tcW w:w="925" w:type="dxa"/>
            <w:noWrap/>
            <w:vAlign w:val="center"/>
          </w:tcPr>
          <w:p w14:paraId="0D38F7D9">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6</w:t>
            </w:r>
          </w:p>
        </w:tc>
        <w:tc>
          <w:tcPr>
            <w:tcW w:w="953" w:type="dxa"/>
            <w:noWrap/>
            <w:vAlign w:val="center"/>
          </w:tcPr>
          <w:p w14:paraId="27A50B17">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65A38C93">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noWrap/>
            <w:vAlign w:val="center"/>
          </w:tcPr>
          <w:p w14:paraId="7BE43871">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1053" w:type="dxa"/>
            <w:noWrap/>
            <w:vAlign w:val="center"/>
          </w:tcPr>
          <w:p w14:paraId="0A5B6CC0">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noWrap/>
            <w:vAlign w:val="center"/>
          </w:tcPr>
          <w:p w14:paraId="41AA2877">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二期建设</w:t>
            </w:r>
          </w:p>
        </w:tc>
      </w:tr>
      <w:tr w14:paraId="2B9BB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restart"/>
            <w:vAlign w:val="center"/>
          </w:tcPr>
          <w:p w14:paraId="1E1C08CF">
            <w:pPr>
              <w:keepNext w:val="0"/>
              <w:keepLines/>
              <w:pageBreakBefore w:val="0"/>
              <w:widowControl/>
              <w:kinsoku/>
              <w:wordWrap w:val="0"/>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滚镀锌工序2条</w:t>
            </w:r>
          </w:p>
        </w:tc>
        <w:tc>
          <w:tcPr>
            <w:tcW w:w="2238" w:type="dxa"/>
            <w:gridSpan w:val="2"/>
            <w:noWrap/>
            <w:vAlign w:val="center"/>
          </w:tcPr>
          <w:p w14:paraId="0E8AAF34">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悬空引导装置</w:t>
            </w:r>
          </w:p>
        </w:tc>
        <w:tc>
          <w:tcPr>
            <w:tcW w:w="2564" w:type="dxa"/>
            <w:noWrap/>
            <w:vAlign w:val="center"/>
          </w:tcPr>
          <w:p w14:paraId="2777A6A4">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925" w:type="dxa"/>
            <w:noWrap/>
            <w:vAlign w:val="center"/>
          </w:tcPr>
          <w:p w14:paraId="53FAA359">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2×2</w:t>
            </w:r>
          </w:p>
        </w:tc>
        <w:tc>
          <w:tcPr>
            <w:tcW w:w="953" w:type="dxa"/>
            <w:noWrap/>
            <w:vAlign w:val="center"/>
          </w:tcPr>
          <w:p w14:paraId="5DB58912">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65C900B0">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noWrap/>
            <w:vAlign w:val="center"/>
          </w:tcPr>
          <w:p w14:paraId="2101367F">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1053" w:type="dxa"/>
            <w:noWrap/>
            <w:vAlign w:val="center"/>
          </w:tcPr>
          <w:p w14:paraId="0ADC36A8">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noWrap/>
            <w:vAlign w:val="center"/>
          </w:tcPr>
          <w:p w14:paraId="577EAA16">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二期建设</w:t>
            </w:r>
          </w:p>
        </w:tc>
      </w:tr>
      <w:tr w14:paraId="20681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6D520693">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601ACD36">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化学除油槽</w:t>
            </w:r>
          </w:p>
        </w:tc>
        <w:tc>
          <w:tcPr>
            <w:tcW w:w="2564" w:type="dxa"/>
            <w:noWrap/>
            <w:vAlign w:val="center"/>
          </w:tcPr>
          <w:p w14:paraId="1870CA2C">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L1550*W800*H1200</w:t>
            </w:r>
          </w:p>
        </w:tc>
        <w:tc>
          <w:tcPr>
            <w:tcW w:w="925" w:type="dxa"/>
            <w:noWrap/>
            <w:vAlign w:val="center"/>
          </w:tcPr>
          <w:p w14:paraId="3144A34D">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4×2</w:t>
            </w:r>
          </w:p>
        </w:tc>
        <w:tc>
          <w:tcPr>
            <w:tcW w:w="953" w:type="dxa"/>
            <w:noWrap/>
            <w:vAlign w:val="center"/>
          </w:tcPr>
          <w:p w14:paraId="601BF4F4">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73D7F589">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noWrap/>
            <w:vAlign w:val="center"/>
          </w:tcPr>
          <w:p w14:paraId="145C5915">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1053" w:type="dxa"/>
            <w:noWrap/>
            <w:vAlign w:val="center"/>
          </w:tcPr>
          <w:p w14:paraId="4F6455FD">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noWrap/>
            <w:vAlign w:val="center"/>
          </w:tcPr>
          <w:p w14:paraId="2368348D">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二期建设</w:t>
            </w:r>
          </w:p>
        </w:tc>
      </w:tr>
      <w:tr w14:paraId="38E51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14B209FA">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28E49189">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水洗槽</w:t>
            </w:r>
          </w:p>
        </w:tc>
        <w:tc>
          <w:tcPr>
            <w:tcW w:w="2564" w:type="dxa"/>
            <w:noWrap/>
            <w:vAlign w:val="center"/>
          </w:tcPr>
          <w:p w14:paraId="613D4DB1">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L1550*W800*H1200</w:t>
            </w:r>
          </w:p>
        </w:tc>
        <w:tc>
          <w:tcPr>
            <w:tcW w:w="925" w:type="dxa"/>
            <w:noWrap/>
            <w:vAlign w:val="center"/>
          </w:tcPr>
          <w:p w14:paraId="2F8AC679">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3×2</w:t>
            </w:r>
          </w:p>
        </w:tc>
        <w:tc>
          <w:tcPr>
            <w:tcW w:w="953" w:type="dxa"/>
            <w:noWrap/>
            <w:vAlign w:val="center"/>
          </w:tcPr>
          <w:p w14:paraId="1145DC6D">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lang w:val="en-US" w:eastAsia="zh-CN"/>
              </w:rPr>
            </w:pPr>
            <w:r>
              <w:rPr>
                <w:rFonts w:hint="eastAsia" w:ascii="Times New Roman" w:hAnsi="Times New Roman" w:eastAsia="宋体" w:cs="Times New Roman"/>
                <w:color w:val="auto"/>
                <w:kern w:val="0"/>
                <w:sz w:val="21"/>
                <w:szCs w:val="21"/>
                <w:lang w:val="en-US" w:eastAsia="zh-CN" w:bidi="ar"/>
              </w:rPr>
              <w:t xml:space="preserve">  </w:t>
            </w:r>
          </w:p>
        </w:tc>
        <w:tc>
          <w:tcPr>
            <w:tcW w:w="2215" w:type="dxa"/>
            <w:noWrap/>
            <w:vAlign w:val="center"/>
          </w:tcPr>
          <w:p w14:paraId="2AA3E3A9">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noWrap/>
            <w:vAlign w:val="center"/>
          </w:tcPr>
          <w:p w14:paraId="387D99D7">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1053" w:type="dxa"/>
            <w:noWrap/>
            <w:vAlign w:val="center"/>
          </w:tcPr>
          <w:p w14:paraId="2BB671FF">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noWrap/>
            <w:vAlign w:val="center"/>
          </w:tcPr>
          <w:p w14:paraId="6A3B6C6B">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二期建设</w:t>
            </w:r>
          </w:p>
        </w:tc>
      </w:tr>
      <w:tr w14:paraId="7546D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4C2F5746">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54865B29">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酸洗槽</w:t>
            </w:r>
          </w:p>
        </w:tc>
        <w:tc>
          <w:tcPr>
            <w:tcW w:w="2564" w:type="dxa"/>
            <w:noWrap/>
            <w:vAlign w:val="center"/>
          </w:tcPr>
          <w:p w14:paraId="2E491689">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L1550*W800*H1200</w:t>
            </w:r>
          </w:p>
        </w:tc>
        <w:tc>
          <w:tcPr>
            <w:tcW w:w="925" w:type="dxa"/>
            <w:noWrap/>
            <w:vAlign w:val="center"/>
          </w:tcPr>
          <w:p w14:paraId="48FD5369">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3×2</w:t>
            </w:r>
          </w:p>
        </w:tc>
        <w:tc>
          <w:tcPr>
            <w:tcW w:w="953" w:type="dxa"/>
            <w:noWrap/>
            <w:vAlign w:val="center"/>
          </w:tcPr>
          <w:p w14:paraId="5A1058F1">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4626FDD5">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noWrap/>
            <w:vAlign w:val="center"/>
          </w:tcPr>
          <w:p w14:paraId="1BF00BA1">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1053" w:type="dxa"/>
            <w:noWrap/>
            <w:vAlign w:val="center"/>
          </w:tcPr>
          <w:p w14:paraId="4E090F08">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noWrap/>
            <w:vAlign w:val="center"/>
          </w:tcPr>
          <w:p w14:paraId="50692DD6">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二期建设</w:t>
            </w:r>
          </w:p>
        </w:tc>
      </w:tr>
      <w:tr w14:paraId="679BD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7FAB5688">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310EB92A">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水洗槽</w:t>
            </w:r>
          </w:p>
        </w:tc>
        <w:tc>
          <w:tcPr>
            <w:tcW w:w="2564" w:type="dxa"/>
            <w:noWrap/>
            <w:vAlign w:val="center"/>
          </w:tcPr>
          <w:p w14:paraId="7BD88AA4">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L1550*W800*H1200</w:t>
            </w:r>
          </w:p>
        </w:tc>
        <w:tc>
          <w:tcPr>
            <w:tcW w:w="925" w:type="dxa"/>
            <w:noWrap/>
            <w:vAlign w:val="center"/>
          </w:tcPr>
          <w:p w14:paraId="0A2FE346">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3×2</w:t>
            </w:r>
          </w:p>
        </w:tc>
        <w:tc>
          <w:tcPr>
            <w:tcW w:w="953" w:type="dxa"/>
            <w:noWrap/>
            <w:vAlign w:val="center"/>
          </w:tcPr>
          <w:p w14:paraId="31065079">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5A41430D">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noWrap/>
            <w:vAlign w:val="center"/>
          </w:tcPr>
          <w:p w14:paraId="7B1D9B19">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1053" w:type="dxa"/>
            <w:noWrap/>
            <w:vAlign w:val="center"/>
          </w:tcPr>
          <w:p w14:paraId="316EF387">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noWrap/>
            <w:vAlign w:val="center"/>
          </w:tcPr>
          <w:p w14:paraId="070D9A87">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二期建设</w:t>
            </w:r>
          </w:p>
        </w:tc>
      </w:tr>
      <w:tr w14:paraId="3B553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0A9C6015">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697D4AD5">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电解除油槽</w:t>
            </w:r>
          </w:p>
        </w:tc>
        <w:tc>
          <w:tcPr>
            <w:tcW w:w="2564" w:type="dxa"/>
            <w:noWrap/>
            <w:vAlign w:val="center"/>
          </w:tcPr>
          <w:p w14:paraId="3A1324D7">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L1550*W800*H1200</w:t>
            </w:r>
          </w:p>
        </w:tc>
        <w:tc>
          <w:tcPr>
            <w:tcW w:w="925" w:type="dxa"/>
            <w:noWrap/>
            <w:vAlign w:val="center"/>
          </w:tcPr>
          <w:p w14:paraId="3559BA0F">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2×2</w:t>
            </w:r>
          </w:p>
        </w:tc>
        <w:tc>
          <w:tcPr>
            <w:tcW w:w="953" w:type="dxa"/>
            <w:noWrap/>
            <w:vAlign w:val="center"/>
          </w:tcPr>
          <w:p w14:paraId="41DFCA42">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12234D1E">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noWrap/>
            <w:vAlign w:val="center"/>
          </w:tcPr>
          <w:p w14:paraId="7D552BC8">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1053" w:type="dxa"/>
            <w:noWrap/>
            <w:vAlign w:val="center"/>
          </w:tcPr>
          <w:p w14:paraId="126821DC">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noWrap/>
            <w:vAlign w:val="center"/>
          </w:tcPr>
          <w:p w14:paraId="326F8CFC">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二期建设</w:t>
            </w:r>
          </w:p>
        </w:tc>
      </w:tr>
      <w:tr w14:paraId="25540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0FEF1190">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481FAFA3">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水洗槽</w:t>
            </w:r>
          </w:p>
        </w:tc>
        <w:tc>
          <w:tcPr>
            <w:tcW w:w="2564" w:type="dxa"/>
            <w:noWrap/>
            <w:vAlign w:val="center"/>
          </w:tcPr>
          <w:p w14:paraId="2E7C5B8C">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L1550*W800*H1200</w:t>
            </w:r>
          </w:p>
        </w:tc>
        <w:tc>
          <w:tcPr>
            <w:tcW w:w="925" w:type="dxa"/>
            <w:noWrap/>
            <w:vAlign w:val="center"/>
          </w:tcPr>
          <w:p w14:paraId="5516DAB7">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2×2</w:t>
            </w:r>
          </w:p>
        </w:tc>
        <w:tc>
          <w:tcPr>
            <w:tcW w:w="953" w:type="dxa"/>
            <w:noWrap/>
            <w:vAlign w:val="center"/>
          </w:tcPr>
          <w:p w14:paraId="2582085B">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5CEF7EE9">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noWrap/>
            <w:vAlign w:val="center"/>
          </w:tcPr>
          <w:p w14:paraId="21054C19">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1053" w:type="dxa"/>
            <w:noWrap/>
            <w:vAlign w:val="center"/>
          </w:tcPr>
          <w:p w14:paraId="79A1989B">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noWrap/>
            <w:vAlign w:val="center"/>
          </w:tcPr>
          <w:p w14:paraId="4480ACCF">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二期建设</w:t>
            </w:r>
          </w:p>
        </w:tc>
      </w:tr>
      <w:tr w14:paraId="4A345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3E6CCE8F">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30F15E7C">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活化槽</w:t>
            </w:r>
          </w:p>
        </w:tc>
        <w:tc>
          <w:tcPr>
            <w:tcW w:w="2564" w:type="dxa"/>
            <w:noWrap/>
            <w:vAlign w:val="center"/>
          </w:tcPr>
          <w:p w14:paraId="3327F998">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L1550*W800*H1200</w:t>
            </w:r>
          </w:p>
        </w:tc>
        <w:tc>
          <w:tcPr>
            <w:tcW w:w="925" w:type="dxa"/>
            <w:noWrap/>
            <w:vAlign w:val="center"/>
          </w:tcPr>
          <w:p w14:paraId="12468562">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1×2</w:t>
            </w:r>
          </w:p>
        </w:tc>
        <w:tc>
          <w:tcPr>
            <w:tcW w:w="953" w:type="dxa"/>
            <w:noWrap/>
            <w:vAlign w:val="center"/>
          </w:tcPr>
          <w:p w14:paraId="57434983">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4EF32002">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noWrap/>
            <w:vAlign w:val="center"/>
          </w:tcPr>
          <w:p w14:paraId="6C5D3B08">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1053" w:type="dxa"/>
            <w:noWrap/>
            <w:vAlign w:val="center"/>
          </w:tcPr>
          <w:p w14:paraId="58A17634">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noWrap/>
            <w:vAlign w:val="center"/>
          </w:tcPr>
          <w:p w14:paraId="29B640F6">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二期建设</w:t>
            </w:r>
          </w:p>
        </w:tc>
      </w:tr>
      <w:tr w14:paraId="493A2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3245969B">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63D327F7">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水洗槽</w:t>
            </w:r>
          </w:p>
        </w:tc>
        <w:tc>
          <w:tcPr>
            <w:tcW w:w="2564" w:type="dxa"/>
            <w:noWrap/>
            <w:vAlign w:val="center"/>
          </w:tcPr>
          <w:p w14:paraId="2E6CF7F0">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L1550*W800*H1200</w:t>
            </w:r>
          </w:p>
        </w:tc>
        <w:tc>
          <w:tcPr>
            <w:tcW w:w="925" w:type="dxa"/>
            <w:noWrap/>
            <w:vAlign w:val="center"/>
          </w:tcPr>
          <w:p w14:paraId="27BD83A1">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1×2</w:t>
            </w:r>
          </w:p>
        </w:tc>
        <w:tc>
          <w:tcPr>
            <w:tcW w:w="953" w:type="dxa"/>
            <w:noWrap/>
            <w:vAlign w:val="center"/>
          </w:tcPr>
          <w:p w14:paraId="6A7DD99D">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6CDC3BB5">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noWrap/>
            <w:vAlign w:val="center"/>
          </w:tcPr>
          <w:p w14:paraId="71CA4424">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1053" w:type="dxa"/>
            <w:noWrap/>
            <w:vAlign w:val="center"/>
          </w:tcPr>
          <w:p w14:paraId="3D0DBC3C">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noWrap/>
            <w:vAlign w:val="center"/>
          </w:tcPr>
          <w:p w14:paraId="390D38AF">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二期建设</w:t>
            </w:r>
          </w:p>
        </w:tc>
      </w:tr>
      <w:tr w14:paraId="0CE9D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5C9D0BE8">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vAlign w:val="center"/>
          </w:tcPr>
          <w:p w14:paraId="3F38D2E3">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镀锌槽(配备过滤系统)</w:t>
            </w:r>
          </w:p>
        </w:tc>
        <w:tc>
          <w:tcPr>
            <w:tcW w:w="2564" w:type="dxa"/>
            <w:noWrap/>
            <w:vAlign w:val="center"/>
          </w:tcPr>
          <w:p w14:paraId="12170CA1">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L1550*W900*H1200</w:t>
            </w:r>
          </w:p>
        </w:tc>
        <w:tc>
          <w:tcPr>
            <w:tcW w:w="925" w:type="dxa"/>
            <w:noWrap/>
            <w:vAlign w:val="center"/>
          </w:tcPr>
          <w:p w14:paraId="0460E2A6">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10×2</w:t>
            </w:r>
          </w:p>
        </w:tc>
        <w:tc>
          <w:tcPr>
            <w:tcW w:w="953" w:type="dxa"/>
            <w:noWrap/>
            <w:vAlign w:val="center"/>
          </w:tcPr>
          <w:p w14:paraId="50FCC18B">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00F669FD">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noWrap/>
            <w:vAlign w:val="center"/>
          </w:tcPr>
          <w:p w14:paraId="73578CC1">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1053" w:type="dxa"/>
            <w:noWrap/>
            <w:vAlign w:val="center"/>
          </w:tcPr>
          <w:p w14:paraId="26E4A435">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noWrap/>
            <w:vAlign w:val="center"/>
          </w:tcPr>
          <w:p w14:paraId="26C6158F">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二期建设</w:t>
            </w:r>
          </w:p>
        </w:tc>
      </w:tr>
      <w:tr w14:paraId="6E0DB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60C8B5F3">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630D7243">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回收槽</w:t>
            </w:r>
          </w:p>
        </w:tc>
        <w:tc>
          <w:tcPr>
            <w:tcW w:w="2564" w:type="dxa"/>
            <w:noWrap/>
            <w:vAlign w:val="center"/>
          </w:tcPr>
          <w:p w14:paraId="60A63683">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L1550*W800*H1200</w:t>
            </w:r>
          </w:p>
        </w:tc>
        <w:tc>
          <w:tcPr>
            <w:tcW w:w="925" w:type="dxa"/>
            <w:noWrap/>
            <w:vAlign w:val="center"/>
          </w:tcPr>
          <w:p w14:paraId="5A10ED75">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2×2</w:t>
            </w:r>
          </w:p>
        </w:tc>
        <w:tc>
          <w:tcPr>
            <w:tcW w:w="953" w:type="dxa"/>
            <w:noWrap/>
            <w:vAlign w:val="center"/>
          </w:tcPr>
          <w:p w14:paraId="5372B41B">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5989E694">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noWrap/>
            <w:vAlign w:val="center"/>
          </w:tcPr>
          <w:p w14:paraId="2C9A0D1E">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1053" w:type="dxa"/>
            <w:noWrap/>
            <w:vAlign w:val="center"/>
          </w:tcPr>
          <w:p w14:paraId="0ABD9433">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noWrap/>
            <w:vAlign w:val="center"/>
          </w:tcPr>
          <w:p w14:paraId="40690E20">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二期建设</w:t>
            </w:r>
          </w:p>
        </w:tc>
      </w:tr>
      <w:tr w14:paraId="088CE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63FC4243">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691B26B5">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水洗槽</w:t>
            </w:r>
          </w:p>
        </w:tc>
        <w:tc>
          <w:tcPr>
            <w:tcW w:w="2564" w:type="dxa"/>
            <w:noWrap/>
            <w:vAlign w:val="center"/>
          </w:tcPr>
          <w:p w14:paraId="0D4AD359">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L1550*W800*H1200</w:t>
            </w:r>
          </w:p>
        </w:tc>
        <w:tc>
          <w:tcPr>
            <w:tcW w:w="925" w:type="dxa"/>
            <w:noWrap/>
            <w:vAlign w:val="center"/>
          </w:tcPr>
          <w:p w14:paraId="468D142F">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3×2</w:t>
            </w:r>
          </w:p>
        </w:tc>
        <w:tc>
          <w:tcPr>
            <w:tcW w:w="953" w:type="dxa"/>
            <w:noWrap/>
            <w:vAlign w:val="center"/>
          </w:tcPr>
          <w:p w14:paraId="7E41C6CF">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43024624">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noWrap/>
            <w:vAlign w:val="center"/>
          </w:tcPr>
          <w:p w14:paraId="55746930">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1053" w:type="dxa"/>
            <w:noWrap/>
            <w:vAlign w:val="center"/>
          </w:tcPr>
          <w:p w14:paraId="04265158">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noWrap/>
            <w:vAlign w:val="center"/>
          </w:tcPr>
          <w:p w14:paraId="6C7A38AA">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二期建设</w:t>
            </w:r>
          </w:p>
        </w:tc>
      </w:tr>
      <w:tr w14:paraId="26172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21DC6FC0">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74484479">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出光槽</w:t>
            </w:r>
          </w:p>
        </w:tc>
        <w:tc>
          <w:tcPr>
            <w:tcW w:w="2564" w:type="dxa"/>
            <w:noWrap/>
            <w:vAlign w:val="center"/>
          </w:tcPr>
          <w:p w14:paraId="1A094B0E">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L1550*W800*H1200</w:t>
            </w:r>
          </w:p>
        </w:tc>
        <w:tc>
          <w:tcPr>
            <w:tcW w:w="925" w:type="dxa"/>
            <w:noWrap/>
            <w:vAlign w:val="center"/>
          </w:tcPr>
          <w:p w14:paraId="442B087C">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1×2</w:t>
            </w:r>
          </w:p>
        </w:tc>
        <w:tc>
          <w:tcPr>
            <w:tcW w:w="953" w:type="dxa"/>
            <w:noWrap/>
            <w:vAlign w:val="center"/>
          </w:tcPr>
          <w:p w14:paraId="2F58B627">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4AE9ED1A">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noWrap/>
            <w:vAlign w:val="center"/>
          </w:tcPr>
          <w:p w14:paraId="0E03FF3C">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1053" w:type="dxa"/>
            <w:noWrap/>
            <w:vAlign w:val="center"/>
          </w:tcPr>
          <w:p w14:paraId="3EE0D422">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noWrap/>
            <w:vAlign w:val="center"/>
          </w:tcPr>
          <w:p w14:paraId="2A060A02">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二期建设</w:t>
            </w:r>
          </w:p>
        </w:tc>
      </w:tr>
      <w:tr w14:paraId="218DD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539D8AF0">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25454F0D">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水洗槽</w:t>
            </w:r>
          </w:p>
        </w:tc>
        <w:tc>
          <w:tcPr>
            <w:tcW w:w="2564" w:type="dxa"/>
            <w:noWrap/>
            <w:vAlign w:val="center"/>
          </w:tcPr>
          <w:p w14:paraId="13024018">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L1550*W800*H1200</w:t>
            </w:r>
          </w:p>
        </w:tc>
        <w:tc>
          <w:tcPr>
            <w:tcW w:w="925" w:type="dxa"/>
            <w:noWrap/>
            <w:vAlign w:val="center"/>
          </w:tcPr>
          <w:p w14:paraId="56D1DA0C">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2×2</w:t>
            </w:r>
          </w:p>
        </w:tc>
        <w:tc>
          <w:tcPr>
            <w:tcW w:w="953" w:type="dxa"/>
            <w:noWrap/>
            <w:vAlign w:val="center"/>
          </w:tcPr>
          <w:p w14:paraId="453BD302">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68D0E144">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noWrap/>
            <w:vAlign w:val="center"/>
          </w:tcPr>
          <w:p w14:paraId="2808878B">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1053" w:type="dxa"/>
            <w:noWrap/>
            <w:vAlign w:val="center"/>
          </w:tcPr>
          <w:p w14:paraId="226D6139">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noWrap/>
            <w:vAlign w:val="center"/>
          </w:tcPr>
          <w:p w14:paraId="52FD9DB0">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二期建设</w:t>
            </w:r>
          </w:p>
        </w:tc>
      </w:tr>
      <w:tr w14:paraId="5303C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186B6912">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6985C397">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钝化槽</w:t>
            </w:r>
          </w:p>
        </w:tc>
        <w:tc>
          <w:tcPr>
            <w:tcW w:w="2564" w:type="dxa"/>
            <w:noWrap/>
            <w:vAlign w:val="center"/>
          </w:tcPr>
          <w:p w14:paraId="05F9BAA8">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L1550*W800*H1200</w:t>
            </w:r>
          </w:p>
        </w:tc>
        <w:tc>
          <w:tcPr>
            <w:tcW w:w="925" w:type="dxa"/>
            <w:noWrap/>
            <w:vAlign w:val="center"/>
          </w:tcPr>
          <w:p w14:paraId="444F985F">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2×2</w:t>
            </w:r>
          </w:p>
        </w:tc>
        <w:tc>
          <w:tcPr>
            <w:tcW w:w="953" w:type="dxa"/>
            <w:noWrap/>
            <w:vAlign w:val="center"/>
          </w:tcPr>
          <w:p w14:paraId="2BA40A13">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38BAE157">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noWrap/>
            <w:vAlign w:val="center"/>
          </w:tcPr>
          <w:p w14:paraId="5011AC0E">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1053" w:type="dxa"/>
            <w:noWrap/>
            <w:vAlign w:val="center"/>
          </w:tcPr>
          <w:p w14:paraId="500F663A">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noWrap/>
            <w:vAlign w:val="center"/>
          </w:tcPr>
          <w:p w14:paraId="367B30AE">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二期建设</w:t>
            </w:r>
          </w:p>
        </w:tc>
      </w:tr>
      <w:tr w14:paraId="75460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17C07C2A">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68CC4A7F">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水洗槽</w:t>
            </w:r>
          </w:p>
        </w:tc>
        <w:tc>
          <w:tcPr>
            <w:tcW w:w="2564" w:type="dxa"/>
            <w:noWrap/>
            <w:vAlign w:val="center"/>
          </w:tcPr>
          <w:p w14:paraId="18C65A12">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L1550*W800*H1200</w:t>
            </w:r>
          </w:p>
        </w:tc>
        <w:tc>
          <w:tcPr>
            <w:tcW w:w="925" w:type="dxa"/>
            <w:noWrap/>
            <w:vAlign w:val="center"/>
          </w:tcPr>
          <w:p w14:paraId="5CB6F6C1">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6×2</w:t>
            </w:r>
          </w:p>
        </w:tc>
        <w:tc>
          <w:tcPr>
            <w:tcW w:w="953" w:type="dxa"/>
            <w:noWrap/>
            <w:vAlign w:val="center"/>
          </w:tcPr>
          <w:p w14:paraId="67B4DC3E">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6B947452">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noWrap/>
            <w:vAlign w:val="center"/>
          </w:tcPr>
          <w:p w14:paraId="5CA8F56C">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1053" w:type="dxa"/>
            <w:noWrap/>
            <w:vAlign w:val="center"/>
          </w:tcPr>
          <w:p w14:paraId="72298486">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noWrap/>
            <w:vAlign w:val="center"/>
          </w:tcPr>
          <w:p w14:paraId="0AADBFC6">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二期建设</w:t>
            </w:r>
          </w:p>
        </w:tc>
      </w:tr>
      <w:tr w14:paraId="4EFBC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25CDC4C2">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7C8EF1FB">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热水洗槽</w:t>
            </w:r>
          </w:p>
        </w:tc>
        <w:tc>
          <w:tcPr>
            <w:tcW w:w="2564" w:type="dxa"/>
            <w:noWrap/>
            <w:vAlign w:val="center"/>
          </w:tcPr>
          <w:p w14:paraId="324B9B85">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L1550*W800*H1200</w:t>
            </w:r>
          </w:p>
        </w:tc>
        <w:tc>
          <w:tcPr>
            <w:tcW w:w="925" w:type="dxa"/>
            <w:noWrap/>
            <w:vAlign w:val="center"/>
          </w:tcPr>
          <w:p w14:paraId="48EC3F90">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1×2</w:t>
            </w:r>
          </w:p>
        </w:tc>
        <w:tc>
          <w:tcPr>
            <w:tcW w:w="953" w:type="dxa"/>
            <w:noWrap/>
            <w:vAlign w:val="center"/>
          </w:tcPr>
          <w:p w14:paraId="75A1E98E">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719E6118">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noWrap/>
            <w:vAlign w:val="center"/>
          </w:tcPr>
          <w:p w14:paraId="337BF84A">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1053" w:type="dxa"/>
            <w:noWrap/>
            <w:vAlign w:val="center"/>
          </w:tcPr>
          <w:p w14:paraId="34C6B112">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noWrap/>
            <w:vAlign w:val="center"/>
          </w:tcPr>
          <w:p w14:paraId="0726AA03">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二期建设</w:t>
            </w:r>
          </w:p>
        </w:tc>
      </w:tr>
      <w:tr w14:paraId="60090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558520CF">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3C25D0A2">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封闭槽</w:t>
            </w:r>
          </w:p>
        </w:tc>
        <w:tc>
          <w:tcPr>
            <w:tcW w:w="2564" w:type="dxa"/>
            <w:noWrap/>
            <w:vAlign w:val="center"/>
          </w:tcPr>
          <w:p w14:paraId="3384CA0D">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L1550*W800*H1200</w:t>
            </w:r>
          </w:p>
        </w:tc>
        <w:tc>
          <w:tcPr>
            <w:tcW w:w="925" w:type="dxa"/>
            <w:noWrap/>
            <w:vAlign w:val="center"/>
          </w:tcPr>
          <w:p w14:paraId="54DB3B63">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1×2</w:t>
            </w:r>
          </w:p>
        </w:tc>
        <w:tc>
          <w:tcPr>
            <w:tcW w:w="953" w:type="dxa"/>
            <w:noWrap/>
            <w:vAlign w:val="center"/>
          </w:tcPr>
          <w:p w14:paraId="6FAE85D4">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01925344">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noWrap/>
            <w:vAlign w:val="center"/>
          </w:tcPr>
          <w:p w14:paraId="0788DD4C">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1053" w:type="dxa"/>
            <w:noWrap/>
            <w:vAlign w:val="center"/>
          </w:tcPr>
          <w:p w14:paraId="329B09C4">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noWrap/>
            <w:vAlign w:val="center"/>
          </w:tcPr>
          <w:p w14:paraId="2357C773">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二期建设</w:t>
            </w:r>
          </w:p>
        </w:tc>
      </w:tr>
      <w:tr w14:paraId="030EA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13B3C3F2">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719B9AD0">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封闭剂回收槽</w:t>
            </w:r>
          </w:p>
        </w:tc>
        <w:tc>
          <w:tcPr>
            <w:tcW w:w="2564" w:type="dxa"/>
            <w:noWrap/>
            <w:vAlign w:val="center"/>
          </w:tcPr>
          <w:p w14:paraId="2C63191A">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L1550*W800*H1200</w:t>
            </w:r>
          </w:p>
        </w:tc>
        <w:tc>
          <w:tcPr>
            <w:tcW w:w="925" w:type="dxa"/>
            <w:noWrap/>
            <w:vAlign w:val="center"/>
          </w:tcPr>
          <w:p w14:paraId="6E378DC0">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1×2</w:t>
            </w:r>
          </w:p>
        </w:tc>
        <w:tc>
          <w:tcPr>
            <w:tcW w:w="953" w:type="dxa"/>
            <w:noWrap/>
            <w:vAlign w:val="center"/>
          </w:tcPr>
          <w:p w14:paraId="1134E44B">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60052367">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noWrap/>
            <w:vAlign w:val="center"/>
          </w:tcPr>
          <w:p w14:paraId="67C0A6C0">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1053" w:type="dxa"/>
            <w:noWrap/>
            <w:vAlign w:val="center"/>
          </w:tcPr>
          <w:p w14:paraId="623B8E05">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noWrap/>
            <w:vAlign w:val="center"/>
          </w:tcPr>
          <w:p w14:paraId="66DE11D5">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二期建设</w:t>
            </w:r>
          </w:p>
        </w:tc>
      </w:tr>
      <w:tr w14:paraId="2E723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4223B475">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162A7BD7">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脱水机</w:t>
            </w:r>
          </w:p>
        </w:tc>
        <w:tc>
          <w:tcPr>
            <w:tcW w:w="2564" w:type="dxa"/>
            <w:noWrap/>
            <w:vAlign w:val="center"/>
          </w:tcPr>
          <w:p w14:paraId="1090EE02">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925" w:type="dxa"/>
            <w:noWrap/>
            <w:vAlign w:val="center"/>
          </w:tcPr>
          <w:p w14:paraId="65181BBC">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3×2</w:t>
            </w:r>
          </w:p>
        </w:tc>
        <w:tc>
          <w:tcPr>
            <w:tcW w:w="953" w:type="dxa"/>
            <w:noWrap/>
            <w:vAlign w:val="center"/>
          </w:tcPr>
          <w:p w14:paraId="51BE12F7">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0B6EA951">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noWrap/>
            <w:vAlign w:val="center"/>
          </w:tcPr>
          <w:p w14:paraId="66F1210A">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1053" w:type="dxa"/>
            <w:noWrap/>
            <w:vAlign w:val="center"/>
          </w:tcPr>
          <w:p w14:paraId="1393DA20">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noWrap/>
            <w:vAlign w:val="center"/>
          </w:tcPr>
          <w:p w14:paraId="4EF7E3B1">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二期建设</w:t>
            </w:r>
          </w:p>
        </w:tc>
      </w:tr>
      <w:tr w14:paraId="7EB7A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661B576E">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483F4A14">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烘干机</w:t>
            </w:r>
          </w:p>
        </w:tc>
        <w:tc>
          <w:tcPr>
            <w:tcW w:w="2564" w:type="dxa"/>
            <w:noWrap/>
            <w:vAlign w:val="center"/>
          </w:tcPr>
          <w:p w14:paraId="6BE4346A">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电加热，L9000*W1000</w:t>
            </w:r>
          </w:p>
        </w:tc>
        <w:tc>
          <w:tcPr>
            <w:tcW w:w="925" w:type="dxa"/>
            <w:noWrap/>
            <w:vAlign w:val="center"/>
          </w:tcPr>
          <w:p w14:paraId="4B65756F">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2×2</w:t>
            </w:r>
          </w:p>
        </w:tc>
        <w:tc>
          <w:tcPr>
            <w:tcW w:w="953" w:type="dxa"/>
            <w:noWrap/>
            <w:vAlign w:val="center"/>
          </w:tcPr>
          <w:p w14:paraId="18AE1022">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1711E63D">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noWrap/>
            <w:vAlign w:val="center"/>
          </w:tcPr>
          <w:p w14:paraId="250A001D">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1053" w:type="dxa"/>
            <w:noWrap/>
            <w:vAlign w:val="center"/>
          </w:tcPr>
          <w:p w14:paraId="4A879E3B">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noWrap/>
            <w:vAlign w:val="center"/>
          </w:tcPr>
          <w:p w14:paraId="1B3171DA">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二期建设</w:t>
            </w:r>
          </w:p>
        </w:tc>
      </w:tr>
      <w:tr w14:paraId="5E803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shd w:val="clear" w:color="auto" w:fill="auto"/>
            <w:vAlign w:val="center"/>
          </w:tcPr>
          <w:p w14:paraId="5C0DD932">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shd w:val="clear" w:color="auto" w:fill="auto"/>
            <w:noWrap/>
            <w:vAlign w:val="center"/>
          </w:tcPr>
          <w:p w14:paraId="3E539E1E">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滚筒</w:t>
            </w:r>
          </w:p>
        </w:tc>
        <w:tc>
          <w:tcPr>
            <w:tcW w:w="2564" w:type="dxa"/>
            <w:shd w:val="clear" w:color="auto" w:fill="auto"/>
            <w:noWrap/>
            <w:vAlign w:val="center"/>
          </w:tcPr>
          <w:p w14:paraId="7B2DE80E">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塑料</w:t>
            </w:r>
          </w:p>
        </w:tc>
        <w:tc>
          <w:tcPr>
            <w:tcW w:w="925" w:type="dxa"/>
            <w:shd w:val="clear" w:color="auto" w:fill="auto"/>
            <w:noWrap/>
            <w:vAlign w:val="center"/>
          </w:tcPr>
          <w:p w14:paraId="76360FD6">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22×2</w:t>
            </w:r>
          </w:p>
        </w:tc>
        <w:tc>
          <w:tcPr>
            <w:tcW w:w="953" w:type="dxa"/>
            <w:shd w:val="clear" w:color="auto" w:fill="auto"/>
            <w:noWrap/>
            <w:vAlign w:val="center"/>
          </w:tcPr>
          <w:p w14:paraId="5D3D98E3">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215" w:type="dxa"/>
            <w:shd w:val="clear" w:color="auto" w:fill="auto"/>
            <w:noWrap/>
            <w:vAlign w:val="center"/>
          </w:tcPr>
          <w:p w14:paraId="10E5B805">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shd w:val="clear" w:color="auto" w:fill="auto"/>
            <w:noWrap/>
            <w:vAlign w:val="center"/>
          </w:tcPr>
          <w:p w14:paraId="065B2F62">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1053" w:type="dxa"/>
            <w:shd w:val="clear" w:color="auto" w:fill="auto"/>
            <w:noWrap/>
            <w:vAlign w:val="center"/>
          </w:tcPr>
          <w:p w14:paraId="4E2B8CF3">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shd w:val="clear" w:color="auto" w:fill="auto"/>
            <w:noWrap/>
            <w:vAlign w:val="center"/>
          </w:tcPr>
          <w:p w14:paraId="4F04D30D">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二期建设</w:t>
            </w:r>
          </w:p>
        </w:tc>
      </w:tr>
      <w:tr w14:paraId="50084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13979" w:type="dxa"/>
            <w:gridSpan w:val="10"/>
            <w:shd w:val="clear" w:color="auto" w:fill="auto"/>
            <w:vAlign w:val="center"/>
          </w:tcPr>
          <w:p w14:paraId="3157995A">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汽车配件</w:t>
            </w:r>
          </w:p>
        </w:tc>
      </w:tr>
      <w:tr w14:paraId="69091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restart"/>
            <w:vAlign w:val="center"/>
          </w:tcPr>
          <w:p w14:paraId="79D321E3">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机加工</w:t>
            </w:r>
          </w:p>
        </w:tc>
        <w:tc>
          <w:tcPr>
            <w:tcW w:w="2238" w:type="dxa"/>
            <w:gridSpan w:val="2"/>
            <w:noWrap/>
            <w:vAlign w:val="center"/>
          </w:tcPr>
          <w:p w14:paraId="55B89C83">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冲床</w:t>
            </w:r>
          </w:p>
        </w:tc>
        <w:tc>
          <w:tcPr>
            <w:tcW w:w="2564" w:type="dxa"/>
            <w:noWrap/>
            <w:vAlign w:val="center"/>
          </w:tcPr>
          <w:p w14:paraId="4C4774DA">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D315</w:t>
            </w:r>
          </w:p>
        </w:tc>
        <w:tc>
          <w:tcPr>
            <w:tcW w:w="925" w:type="dxa"/>
            <w:noWrap/>
            <w:vAlign w:val="center"/>
          </w:tcPr>
          <w:p w14:paraId="698F2EAF">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4</w:t>
            </w:r>
          </w:p>
        </w:tc>
        <w:tc>
          <w:tcPr>
            <w:tcW w:w="953" w:type="dxa"/>
            <w:noWrap/>
            <w:vAlign w:val="center"/>
          </w:tcPr>
          <w:p w14:paraId="281F59D6">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41870DC2">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noWrap/>
            <w:vAlign w:val="center"/>
          </w:tcPr>
          <w:p w14:paraId="1D3F7D99">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2</w:t>
            </w:r>
          </w:p>
        </w:tc>
        <w:tc>
          <w:tcPr>
            <w:tcW w:w="1053" w:type="dxa"/>
            <w:noWrap/>
            <w:vAlign w:val="center"/>
          </w:tcPr>
          <w:p w14:paraId="288D3F5D">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noWrap/>
            <w:vAlign w:val="center"/>
          </w:tcPr>
          <w:p w14:paraId="02FAD719">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数量减少</w:t>
            </w:r>
          </w:p>
        </w:tc>
      </w:tr>
      <w:tr w14:paraId="1B59E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3BEC53A6">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2E1C580F">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折弯机</w:t>
            </w:r>
          </w:p>
        </w:tc>
        <w:tc>
          <w:tcPr>
            <w:tcW w:w="2564" w:type="dxa"/>
            <w:noWrap/>
            <w:vAlign w:val="center"/>
          </w:tcPr>
          <w:p w14:paraId="3B282830">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BC0315</w:t>
            </w:r>
          </w:p>
        </w:tc>
        <w:tc>
          <w:tcPr>
            <w:tcW w:w="925" w:type="dxa"/>
            <w:noWrap/>
            <w:vAlign w:val="center"/>
          </w:tcPr>
          <w:p w14:paraId="7FF13171">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2</w:t>
            </w:r>
          </w:p>
        </w:tc>
        <w:tc>
          <w:tcPr>
            <w:tcW w:w="953" w:type="dxa"/>
            <w:noWrap/>
            <w:vAlign w:val="center"/>
          </w:tcPr>
          <w:p w14:paraId="647A997C">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636FFE91">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noWrap/>
            <w:vAlign w:val="center"/>
          </w:tcPr>
          <w:p w14:paraId="24413AE9">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1</w:t>
            </w:r>
          </w:p>
        </w:tc>
        <w:tc>
          <w:tcPr>
            <w:tcW w:w="1053" w:type="dxa"/>
            <w:noWrap/>
            <w:vAlign w:val="center"/>
          </w:tcPr>
          <w:p w14:paraId="5F190639">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noWrap/>
            <w:vAlign w:val="center"/>
          </w:tcPr>
          <w:p w14:paraId="16ACFEE5">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数量减少</w:t>
            </w:r>
          </w:p>
        </w:tc>
      </w:tr>
      <w:tr w14:paraId="54093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5E329287">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52698189">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铣床</w:t>
            </w:r>
          </w:p>
        </w:tc>
        <w:tc>
          <w:tcPr>
            <w:tcW w:w="2564" w:type="dxa"/>
            <w:noWrap/>
            <w:vAlign w:val="center"/>
          </w:tcPr>
          <w:p w14:paraId="2EC8204D">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X6330</w:t>
            </w:r>
          </w:p>
        </w:tc>
        <w:tc>
          <w:tcPr>
            <w:tcW w:w="925" w:type="dxa"/>
            <w:noWrap/>
            <w:vAlign w:val="center"/>
          </w:tcPr>
          <w:p w14:paraId="5E58DA67">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2</w:t>
            </w:r>
          </w:p>
        </w:tc>
        <w:tc>
          <w:tcPr>
            <w:tcW w:w="953" w:type="dxa"/>
            <w:noWrap/>
            <w:vAlign w:val="center"/>
          </w:tcPr>
          <w:p w14:paraId="34798A82">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33AE66FC">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noWrap/>
            <w:vAlign w:val="center"/>
          </w:tcPr>
          <w:p w14:paraId="047F8BC9">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1</w:t>
            </w:r>
          </w:p>
        </w:tc>
        <w:tc>
          <w:tcPr>
            <w:tcW w:w="1053" w:type="dxa"/>
            <w:noWrap/>
            <w:vAlign w:val="center"/>
          </w:tcPr>
          <w:p w14:paraId="5A8443E6">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noWrap/>
            <w:vAlign w:val="center"/>
          </w:tcPr>
          <w:p w14:paraId="58E55631">
            <w:pPr>
              <w:widowControl/>
              <w:adjustRightInd/>
              <w:snapToGrid/>
              <w:spacing w:line="240" w:lineRule="auto"/>
              <w:ind w:firstLine="0" w:firstLineChars="0"/>
              <w:jc w:val="center"/>
              <w:textAlignment w:val="center"/>
              <w:rPr>
                <w:rFonts w:hint="eastAsia"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钻铣一体设备。</w:t>
            </w:r>
          </w:p>
          <w:p w14:paraId="3A183D87">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数量减少</w:t>
            </w:r>
          </w:p>
        </w:tc>
      </w:tr>
      <w:tr w14:paraId="34DC6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503C1B37">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5939F9AF">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车床</w:t>
            </w:r>
          </w:p>
        </w:tc>
        <w:tc>
          <w:tcPr>
            <w:tcW w:w="2564" w:type="dxa"/>
            <w:noWrap/>
            <w:vAlign w:val="center"/>
          </w:tcPr>
          <w:p w14:paraId="00F31209">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CZ5130</w:t>
            </w:r>
          </w:p>
        </w:tc>
        <w:tc>
          <w:tcPr>
            <w:tcW w:w="925" w:type="dxa"/>
            <w:noWrap/>
            <w:vAlign w:val="center"/>
          </w:tcPr>
          <w:p w14:paraId="313D0F56">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2</w:t>
            </w:r>
          </w:p>
        </w:tc>
        <w:tc>
          <w:tcPr>
            <w:tcW w:w="953" w:type="dxa"/>
            <w:noWrap/>
            <w:vAlign w:val="center"/>
          </w:tcPr>
          <w:p w14:paraId="1E19FBCD">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54CA90E1">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noWrap/>
            <w:vAlign w:val="center"/>
          </w:tcPr>
          <w:p w14:paraId="54BB6E80">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1</w:t>
            </w:r>
          </w:p>
        </w:tc>
        <w:tc>
          <w:tcPr>
            <w:tcW w:w="1053" w:type="dxa"/>
            <w:noWrap/>
            <w:vAlign w:val="center"/>
          </w:tcPr>
          <w:p w14:paraId="082A6964">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noWrap/>
            <w:vAlign w:val="center"/>
          </w:tcPr>
          <w:p w14:paraId="647B8B3B">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数量减少</w:t>
            </w:r>
          </w:p>
        </w:tc>
      </w:tr>
      <w:tr w14:paraId="5F17B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46E18775">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7547E223">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钻床</w:t>
            </w:r>
          </w:p>
        </w:tc>
        <w:tc>
          <w:tcPr>
            <w:tcW w:w="2564" w:type="dxa"/>
            <w:noWrap/>
            <w:vAlign w:val="center"/>
          </w:tcPr>
          <w:p w14:paraId="0420A675">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Z3050</w:t>
            </w:r>
          </w:p>
        </w:tc>
        <w:tc>
          <w:tcPr>
            <w:tcW w:w="925" w:type="dxa"/>
            <w:noWrap/>
            <w:vAlign w:val="center"/>
          </w:tcPr>
          <w:p w14:paraId="636D18EE">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2</w:t>
            </w:r>
          </w:p>
        </w:tc>
        <w:tc>
          <w:tcPr>
            <w:tcW w:w="953" w:type="dxa"/>
            <w:noWrap/>
            <w:vAlign w:val="center"/>
          </w:tcPr>
          <w:p w14:paraId="418172A9">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35C1B911">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noWrap/>
            <w:vAlign w:val="center"/>
          </w:tcPr>
          <w:p w14:paraId="7B4D9E8A">
            <w:pPr>
              <w:widowControl/>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lang w:eastAsia="zh-CN"/>
              </w:rPr>
            </w:pPr>
            <w:r>
              <w:rPr>
                <w:rFonts w:hint="eastAsia" w:ascii="Times New Roman" w:hAnsi="Times New Roman" w:eastAsia="宋体" w:cs="Times New Roman"/>
                <w:color w:val="auto"/>
                <w:kern w:val="0"/>
                <w:sz w:val="21"/>
                <w:szCs w:val="21"/>
                <w:lang w:val="en-US" w:eastAsia="zh-CN" w:bidi="ar"/>
              </w:rPr>
              <w:t>0</w:t>
            </w:r>
          </w:p>
        </w:tc>
        <w:tc>
          <w:tcPr>
            <w:tcW w:w="1053" w:type="dxa"/>
            <w:noWrap/>
            <w:vAlign w:val="center"/>
          </w:tcPr>
          <w:p w14:paraId="0C0FDC41">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noWrap/>
            <w:vAlign w:val="center"/>
          </w:tcPr>
          <w:p w14:paraId="31FEDF91">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数量减少</w:t>
            </w:r>
          </w:p>
        </w:tc>
      </w:tr>
      <w:tr w14:paraId="23149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restart"/>
            <w:vAlign w:val="center"/>
          </w:tcPr>
          <w:p w14:paraId="785F4254">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挂镀锌工序1条生产线</w:t>
            </w:r>
          </w:p>
        </w:tc>
        <w:tc>
          <w:tcPr>
            <w:tcW w:w="2238" w:type="dxa"/>
            <w:gridSpan w:val="2"/>
            <w:noWrap/>
            <w:vAlign w:val="center"/>
          </w:tcPr>
          <w:p w14:paraId="63DEA1F8">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悬空引导装置</w:t>
            </w:r>
          </w:p>
        </w:tc>
        <w:tc>
          <w:tcPr>
            <w:tcW w:w="2564" w:type="dxa"/>
            <w:noWrap/>
            <w:vAlign w:val="center"/>
          </w:tcPr>
          <w:p w14:paraId="5F0F1C2D">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925" w:type="dxa"/>
            <w:noWrap/>
            <w:vAlign w:val="center"/>
          </w:tcPr>
          <w:p w14:paraId="71AE05AE">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1</w:t>
            </w:r>
          </w:p>
        </w:tc>
        <w:tc>
          <w:tcPr>
            <w:tcW w:w="953" w:type="dxa"/>
            <w:noWrap/>
            <w:vAlign w:val="center"/>
          </w:tcPr>
          <w:p w14:paraId="60D1B164">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159FB985">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noWrap/>
            <w:vAlign w:val="center"/>
          </w:tcPr>
          <w:p w14:paraId="2FB8389B">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1</w:t>
            </w:r>
          </w:p>
        </w:tc>
        <w:tc>
          <w:tcPr>
            <w:tcW w:w="1053" w:type="dxa"/>
            <w:noWrap/>
            <w:vAlign w:val="center"/>
          </w:tcPr>
          <w:p w14:paraId="549F21DB">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noWrap/>
            <w:vAlign w:val="center"/>
          </w:tcPr>
          <w:p w14:paraId="39EE21AC">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一致</w:t>
            </w:r>
          </w:p>
        </w:tc>
      </w:tr>
      <w:tr w14:paraId="41A8B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44F2479A">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21C11756">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化学除油槽</w:t>
            </w:r>
          </w:p>
        </w:tc>
        <w:tc>
          <w:tcPr>
            <w:tcW w:w="2564" w:type="dxa"/>
            <w:noWrap/>
            <w:vAlign w:val="center"/>
          </w:tcPr>
          <w:p w14:paraId="66F76608">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L4000*W800*H1400</w:t>
            </w:r>
          </w:p>
        </w:tc>
        <w:tc>
          <w:tcPr>
            <w:tcW w:w="925" w:type="dxa"/>
            <w:noWrap/>
            <w:vAlign w:val="center"/>
          </w:tcPr>
          <w:p w14:paraId="60B0A16A">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4</w:t>
            </w:r>
          </w:p>
        </w:tc>
        <w:tc>
          <w:tcPr>
            <w:tcW w:w="953" w:type="dxa"/>
            <w:noWrap/>
            <w:vAlign w:val="center"/>
          </w:tcPr>
          <w:p w14:paraId="107C57E5">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17.92</w:t>
            </w:r>
          </w:p>
        </w:tc>
        <w:tc>
          <w:tcPr>
            <w:tcW w:w="2215" w:type="dxa"/>
            <w:noWrap/>
            <w:vAlign w:val="center"/>
          </w:tcPr>
          <w:p w14:paraId="54039168">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L4200*W900*H1700</w:t>
            </w:r>
          </w:p>
        </w:tc>
        <w:tc>
          <w:tcPr>
            <w:tcW w:w="765" w:type="dxa"/>
            <w:noWrap/>
            <w:vAlign w:val="center"/>
          </w:tcPr>
          <w:p w14:paraId="1C2837DE">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4</w:t>
            </w:r>
          </w:p>
        </w:tc>
        <w:tc>
          <w:tcPr>
            <w:tcW w:w="1053" w:type="dxa"/>
            <w:noWrap/>
            <w:vAlign w:val="center"/>
          </w:tcPr>
          <w:p w14:paraId="59239F09">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25.704</w:t>
            </w:r>
          </w:p>
        </w:tc>
        <w:tc>
          <w:tcPr>
            <w:tcW w:w="2547" w:type="dxa"/>
            <w:vAlign w:val="center"/>
          </w:tcPr>
          <w:p w14:paraId="054092F3">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eastAsia" w:ascii="宋体" w:hAnsi="宋体" w:eastAsia="宋体" w:cs="宋体"/>
                <w:i w:val="0"/>
                <w:iCs w:val="0"/>
                <w:color w:val="auto"/>
                <w:kern w:val="0"/>
                <w:sz w:val="21"/>
                <w:szCs w:val="21"/>
                <w:u w:val="none"/>
                <w:lang w:val="en-US" w:eastAsia="zh-CN" w:bidi="ar"/>
              </w:rPr>
              <w:t>总容积增大</w:t>
            </w:r>
          </w:p>
        </w:tc>
      </w:tr>
      <w:tr w14:paraId="483FF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0210A5E4">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77F7D9A0">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水洗槽</w:t>
            </w:r>
          </w:p>
        </w:tc>
        <w:tc>
          <w:tcPr>
            <w:tcW w:w="2564" w:type="dxa"/>
            <w:noWrap/>
            <w:vAlign w:val="center"/>
          </w:tcPr>
          <w:p w14:paraId="07174362">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L4000*W800*H1400</w:t>
            </w:r>
          </w:p>
        </w:tc>
        <w:tc>
          <w:tcPr>
            <w:tcW w:w="925" w:type="dxa"/>
            <w:noWrap/>
            <w:vAlign w:val="center"/>
          </w:tcPr>
          <w:p w14:paraId="3D413DE9">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2</w:t>
            </w:r>
          </w:p>
        </w:tc>
        <w:tc>
          <w:tcPr>
            <w:tcW w:w="953" w:type="dxa"/>
            <w:noWrap/>
            <w:vAlign w:val="center"/>
          </w:tcPr>
          <w:p w14:paraId="5282F8EC">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8.96</w:t>
            </w:r>
          </w:p>
        </w:tc>
        <w:tc>
          <w:tcPr>
            <w:tcW w:w="2215" w:type="dxa"/>
            <w:noWrap/>
            <w:vAlign w:val="center"/>
          </w:tcPr>
          <w:p w14:paraId="2E6FF0A3">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L4200*W900*H1700</w:t>
            </w:r>
          </w:p>
        </w:tc>
        <w:tc>
          <w:tcPr>
            <w:tcW w:w="765" w:type="dxa"/>
            <w:noWrap/>
            <w:vAlign w:val="center"/>
          </w:tcPr>
          <w:p w14:paraId="2B72BFDD">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2</w:t>
            </w:r>
          </w:p>
        </w:tc>
        <w:tc>
          <w:tcPr>
            <w:tcW w:w="1053" w:type="dxa"/>
            <w:noWrap/>
            <w:vAlign w:val="center"/>
          </w:tcPr>
          <w:p w14:paraId="0AA40B38">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12.852</w:t>
            </w:r>
          </w:p>
        </w:tc>
        <w:tc>
          <w:tcPr>
            <w:tcW w:w="2547" w:type="dxa"/>
            <w:vAlign w:val="center"/>
          </w:tcPr>
          <w:p w14:paraId="24948DE1">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eastAsia" w:ascii="宋体" w:hAnsi="宋体" w:eastAsia="宋体" w:cs="宋体"/>
                <w:i w:val="0"/>
                <w:iCs w:val="0"/>
                <w:color w:val="auto"/>
                <w:kern w:val="0"/>
                <w:sz w:val="21"/>
                <w:szCs w:val="21"/>
                <w:u w:val="none"/>
                <w:lang w:val="en-US" w:eastAsia="zh-CN" w:bidi="ar"/>
              </w:rPr>
              <w:t>总容积增大</w:t>
            </w:r>
          </w:p>
        </w:tc>
      </w:tr>
      <w:tr w14:paraId="2B3FA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1DE0F5C3">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5521AA1C">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电解除油槽</w:t>
            </w:r>
          </w:p>
        </w:tc>
        <w:tc>
          <w:tcPr>
            <w:tcW w:w="2564" w:type="dxa"/>
            <w:noWrap/>
            <w:vAlign w:val="center"/>
          </w:tcPr>
          <w:p w14:paraId="5361B889">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L4000*W800*H1400</w:t>
            </w:r>
          </w:p>
        </w:tc>
        <w:tc>
          <w:tcPr>
            <w:tcW w:w="925" w:type="dxa"/>
            <w:noWrap/>
            <w:vAlign w:val="center"/>
          </w:tcPr>
          <w:p w14:paraId="623417EB">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2</w:t>
            </w:r>
          </w:p>
        </w:tc>
        <w:tc>
          <w:tcPr>
            <w:tcW w:w="953" w:type="dxa"/>
            <w:noWrap/>
            <w:vAlign w:val="center"/>
          </w:tcPr>
          <w:p w14:paraId="035CC235">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8.96</w:t>
            </w:r>
          </w:p>
        </w:tc>
        <w:tc>
          <w:tcPr>
            <w:tcW w:w="2215" w:type="dxa"/>
            <w:noWrap/>
            <w:vAlign w:val="center"/>
          </w:tcPr>
          <w:p w14:paraId="5D9ADAE6">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L4200*W800*H1700</w:t>
            </w:r>
          </w:p>
        </w:tc>
        <w:tc>
          <w:tcPr>
            <w:tcW w:w="765" w:type="dxa"/>
            <w:noWrap/>
            <w:vAlign w:val="center"/>
          </w:tcPr>
          <w:p w14:paraId="425C2C9F">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2</w:t>
            </w:r>
          </w:p>
        </w:tc>
        <w:tc>
          <w:tcPr>
            <w:tcW w:w="1053" w:type="dxa"/>
            <w:noWrap/>
            <w:vAlign w:val="center"/>
          </w:tcPr>
          <w:p w14:paraId="58C993CC">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11.424</w:t>
            </w:r>
          </w:p>
        </w:tc>
        <w:tc>
          <w:tcPr>
            <w:tcW w:w="2547" w:type="dxa"/>
            <w:vAlign w:val="center"/>
          </w:tcPr>
          <w:p w14:paraId="04528F2C">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eastAsia" w:ascii="宋体" w:hAnsi="宋体" w:eastAsia="宋体" w:cs="宋体"/>
                <w:i w:val="0"/>
                <w:iCs w:val="0"/>
                <w:color w:val="auto"/>
                <w:kern w:val="0"/>
                <w:sz w:val="21"/>
                <w:szCs w:val="21"/>
                <w:u w:val="none"/>
                <w:lang w:val="en-US" w:eastAsia="zh-CN" w:bidi="ar"/>
              </w:rPr>
              <w:t>总容积增大</w:t>
            </w:r>
          </w:p>
        </w:tc>
      </w:tr>
      <w:tr w14:paraId="23B79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007E919C">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43AFFD53">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水洗槽</w:t>
            </w:r>
          </w:p>
        </w:tc>
        <w:tc>
          <w:tcPr>
            <w:tcW w:w="2564" w:type="dxa"/>
            <w:noWrap/>
            <w:vAlign w:val="center"/>
          </w:tcPr>
          <w:p w14:paraId="62C473B7">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L4000*W800*H1400</w:t>
            </w:r>
          </w:p>
        </w:tc>
        <w:tc>
          <w:tcPr>
            <w:tcW w:w="925" w:type="dxa"/>
            <w:noWrap/>
            <w:vAlign w:val="center"/>
          </w:tcPr>
          <w:p w14:paraId="4A2A5B03">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2</w:t>
            </w:r>
          </w:p>
        </w:tc>
        <w:tc>
          <w:tcPr>
            <w:tcW w:w="953" w:type="dxa"/>
            <w:noWrap/>
            <w:vAlign w:val="center"/>
          </w:tcPr>
          <w:p w14:paraId="74966613">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8.96</w:t>
            </w:r>
          </w:p>
        </w:tc>
        <w:tc>
          <w:tcPr>
            <w:tcW w:w="2215" w:type="dxa"/>
            <w:noWrap/>
            <w:vAlign w:val="center"/>
          </w:tcPr>
          <w:p w14:paraId="6532E957">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L4200*W800*H1700</w:t>
            </w:r>
          </w:p>
        </w:tc>
        <w:tc>
          <w:tcPr>
            <w:tcW w:w="765" w:type="dxa"/>
            <w:noWrap/>
            <w:vAlign w:val="center"/>
          </w:tcPr>
          <w:p w14:paraId="42CEB48F">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1</w:t>
            </w:r>
          </w:p>
        </w:tc>
        <w:tc>
          <w:tcPr>
            <w:tcW w:w="1053" w:type="dxa"/>
            <w:noWrap/>
            <w:vAlign w:val="center"/>
          </w:tcPr>
          <w:p w14:paraId="3493D34C">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5.712</w:t>
            </w:r>
          </w:p>
        </w:tc>
        <w:tc>
          <w:tcPr>
            <w:tcW w:w="2547" w:type="dxa"/>
            <w:vAlign w:val="center"/>
          </w:tcPr>
          <w:p w14:paraId="23AED6EF">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eastAsia" w:ascii="宋体" w:hAnsi="宋体" w:eastAsia="宋体" w:cs="宋体"/>
                <w:i w:val="0"/>
                <w:iCs w:val="0"/>
                <w:color w:val="auto"/>
                <w:kern w:val="0"/>
                <w:sz w:val="21"/>
                <w:szCs w:val="21"/>
                <w:u w:val="none"/>
                <w:lang w:val="en-US" w:eastAsia="zh-CN" w:bidi="ar"/>
              </w:rPr>
              <w:t>总容积减小</w:t>
            </w:r>
          </w:p>
        </w:tc>
      </w:tr>
      <w:tr w14:paraId="42DDE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229B2424">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05B9D0D5">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酸洗槽</w:t>
            </w:r>
          </w:p>
        </w:tc>
        <w:tc>
          <w:tcPr>
            <w:tcW w:w="2564" w:type="dxa"/>
            <w:noWrap/>
            <w:vAlign w:val="center"/>
          </w:tcPr>
          <w:p w14:paraId="626A797B">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L4000*W800*H1400</w:t>
            </w:r>
          </w:p>
        </w:tc>
        <w:tc>
          <w:tcPr>
            <w:tcW w:w="925" w:type="dxa"/>
            <w:noWrap/>
            <w:vAlign w:val="center"/>
          </w:tcPr>
          <w:p w14:paraId="46733FF6">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1</w:t>
            </w:r>
          </w:p>
        </w:tc>
        <w:tc>
          <w:tcPr>
            <w:tcW w:w="953" w:type="dxa"/>
            <w:noWrap/>
            <w:vAlign w:val="center"/>
          </w:tcPr>
          <w:p w14:paraId="536D6E4A">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4.48</w:t>
            </w:r>
          </w:p>
        </w:tc>
        <w:tc>
          <w:tcPr>
            <w:tcW w:w="2215" w:type="dxa"/>
            <w:noWrap/>
            <w:vAlign w:val="center"/>
          </w:tcPr>
          <w:p w14:paraId="19F69A43">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L4200*W800*H1700</w:t>
            </w:r>
          </w:p>
        </w:tc>
        <w:tc>
          <w:tcPr>
            <w:tcW w:w="765" w:type="dxa"/>
            <w:noWrap/>
            <w:vAlign w:val="center"/>
          </w:tcPr>
          <w:p w14:paraId="4C85650C">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3</w:t>
            </w:r>
          </w:p>
        </w:tc>
        <w:tc>
          <w:tcPr>
            <w:tcW w:w="1053" w:type="dxa"/>
            <w:noWrap/>
            <w:vAlign w:val="center"/>
          </w:tcPr>
          <w:p w14:paraId="2285EBA9">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17.136</w:t>
            </w:r>
          </w:p>
        </w:tc>
        <w:tc>
          <w:tcPr>
            <w:tcW w:w="2547" w:type="dxa"/>
            <w:vAlign w:val="center"/>
          </w:tcPr>
          <w:p w14:paraId="50DC87DD">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eastAsia" w:ascii="宋体" w:hAnsi="宋体" w:eastAsia="宋体" w:cs="宋体"/>
                <w:i w:val="0"/>
                <w:iCs w:val="0"/>
                <w:color w:val="auto"/>
                <w:kern w:val="0"/>
                <w:sz w:val="21"/>
                <w:szCs w:val="21"/>
                <w:u w:val="none"/>
                <w:lang w:val="en-US" w:eastAsia="zh-CN" w:bidi="ar"/>
              </w:rPr>
              <w:t>总容积增大</w:t>
            </w:r>
          </w:p>
        </w:tc>
      </w:tr>
      <w:tr w14:paraId="0F691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410B230E">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0553D51C">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水洗槽</w:t>
            </w:r>
          </w:p>
        </w:tc>
        <w:tc>
          <w:tcPr>
            <w:tcW w:w="2564" w:type="dxa"/>
            <w:noWrap/>
            <w:vAlign w:val="center"/>
          </w:tcPr>
          <w:p w14:paraId="02B31D18">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L4000*W800*H1400</w:t>
            </w:r>
          </w:p>
        </w:tc>
        <w:tc>
          <w:tcPr>
            <w:tcW w:w="925" w:type="dxa"/>
            <w:noWrap/>
            <w:vAlign w:val="center"/>
          </w:tcPr>
          <w:p w14:paraId="214F6A06">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2</w:t>
            </w:r>
          </w:p>
        </w:tc>
        <w:tc>
          <w:tcPr>
            <w:tcW w:w="953" w:type="dxa"/>
            <w:noWrap/>
            <w:vAlign w:val="center"/>
          </w:tcPr>
          <w:p w14:paraId="7DCC5168">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8.96</w:t>
            </w:r>
          </w:p>
        </w:tc>
        <w:tc>
          <w:tcPr>
            <w:tcW w:w="2215" w:type="dxa"/>
            <w:noWrap/>
            <w:vAlign w:val="center"/>
          </w:tcPr>
          <w:p w14:paraId="2628C7EB">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L4200*W800*H1700</w:t>
            </w:r>
          </w:p>
        </w:tc>
        <w:tc>
          <w:tcPr>
            <w:tcW w:w="765" w:type="dxa"/>
            <w:noWrap/>
            <w:vAlign w:val="center"/>
          </w:tcPr>
          <w:p w14:paraId="3FE635EF">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2</w:t>
            </w:r>
          </w:p>
        </w:tc>
        <w:tc>
          <w:tcPr>
            <w:tcW w:w="1053" w:type="dxa"/>
            <w:noWrap/>
            <w:vAlign w:val="center"/>
          </w:tcPr>
          <w:p w14:paraId="5C42C9C4">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11.424</w:t>
            </w:r>
          </w:p>
        </w:tc>
        <w:tc>
          <w:tcPr>
            <w:tcW w:w="2547" w:type="dxa"/>
            <w:vAlign w:val="center"/>
          </w:tcPr>
          <w:p w14:paraId="4231766D">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eastAsia" w:ascii="宋体" w:hAnsi="宋体" w:eastAsia="宋体" w:cs="宋体"/>
                <w:i w:val="0"/>
                <w:iCs w:val="0"/>
                <w:color w:val="auto"/>
                <w:kern w:val="0"/>
                <w:sz w:val="21"/>
                <w:szCs w:val="21"/>
                <w:u w:val="none"/>
                <w:lang w:val="en-US" w:eastAsia="zh-CN" w:bidi="ar"/>
              </w:rPr>
              <w:t>总容积增大</w:t>
            </w:r>
          </w:p>
        </w:tc>
      </w:tr>
      <w:tr w14:paraId="447C7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24D01514">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354DCD8F">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电解除油槽</w:t>
            </w:r>
          </w:p>
        </w:tc>
        <w:tc>
          <w:tcPr>
            <w:tcW w:w="2564" w:type="dxa"/>
            <w:noWrap/>
            <w:vAlign w:val="center"/>
          </w:tcPr>
          <w:p w14:paraId="4EB0C3ED">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L4000*W800*H1400</w:t>
            </w:r>
          </w:p>
        </w:tc>
        <w:tc>
          <w:tcPr>
            <w:tcW w:w="925" w:type="dxa"/>
            <w:noWrap/>
            <w:vAlign w:val="center"/>
          </w:tcPr>
          <w:p w14:paraId="6CA7D70D">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2</w:t>
            </w:r>
          </w:p>
        </w:tc>
        <w:tc>
          <w:tcPr>
            <w:tcW w:w="953" w:type="dxa"/>
            <w:noWrap/>
            <w:vAlign w:val="center"/>
          </w:tcPr>
          <w:p w14:paraId="7E28B4C3">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8.96</w:t>
            </w:r>
          </w:p>
        </w:tc>
        <w:tc>
          <w:tcPr>
            <w:tcW w:w="2215" w:type="dxa"/>
            <w:noWrap/>
            <w:vAlign w:val="center"/>
          </w:tcPr>
          <w:p w14:paraId="04F50C33">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noWrap/>
            <w:vAlign w:val="center"/>
          </w:tcPr>
          <w:p w14:paraId="16C8D7AB">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1053" w:type="dxa"/>
            <w:noWrap/>
            <w:vAlign w:val="center"/>
          </w:tcPr>
          <w:p w14:paraId="7EB9EFA8">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w:t>
            </w:r>
          </w:p>
        </w:tc>
        <w:tc>
          <w:tcPr>
            <w:tcW w:w="2547" w:type="dxa"/>
            <w:noWrap/>
            <w:vAlign w:val="center"/>
          </w:tcPr>
          <w:p w14:paraId="049772B0">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eastAsia" w:ascii="宋体" w:hAnsi="宋体" w:eastAsia="宋体" w:cs="宋体"/>
                <w:i w:val="0"/>
                <w:iCs w:val="0"/>
                <w:color w:val="auto"/>
                <w:kern w:val="0"/>
                <w:sz w:val="21"/>
                <w:szCs w:val="21"/>
                <w:u w:val="none"/>
                <w:lang w:val="en-US" w:eastAsia="zh-CN" w:bidi="ar"/>
              </w:rPr>
              <w:t>不再建设</w:t>
            </w:r>
          </w:p>
        </w:tc>
      </w:tr>
      <w:tr w14:paraId="2A3D8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354DFD08">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6365B1EF">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超声波水洗槽</w:t>
            </w:r>
          </w:p>
        </w:tc>
        <w:tc>
          <w:tcPr>
            <w:tcW w:w="2564" w:type="dxa"/>
            <w:noWrap/>
            <w:vAlign w:val="center"/>
          </w:tcPr>
          <w:p w14:paraId="704E9D30">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L4000*W800*H1400</w:t>
            </w:r>
          </w:p>
        </w:tc>
        <w:tc>
          <w:tcPr>
            <w:tcW w:w="925" w:type="dxa"/>
            <w:noWrap/>
            <w:vAlign w:val="center"/>
          </w:tcPr>
          <w:p w14:paraId="0114D6E3">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2</w:t>
            </w:r>
          </w:p>
        </w:tc>
        <w:tc>
          <w:tcPr>
            <w:tcW w:w="953" w:type="dxa"/>
            <w:noWrap/>
            <w:vAlign w:val="center"/>
          </w:tcPr>
          <w:p w14:paraId="3D040785">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8.96</w:t>
            </w:r>
          </w:p>
        </w:tc>
        <w:tc>
          <w:tcPr>
            <w:tcW w:w="2215" w:type="dxa"/>
            <w:noWrap/>
            <w:vAlign w:val="center"/>
          </w:tcPr>
          <w:p w14:paraId="7836725E">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L4200*W1000*H1700</w:t>
            </w:r>
          </w:p>
        </w:tc>
        <w:tc>
          <w:tcPr>
            <w:tcW w:w="765" w:type="dxa"/>
            <w:noWrap/>
            <w:vAlign w:val="center"/>
          </w:tcPr>
          <w:p w14:paraId="1B467CDC">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1</w:t>
            </w:r>
          </w:p>
        </w:tc>
        <w:tc>
          <w:tcPr>
            <w:tcW w:w="1053" w:type="dxa"/>
            <w:noWrap/>
            <w:vAlign w:val="center"/>
          </w:tcPr>
          <w:p w14:paraId="41AC38C9">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7.14</w:t>
            </w:r>
          </w:p>
        </w:tc>
        <w:tc>
          <w:tcPr>
            <w:tcW w:w="2547" w:type="dxa"/>
            <w:vAlign w:val="center"/>
          </w:tcPr>
          <w:p w14:paraId="36572AB8">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eastAsia" w:ascii="宋体" w:hAnsi="宋体" w:eastAsia="宋体" w:cs="宋体"/>
                <w:i w:val="0"/>
                <w:iCs w:val="0"/>
                <w:color w:val="auto"/>
                <w:kern w:val="0"/>
                <w:sz w:val="21"/>
                <w:szCs w:val="21"/>
                <w:u w:val="none"/>
                <w:lang w:val="en-US" w:eastAsia="zh-CN" w:bidi="ar"/>
              </w:rPr>
              <w:t>总容积减小</w:t>
            </w:r>
          </w:p>
        </w:tc>
      </w:tr>
      <w:tr w14:paraId="762FC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78B80798">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2F24870F">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水洗槽</w:t>
            </w:r>
          </w:p>
        </w:tc>
        <w:tc>
          <w:tcPr>
            <w:tcW w:w="2564" w:type="dxa"/>
            <w:noWrap/>
            <w:vAlign w:val="center"/>
          </w:tcPr>
          <w:p w14:paraId="0771E5AE">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L4000*W800*H1400</w:t>
            </w:r>
          </w:p>
        </w:tc>
        <w:tc>
          <w:tcPr>
            <w:tcW w:w="925" w:type="dxa"/>
            <w:noWrap/>
            <w:vAlign w:val="center"/>
          </w:tcPr>
          <w:p w14:paraId="54101AE0">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1</w:t>
            </w:r>
          </w:p>
        </w:tc>
        <w:tc>
          <w:tcPr>
            <w:tcW w:w="953" w:type="dxa"/>
            <w:noWrap/>
            <w:vAlign w:val="center"/>
          </w:tcPr>
          <w:p w14:paraId="5241681D">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4.48</w:t>
            </w:r>
          </w:p>
        </w:tc>
        <w:tc>
          <w:tcPr>
            <w:tcW w:w="2215" w:type="dxa"/>
            <w:noWrap/>
            <w:vAlign w:val="center"/>
          </w:tcPr>
          <w:p w14:paraId="7325C8EC">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L4200*W800*H1700</w:t>
            </w:r>
          </w:p>
        </w:tc>
        <w:tc>
          <w:tcPr>
            <w:tcW w:w="765" w:type="dxa"/>
            <w:noWrap/>
            <w:vAlign w:val="center"/>
          </w:tcPr>
          <w:p w14:paraId="470789B7">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1</w:t>
            </w:r>
          </w:p>
        </w:tc>
        <w:tc>
          <w:tcPr>
            <w:tcW w:w="1053" w:type="dxa"/>
            <w:noWrap/>
            <w:vAlign w:val="center"/>
          </w:tcPr>
          <w:p w14:paraId="0F5640D9">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5.712</w:t>
            </w:r>
          </w:p>
        </w:tc>
        <w:tc>
          <w:tcPr>
            <w:tcW w:w="2547" w:type="dxa"/>
            <w:vAlign w:val="center"/>
          </w:tcPr>
          <w:p w14:paraId="662BA9F8">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eastAsia" w:ascii="宋体" w:hAnsi="宋体" w:eastAsia="宋体" w:cs="宋体"/>
                <w:i w:val="0"/>
                <w:iCs w:val="0"/>
                <w:color w:val="auto"/>
                <w:kern w:val="0"/>
                <w:sz w:val="21"/>
                <w:szCs w:val="21"/>
                <w:u w:val="none"/>
                <w:lang w:val="en-US" w:eastAsia="zh-CN" w:bidi="ar"/>
              </w:rPr>
              <w:t>总容积增大</w:t>
            </w:r>
          </w:p>
        </w:tc>
      </w:tr>
      <w:tr w14:paraId="79FDF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1B84E661">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484552B2">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活化槽</w:t>
            </w:r>
          </w:p>
        </w:tc>
        <w:tc>
          <w:tcPr>
            <w:tcW w:w="2564" w:type="dxa"/>
            <w:noWrap/>
            <w:vAlign w:val="center"/>
          </w:tcPr>
          <w:p w14:paraId="7357F5D9">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L4000*W800*H1400</w:t>
            </w:r>
          </w:p>
        </w:tc>
        <w:tc>
          <w:tcPr>
            <w:tcW w:w="925" w:type="dxa"/>
            <w:noWrap/>
            <w:vAlign w:val="center"/>
          </w:tcPr>
          <w:p w14:paraId="20ADC276">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1</w:t>
            </w:r>
          </w:p>
        </w:tc>
        <w:tc>
          <w:tcPr>
            <w:tcW w:w="953" w:type="dxa"/>
            <w:noWrap/>
            <w:vAlign w:val="center"/>
          </w:tcPr>
          <w:p w14:paraId="120A9007">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4.48</w:t>
            </w:r>
          </w:p>
        </w:tc>
        <w:tc>
          <w:tcPr>
            <w:tcW w:w="2215" w:type="dxa"/>
            <w:noWrap/>
            <w:vAlign w:val="center"/>
          </w:tcPr>
          <w:p w14:paraId="3441C6C5">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L4200*W800*H1700</w:t>
            </w:r>
          </w:p>
        </w:tc>
        <w:tc>
          <w:tcPr>
            <w:tcW w:w="765" w:type="dxa"/>
            <w:noWrap/>
            <w:vAlign w:val="center"/>
          </w:tcPr>
          <w:p w14:paraId="5F1120E0">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1</w:t>
            </w:r>
          </w:p>
        </w:tc>
        <w:tc>
          <w:tcPr>
            <w:tcW w:w="1053" w:type="dxa"/>
            <w:noWrap/>
            <w:vAlign w:val="center"/>
          </w:tcPr>
          <w:p w14:paraId="012317CA">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5.712</w:t>
            </w:r>
          </w:p>
        </w:tc>
        <w:tc>
          <w:tcPr>
            <w:tcW w:w="2547" w:type="dxa"/>
            <w:vAlign w:val="center"/>
          </w:tcPr>
          <w:p w14:paraId="40EBCDD2">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eastAsia" w:ascii="宋体" w:hAnsi="宋体" w:eastAsia="宋体" w:cs="宋体"/>
                <w:i w:val="0"/>
                <w:iCs w:val="0"/>
                <w:color w:val="auto"/>
                <w:kern w:val="0"/>
                <w:sz w:val="21"/>
                <w:szCs w:val="21"/>
                <w:u w:val="none"/>
                <w:lang w:val="en-US" w:eastAsia="zh-CN" w:bidi="ar"/>
              </w:rPr>
              <w:t>总容积增大</w:t>
            </w:r>
          </w:p>
        </w:tc>
      </w:tr>
      <w:tr w14:paraId="403D2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56ED9F65">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75F91AE4">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水洗槽</w:t>
            </w:r>
          </w:p>
        </w:tc>
        <w:tc>
          <w:tcPr>
            <w:tcW w:w="2564" w:type="dxa"/>
            <w:noWrap/>
            <w:vAlign w:val="center"/>
          </w:tcPr>
          <w:p w14:paraId="1D7FCD0C">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L4000*W800*H1400</w:t>
            </w:r>
          </w:p>
        </w:tc>
        <w:tc>
          <w:tcPr>
            <w:tcW w:w="925" w:type="dxa"/>
            <w:noWrap/>
            <w:vAlign w:val="center"/>
          </w:tcPr>
          <w:p w14:paraId="0351E3DB">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1</w:t>
            </w:r>
          </w:p>
        </w:tc>
        <w:tc>
          <w:tcPr>
            <w:tcW w:w="953" w:type="dxa"/>
            <w:noWrap/>
            <w:vAlign w:val="center"/>
          </w:tcPr>
          <w:p w14:paraId="39C078CD">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4.48</w:t>
            </w:r>
          </w:p>
        </w:tc>
        <w:tc>
          <w:tcPr>
            <w:tcW w:w="2215" w:type="dxa"/>
            <w:noWrap/>
            <w:vAlign w:val="center"/>
          </w:tcPr>
          <w:p w14:paraId="5D9A0ECB">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noWrap/>
            <w:vAlign w:val="center"/>
          </w:tcPr>
          <w:p w14:paraId="41B4D591">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0</w:t>
            </w:r>
          </w:p>
        </w:tc>
        <w:tc>
          <w:tcPr>
            <w:tcW w:w="1053" w:type="dxa"/>
            <w:noWrap/>
            <w:vAlign w:val="center"/>
          </w:tcPr>
          <w:p w14:paraId="40450C84">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w:t>
            </w:r>
          </w:p>
        </w:tc>
        <w:tc>
          <w:tcPr>
            <w:tcW w:w="2547" w:type="dxa"/>
            <w:noWrap/>
            <w:vAlign w:val="center"/>
          </w:tcPr>
          <w:p w14:paraId="1B5EB0F9">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eastAsia" w:ascii="宋体" w:hAnsi="宋体" w:eastAsia="宋体" w:cs="宋体"/>
                <w:i w:val="0"/>
                <w:iCs w:val="0"/>
                <w:color w:val="auto"/>
                <w:kern w:val="0"/>
                <w:sz w:val="21"/>
                <w:szCs w:val="21"/>
                <w:u w:val="none"/>
                <w:lang w:val="en-US" w:eastAsia="zh-CN" w:bidi="ar"/>
              </w:rPr>
              <w:t>不再建设</w:t>
            </w:r>
          </w:p>
        </w:tc>
      </w:tr>
      <w:tr w14:paraId="217B0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52B439A6">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vAlign w:val="center"/>
          </w:tcPr>
          <w:p w14:paraId="2F6B6BAF">
            <w:pPr>
              <w:widowControl/>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rPr>
            </w:pPr>
            <w:r>
              <w:rPr>
                <w:rFonts w:hint="default" w:ascii="Times New Roman" w:hAnsi="Times New Roman" w:eastAsia="宋体" w:cs="Times New Roman"/>
                <w:b w:val="0"/>
                <w:bCs w:val="0"/>
                <w:color w:val="auto"/>
                <w:kern w:val="0"/>
                <w:sz w:val="21"/>
                <w:szCs w:val="21"/>
                <w:lang w:bidi="ar"/>
              </w:rPr>
              <w:t>镀锌槽(配备过滤系统)</w:t>
            </w:r>
          </w:p>
        </w:tc>
        <w:tc>
          <w:tcPr>
            <w:tcW w:w="2564" w:type="dxa"/>
            <w:noWrap/>
            <w:vAlign w:val="center"/>
          </w:tcPr>
          <w:p w14:paraId="0DB05990">
            <w:pPr>
              <w:widowControl/>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rPr>
            </w:pPr>
            <w:r>
              <w:rPr>
                <w:rFonts w:hint="default" w:ascii="Times New Roman" w:hAnsi="Times New Roman" w:eastAsia="宋体" w:cs="Times New Roman"/>
                <w:b w:val="0"/>
                <w:bCs w:val="0"/>
                <w:color w:val="auto"/>
                <w:kern w:val="0"/>
                <w:sz w:val="21"/>
                <w:szCs w:val="21"/>
                <w:lang w:bidi="ar"/>
              </w:rPr>
              <w:t>L4000*W1000*H1400</w:t>
            </w:r>
          </w:p>
        </w:tc>
        <w:tc>
          <w:tcPr>
            <w:tcW w:w="925" w:type="dxa"/>
            <w:noWrap/>
            <w:vAlign w:val="center"/>
          </w:tcPr>
          <w:p w14:paraId="6C2A8BF5">
            <w:pPr>
              <w:widowControl/>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rPr>
            </w:pPr>
            <w:r>
              <w:rPr>
                <w:rFonts w:hint="default" w:ascii="Times New Roman" w:hAnsi="Times New Roman" w:eastAsia="宋体" w:cs="Times New Roman"/>
                <w:b w:val="0"/>
                <w:bCs w:val="0"/>
                <w:color w:val="auto"/>
                <w:kern w:val="0"/>
                <w:sz w:val="21"/>
                <w:szCs w:val="21"/>
                <w:lang w:bidi="ar"/>
              </w:rPr>
              <w:t>16</w:t>
            </w:r>
          </w:p>
        </w:tc>
        <w:tc>
          <w:tcPr>
            <w:tcW w:w="953" w:type="dxa"/>
            <w:noWrap/>
            <w:vAlign w:val="center"/>
          </w:tcPr>
          <w:p w14:paraId="00347DF8">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rPr>
            </w:pPr>
            <w:r>
              <w:rPr>
                <w:rFonts w:hint="default" w:ascii="Times New Roman" w:hAnsi="Times New Roman" w:eastAsia="宋体" w:cs="Times New Roman"/>
                <w:b w:val="0"/>
                <w:bCs w:val="0"/>
                <w:i w:val="0"/>
                <w:iCs w:val="0"/>
                <w:color w:val="auto"/>
                <w:kern w:val="0"/>
                <w:sz w:val="21"/>
                <w:szCs w:val="21"/>
                <w:u w:val="none"/>
                <w:lang w:val="en-US" w:eastAsia="zh-CN" w:bidi="ar"/>
              </w:rPr>
              <w:t>89.6</w:t>
            </w:r>
          </w:p>
        </w:tc>
        <w:tc>
          <w:tcPr>
            <w:tcW w:w="2215" w:type="dxa"/>
            <w:noWrap/>
            <w:vAlign w:val="center"/>
          </w:tcPr>
          <w:p w14:paraId="49658440">
            <w:pPr>
              <w:widowControl/>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rPr>
            </w:pPr>
            <w:r>
              <w:rPr>
                <w:rFonts w:hint="default" w:ascii="Times New Roman" w:hAnsi="Times New Roman" w:eastAsia="宋体" w:cs="Times New Roman"/>
                <w:b w:val="0"/>
                <w:bCs w:val="0"/>
                <w:color w:val="auto"/>
                <w:kern w:val="0"/>
                <w:sz w:val="21"/>
                <w:szCs w:val="21"/>
                <w:lang w:bidi="ar"/>
              </w:rPr>
              <w:t>L4200*W1000*H1700</w:t>
            </w:r>
          </w:p>
        </w:tc>
        <w:tc>
          <w:tcPr>
            <w:tcW w:w="765" w:type="dxa"/>
            <w:noWrap/>
            <w:vAlign w:val="center"/>
          </w:tcPr>
          <w:p w14:paraId="4A7F40D3">
            <w:pPr>
              <w:widowControl/>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rPr>
            </w:pPr>
            <w:r>
              <w:rPr>
                <w:rFonts w:hint="default" w:ascii="Times New Roman" w:hAnsi="Times New Roman" w:eastAsia="宋体" w:cs="Times New Roman"/>
                <w:b w:val="0"/>
                <w:bCs w:val="0"/>
                <w:color w:val="auto"/>
                <w:kern w:val="0"/>
                <w:sz w:val="21"/>
                <w:szCs w:val="21"/>
                <w:lang w:bidi="ar"/>
              </w:rPr>
              <w:t>5</w:t>
            </w:r>
          </w:p>
        </w:tc>
        <w:tc>
          <w:tcPr>
            <w:tcW w:w="1053" w:type="dxa"/>
            <w:noWrap/>
            <w:vAlign w:val="center"/>
          </w:tcPr>
          <w:p w14:paraId="73D3E5FC">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rPr>
            </w:pPr>
            <w:r>
              <w:rPr>
                <w:rFonts w:hint="default" w:ascii="Times New Roman" w:hAnsi="Times New Roman" w:eastAsia="宋体" w:cs="Times New Roman"/>
                <w:b w:val="0"/>
                <w:bCs w:val="0"/>
                <w:i w:val="0"/>
                <w:iCs w:val="0"/>
                <w:color w:val="auto"/>
                <w:kern w:val="0"/>
                <w:sz w:val="21"/>
                <w:szCs w:val="21"/>
                <w:u w:val="none"/>
                <w:lang w:val="en-US" w:eastAsia="zh-CN" w:bidi="ar"/>
              </w:rPr>
              <w:t>35.7</w:t>
            </w:r>
          </w:p>
        </w:tc>
        <w:tc>
          <w:tcPr>
            <w:tcW w:w="2547" w:type="dxa"/>
            <w:vAlign w:val="center"/>
          </w:tcPr>
          <w:p w14:paraId="4DD1855B">
            <w:pPr>
              <w:widowControl/>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0"/>
                <w:sz w:val="21"/>
                <w:szCs w:val="21"/>
                <w:lang w:val="en-US" w:eastAsia="zh-CN" w:bidi="ar"/>
              </w:rPr>
            </w:pPr>
            <w:r>
              <w:rPr>
                <w:rFonts w:hint="default" w:ascii="Times New Roman" w:hAnsi="Times New Roman" w:eastAsia="宋体" w:cs="Times New Roman"/>
                <w:b w:val="0"/>
                <w:bCs w:val="0"/>
                <w:color w:val="auto"/>
                <w:kern w:val="0"/>
                <w:sz w:val="21"/>
                <w:szCs w:val="21"/>
                <w:lang w:bidi="ar"/>
              </w:rPr>
              <w:t>原环评总容积89.6m</w:t>
            </w:r>
            <w:r>
              <w:rPr>
                <w:rFonts w:hint="default" w:ascii="Times New Roman" w:hAnsi="Times New Roman" w:eastAsia="宋体" w:cs="Times New Roman"/>
                <w:b w:val="0"/>
                <w:bCs w:val="0"/>
                <w:color w:val="auto"/>
                <w:kern w:val="0"/>
                <w:sz w:val="21"/>
                <w:szCs w:val="21"/>
                <w:vertAlign w:val="superscript"/>
                <w:lang w:bidi="ar"/>
              </w:rPr>
              <w:t>3</w:t>
            </w:r>
            <w:r>
              <w:rPr>
                <w:rFonts w:hint="default" w:ascii="Times New Roman" w:hAnsi="Times New Roman" w:eastAsia="宋体" w:cs="Times New Roman"/>
                <w:b w:val="0"/>
                <w:bCs w:val="0"/>
                <w:color w:val="auto"/>
                <w:kern w:val="0"/>
                <w:sz w:val="21"/>
                <w:szCs w:val="21"/>
                <w:lang w:bidi="ar"/>
              </w:rPr>
              <w:t>、实际总容积</w:t>
            </w:r>
            <w:r>
              <w:rPr>
                <w:rFonts w:hint="default" w:ascii="Times New Roman" w:hAnsi="Times New Roman" w:eastAsia="宋体" w:cs="Times New Roman"/>
                <w:b w:val="0"/>
                <w:bCs w:val="0"/>
                <w:color w:val="auto"/>
                <w:kern w:val="0"/>
                <w:sz w:val="21"/>
                <w:szCs w:val="21"/>
                <w:lang w:val="en-US" w:eastAsia="zh-CN" w:bidi="ar"/>
              </w:rPr>
              <w:t>35.7m</w:t>
            </w:r>
            <w:r>
              <w:rPr>
                <w:rFonts w:hint="default" w:ascii="Times New Roman" w:hAnsi="Times New Roman" w:eastAsia="宋体" w:cs="Times New Roman"/>
                <w:b w:val="0"/>
                <w:bCs w:val="0"/>
                <w:color w:val="auto"/>
                <w:kern w:val="0"/>
                <w:sz w:val="21"/>
                <w:szCs w:val="21"/>
                <w:vertAlign w:val="superscript"/>
                <w:lang w:val="en-US" w:eastAsia="zh-CN" w:bidi="ar"/>
              </w:rPr>
              <w:t>3</w:t>
            </w:r>
            <w:r>
              <w:rPr>
                <w:rFonts w:hint="default" w:ascii="Times New Roman" w:hAnsi="Times New Roman" w:eastAsia="宋体" w:cs="Times New Roman"/>
                <w:b w:val="0"/>
                <w:bCs w:val="0"/>
                <w:color w:val="auto"/>
                <w:kern w:val="0"/>
                <w:sz w:val="21"/>
                <w:szCs w:val="21"/>
                <w:lang w:bidi="ar"/>
              </w:rPr>
              <w:t>，变小</w:t>
            </w:r>
          </w:p>
        </w:tc>
      </w:tr>
      <w:tr w14:paraId="76D0C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206585EE">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60936864">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回收槽</w:t>
            </w:r>
          </w:p>
        </w:tc>
        <w:tc>
          <w:tcPr>
            <w:tcW w:w="2564" w:type="dxa"/>
            <w:noWrap/>
            <w:vAlign w:val="center"/>
          </w:tcPr>
          <w:p w14:paraId="444B9F7F">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L4000*W800*H1400</w:t>
            </w:r>
          </w:p>
        </w:tc>
        <w:tc>
          <w:tcPr>
            <w:tcW w:w="925" w:type="dxa"/>
            <w:noWrap/>
            <w:vAlign w:val="center"/>
          </w:tcPr>
          <w:p w14:paraId="26576290">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2</w:t>
            </w:r>
          </w:p>
        </w:tc>
        <w:tc>
          <w:tcPr>
            <w:tcW w:w="953" w:type="dxa"/>
            <w:noWrap/>
            <w:vAlign w:val="center"/>
          </w:tcPr>
          <w:p w14:paraId="58B6C4DC">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8.96</w:t>
            </w:r>
          </w:p>
        </w:tc>
        <w:tc>
          <w:tcPr>
            <w:tcW w:w="2215" w:type="dxa"/>
            <w:noWrap/>
            <w:vAlign w:val="center"/>
          </w:tcPr>
          <w:p w14:paraId="74C3895B">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L4200*W1000*H1700</w:t>
            </w:r>
          </w:p>
        </w:tc>
        <w:tc>
          <w:tcPr>
            <w:tcW w:w="765" w:type="dxa"/>
            <w:noWrap/>
            <w:vAlign w:val="center"/>
          </w:tcPr>
          <w:p w14:paraId="7F4D4F44">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1</w:t>
            </w:r>
          </w:p>
        </w:tc>
        <w:tc>
          <w:tcPr>
            <w:tcW w:w="1053" w:type="dxa"/>
            <w:noWrap/>
            <w:vAlign w:val="center"/>
          </w:tcPr>
          <w:p w14:paraId="5EF485D8">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7.14</w:t>
            </w:r>
          </w:p>
        </w:tc>
        <w:tc>
          <w:tcPr>
            <w:tcW w:w="2547" w:type="dxa"/>
            <w:vAlign w:val="center"/>
          </w:tcPr>
          <w:p w14:paraId="0A351E8C">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eastAsia" w:ascii="宋体" w:hAnsi="宋体" w:eastAsia="宋体" w:cs="宋体"/>
                <w:i w:val="0"/>
                <w:iCs w:val="0"/>
                <w:color w:val="auto"/>
                <w:kern w:val="0"/>
                <w:sz w:val="21"/>
                <w:szCs w:val="21"/>
                <w:u w:val="none"/>
                <w:lang w:val="en-US" w:eastAsia="zh-CN" w:bidi="ar"/>
              </w:rPr>
              <w:t>总容积减小</w:t>
            </w:r>
          </w:p>
        </w:tc>
      </w:tr>
      <w:tr w14:paraId="749AF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51745660">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79BE76EF">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水洗槽</w:t>
            </w:r>
          </w:p>
        </w:tc>
        <w:tc>
          <w:tcPr>
            <w:tcW w:w="2564" w:type="dxa"/>
            <w:noWrap/>
            <w:vAlign w:val="center"/>
          </w:tcPr>
          <w:p w14:paraId="2BC0043D">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L4000*W800*H1400</w:t>
            </w:r>
          </w:p>
        </w:tc>
        <w:tc>
          <w:tcPr>
            <w:tcW w:w="925" w:type="dxa"/>
            <w:noWrap/>
            <w:vAlign w:val="center"/>
          </w:tcPr>
          <w:p w14:paraId="0C34ABD9">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2</w:t>
            </w:r>
          </w:p>
        </w:tc>
        <w:tc>
          <w:tcPr>
            <w:tcW w:w="953" w:type="dxa"/>
            <w:noWrap/>
            <w:vAlign w:val="center"/>
          </w:tcPr>
          <w:p w14:paraId="0B8A0A77">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8.96</w:t>
            </w:r>
          </w:p>
        </w:tc>
        <w:tc>
          <w:tcPr>
            <w:tcW w:w="2215" w:type="dxa"/>
            <w:noWrap/>
            <w:vAlign w:val="center"/>
          </w:tcPr>
          <w:p w14:paraId="7FFF081E">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L4200*W800*H1700</w:t>
            </w:r>
          </w:p>
        </w:tc>
        <w:tc>
          <w:tcPr>
            <w:tcW w:w="765" w:type="dxa"/>
            <w:noWrap/>
            <w:vAlign w:val="center"/>
          </w:tcPr>
          <w:p w14:paraId="39BBC0C6">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2</w:t>
            </w:r>
          </w:p>
        </w:tc>
        <w:tc>
          <w:tcPr>
            <w:tcW w:w="1053" w:type="dxa"/>
            <w:noWrap/>
            <w:vAlign w:val="center"/>
          </w:tcPr>
          <w:p w14:paraId="47806FD5">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6.426</w:t>
            </w:r>
          </w:p>
        </w:tc>
        <w:tc>
          <w:tcPr>
            <w:tcW w:w="2547" w:type="dxa"/>
            <w:vAlign w:val="center"/>
          </w:tcPr>
          <w:p w14:paraId="30970A73">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eastAsia" w:ascii="宋体" w:hAnsi="宋体" w:eastAsia="宋体" w:cs="宋体"/>
                <w:i w:val="0"/>
                <w:iCs w:val="0"/>
                <w:color w:val="auto"/>
                <w:kern w:val="0"/>
                <w:sz w:val="21"/>
                <w:szCs w:val="21"/>
                <w:u w:val="none"/>
                <w:lang w:val="en-US" w:eastAsia="zh-CN" w:bidi="ar"/>
              </w:rPr>
              <w:t>总容积减小</w:t>
            </w:r>
          </w:p>
        </w:tc>
      </w:tr>
      <w:tr w14:paraId="3862C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27832DF3">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75216D42">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出光槽</w:t>
            </w:r>
          </w:p>
        </w:tc>
        <w:tc>
          <w:tcPr>
            <w:tcW w:w="2564" w:type="dxa"/>
            <w:noWrap/>
            <w:vAlign w:val="center"/>
          </w:tcPr>
          <w:p w14:paraId="63545753">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L4000*W800*H1400</w:t>
            </w:r>
          </w:p>
        </w:tc>
        <w:tc>
          <w:tcPr>
            <w:tcW w:w="925" w:type="dxa"/>
            <w:noWrap/>
            <w:vAlign w:val="center"/>
          </w:tcPr>
          <w:p w14:paraId="177022A8">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1</w:t>
            </w:r>
          </w:p>
        </w:tc>
        <w:tc>
          <w:tcPr>
            <w:tcW w:w="953" w:type="dxa"/>
            <w:noWrap/>
            <w:vAlign w:val="center"/>
          </w:tcPr>
          <w:p w14:paraId="0360398D">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4.48</w:t>
            </w:r>
          </w:p>
        </w:tc>
        <w:tc>
          <w:tcPr>
            <w:tcW w:w="2215" w:type="dxa"/>
            <w:noWrap/>
            <w:vAlign w:val="center"/>
          </w:tcPr>
          <w:p w14:paraId="704A1A89">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L4200*W800*H1700</w:t>
            </w:r>
          </w:p>
        </w:tc>
        <w:tc>
          <w:tcPr>
            <w:tcW w:w="765" w:type="dxa"/>
            <w:noWrap/>
            <w:vAlign w:val="center"/>
          </w:tcPr>
          <w:p w14:paraId="52D4E232">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1</w:t>
            </w:r>
          </w:p>
        </w:tc>
        <w:tc>
          <w:tcPr>
            <w:tcW w:w="1053" w:type="dxa"/>
            <w:noWrap/>
            <w:vAlign w:val="center"/>
          </w:tcPr>
          <w:p w14:paraId="69B05392">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5.712</w:t>
            </w:r>
          </w:p>
        </w:tc>
        <w:tc>
          <w:tcPr>
            <w:tcW w:w="2547" w:type="dxa"/>
            <w:vAlign w:val="center"/>
          </w:tcPr>
          <w:p w14:paraId="0DAF9AAD">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eastAsia" w:ascii="宋体" w:hAnsi="宋体" w:eastAsia="宋体" w:cs="宋体"/>
                <w:i w:val="0"/>
                <w:iCs w:val="0"/>
                <w:color w:val="auto"/>
                <w:kern w:val="0"/>
                <w:sz w:val="21"/>
                <w:szCs w:val="21"/>
                <w:u w:val="none"/>
                <w:lang w:val="en-US" w:eastAsia="zh-CN" w:bidi="ar"/>
              </w:rPr>
              <w:t>总容积增大</w:t>
            </w:r>
          </w:p>
        </w:tc>
      </w:tr>
      <w:tr w14:paraId="2EB86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67A237E8">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5ADE7F7C">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水洗槽</w:t>
            </w:r>
          </w:p>
        </w:tc>
        <w:tc>
          <w:tcPr>
            <w:tcW w:w="2564" w:type="dxa"/>
            <w:noWrap/>
            <w:vAlign w:val="center"/>
          </w:tcPr>
          <w:p w14:paraId="3A34B0D7">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L4000*W800*H1400</w:t>
            </w:r>
          </w:p>
        </w:tc>
        <w:tc>
          <w:tcPr>
            <w:tcW w:w="925" w:type="dxa"/>
            <w:noWrap/>
            <w:vAlign w:val="center"/>
          </w:tcPr>
          <w:p w14:paraId="483EDE1C">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2</w:t>
            </w:r>
          </w:p>
        </w:tc>
        <w:tc>
          <w:tcPr>
            <w:tcW w:w="953" w:type="dxa"/>
            <w:noWrap/>
            <w:vAlign w:val="center"/>
          </w:tcPr>
          <w:p w14:paraId="2EC7AC00">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8.96</w:t>
            </w:r>
          </w:p>
        </w:tc>
        <w:tc>
          <w:tcPr>
            <w:tcW w:w="2215" w:type="dxa"/>
            <w:noWrap/>
            <w:vAlign w:val="center"/>
          </w:tcPr>
          <w:p w14:paraId="12906C75">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noWrap/>
            <w:vAlign w:val="center"/>
          </w:tcPr>
          <w:p w14:paraId="6279F57A">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0</w:t>
            </w:r>
          </w:p>
        </w:tc>
        <w:tc>
          <w:tcPr>
            <w:tcW w:w="1053" w:type="dxa"/>
            <w:noWrap/>
            <w:vAlign w:val="center"/>
          </w:tcPr>
          <w:p w14:paraId="59299552">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w:t>
            </w:r>
          </w:p>
        </w:tc>
        <w:tc>
          <w:tcPr>
            <w:tcW w:w="2547" w:type="dxa"/>
            <w:noWrap/>
            <w:vAlign w:val="center"/>
          </w:tcPr>
          <w:p w14:paraId="2421ACE2">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eastAsia" w:ascii="宋体" w:hAnsi="宋体" w:eastAsia="宋体" w:cs="宋体"/>
                <w:i w:val="0"/>
                <w:iCs w:val="0"/>
                <w:color w:val="auto"/>
                <w:kern w:val="0"/>
                <w:sz w:val="21"/>
                <w:szCs w:val="21"/>
                <w:u w:val="none"/>
                <w:lang w:val="en-US" w:eastAsia="zh-CN" w:bidi="ar"/>
              </w:rPr>
              <w:t>不再建设</w:t>
            </w:r>
          </w:p>
        </w:tc>
      </w:tr>
      <w:tr w14:paraId="3119E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79447F6E">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1BA8C737">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钝化槽</w:t>
            </w:r>
          </w:p>
        </w:tc>
        <w:tc>
          <w:tcPr>
            <w:tcW w:w="2564" w:type="dxa"/>
            <w:noWrap/>
            <w:vAlign w:val="center"/>
          </w:tcPr>
          <w:p w14:paraId="735C8BC3">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L4000*W800*H1400</w:t>
            </w:r>
          </w:p>
        </w:tc>
        <w:tc>
          <w:tcPr>
            <w:tcW w:w="925" w:type="dxa"/>
            <w:noWrap/>
            <w:vAlign w:val="center"/>
          </w:tcPr>
          <w:p w14:paraId="6E26BA9C">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2</w:t>
            </w:r>
          </w:p>
        </w:tc>
        <w:tc>
          <w:tcPr>
            <w:tcW w:w="953" w:type="dxa"/>
            <w:noWrap/>
            <w:vAlign w:val="center"/>
          </w:tcPr>
          <w:p w14:paraId="66001DBF">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8.96</w:t>
            </w:r>
          </w:p>
        </w:tc>
        <w:tc>
          <w:tcPr>
            <w:tcW w:w="2215" w:type="dxa"/>
            <w:noWrap/>
            <w:vAlign w:val="center"/>
          </w:tcPr>
          <w:p w14:paraId="1DF1588A">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L4200*W800*H1700</w:t>
            </w:r>
          </w:p>
        </w:tc>
        <w:tc>
          <w:tcPr>
            <w:tcW w:w="765" w:type="dxa"/>
            <w:noWrap/>
            <w:vAlign w:val="center"/>
          </w:tcPr>
          <w:p w14:paraId="1C67C104">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3</w:t>
            </w:r>
          </w:p>
        </w:tc>
        <w:tc>
          <w:tcPr>
            <w:tcW w:w="1053" w:type="dxa"/>
            <w:noWrap/>
            <w:vAlign w:val="center"/>
          </w:tcPr>
          <w:p w14:paraId="7C5C8742">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17.136</w:t>
            </w:r>
          </w:p>
        </w:tc>
        <w:tc>
          <w:tcPr>
            <w:tcW w:w="2547" w:type="dxa"/>
            <w:vAlign w:val="center"/>
          </w:tcPr>
          <w:p w14:paraId="2918AEA7">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eastAsia" w:ascii="宋体" w:hAnsi="宋体" w:eastAsia="宋体" w:cs="宋体"/>
                <w:i w:val="0"/>
                <w:iCs w:val="0"/>
                <w:color w:val="auto"/>
                <w:kern w:val="0"/>
                <w:sz w:val="21"/>
                <w:szCs w:val="21"/>
                <w:u w:val="none"/>
                <w:lang w:val="en-US" w:eastAsia="zh-CN" w:bidi="ar"/>
              </w:rPr>
              <w:t>总容积增大</w:t>
            </w:r>
          </w:p>
        </w:tc>
      </w:tr>
      <w:tr w14:paraId="55534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02F70371">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19B2201C">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水洗槽</w:t>
            </w:r>
          </w:p>
        </w:tc>
        <w:tc>
          <w:tcPr>
            <w:tcW w:w="2564" w:type="dxa"/>
            <w:noWrap/>
            <w:vAlign w:val="center"/>
          </w:tcPr>
          <w:p w14:paraId="45B6AFDE">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L4000*W800*H1400</w:t>
            </w:r>
          </w:p>
        </w:tc>
        <w:tc>
          <w:tcPr>
            <w:tcW w:w="925" w:type="dxa"/>
            <w:noWrap/>
            <w:vAlign w:val="center"/>
          </w:tcPr>
          <w:p w14:paraId="6C7230D8">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4</w:t>
            </w:r>
          </w:p>
        </w:tc>
        <w:tc>
          <w:tcPr>
            <w:tcW w:w="953" w:type="dxa"/>
            <w:noWrap/>
            <w:vAlign w:val="center"/>
          </w:tcPr>
          <w:p w14:paraId="4B942848">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17.92</w:t>
            </w:r>
          </w:p>
        </w:tc>
        <w:tc>
          <w:tcPr>
            <w:tcW w:w="2215" w:type="dxa"/>
            <w:noWrap/>
            <w:vAlign w:val="center"/>
          </w:tcPr>
          <w:p w14:paraId="75CA0F0C">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L4200*W800*H1700</w:t>
            </w:r>
          </w:p>
        </w:tc>
        <w:tc>
          <w:tcPr>
            <w:tcW w:w="765" w:type="dxa"/>
            <w:noWrap/>
            <w:vAlign w:val="center"/>
          </w:tcPr>
          <w:p w14:paraId="7C88BA20">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4</w:t>
            </w:r>
          </w:p>
        </w:tc>
        <w:tc>
          <w:tcPr>
            <w:tcW w:w="1053" w:type="dxa"/>
            <w:noWrap/>
            <w:vAlign w:val="center"/>
          </w:tcPr>
          <w:p w14:paraId="1CFFDA64">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22.848</w:t>
            </w:r>
          </w:p>
        </w:tc>
        <w:tc>
          <w:tcPr>
            <w:tcW w:w="2547" w:type="dxa"/>
            <w:vAlign w:val="center"/>
          </w:tcPr>
          <w:p w14:paraId="6BF36E23">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eastAsia" w:ascii="宋体" w:hAnsi="宋体" w:eastAsia="宋体" w:cs="宋体"/>
                <w:i w:val="0"/>
                <w:iCs w:val="0"/>
                <w:color w:val="auto"/>
                <w:kern w:val="0"/>
                <w:sz w:val="21"/>
                <w:szCs w:val="21"/>
                <w:u w:val="none"/>
                <w:lang w:val="en-US" w:eastAsia="zh-CN" w:bidi="ar"/>
              </w:rPr>
              <w:t>总容积增大</w:t>
            </w:r>
          </w:p>
        </w:tc>
      </w:tr>
      <w:tr w14:paraId="53065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60D3E259">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693188A4">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热纯水洗槽</w:t>
            </w:r>
          </w:p>
        </w:tc>
        <w:tc>
          <w:tcPr>
            <w:tcW w:w="2564" w:type="dxa"/>
            <w:noWrap/>
            <w:vAlign w:val="center"/>
          </w:tcPr>
          <w:p w14:paraId="6ECDF28A">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L4000*W800*H1400</w:t>
            </w:r>
          </w:p>
        </w:tc>
        <w:tc>
          <w:tcPr>
            <w:tcW w:w="925" w:type="dxa"/>
            <w:noWrap/>
            <w:vAlign w:val="center"/>
          </w:tcPr>
          <w:p w14:paraId="0093AC05">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1</w:t>
            </w:r>
          </w:p>
        </w:tc>
        <w:tc>
          <w:tcPr>
            <w:tcW w:w="953" w:type="dxa"/>
            <w:noWrap/>
            <w:vAlign w:val="center"/>
          </w:tcPr>
          <w:p w14:paraId="2B69C2BA">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4.48</w:t>
            </w:r>
          </w:p>
        </w:tc>
        <w:tc>
          <w:tcPr>
            <w:tcW w:w="2215" w:type="dxa"/>
            <w:noWrap/>
            <w:vAlign w:val="center"/>
          </w:tcPr>
          <w:p w14:paraId="4CCE42FA">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L4200*W1000*H1700</w:t>
            </w:r>
          </w:p>
        </w:tc>
        <w:tc>
          <w:tcPr>
            <w:tcW w:w="765" w:type="dxa"/>
            <w:noWrap/>
            <w:vAlign w:val="center"/>
          </w:tcPr>
          <w:p w14:paraId="06007F20">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1</w:t>
            </w:r>
          </w:p>
        </w:tc>
        <w:tc>
          <w:tcPr>
            <w:tcW w:w="1053" w:type="dxa"/>
            <w:noWrap/>
            <w:vAlign w:val="center"/>
          </w:tcPr>
          <w:p w14:paraId="58DCBB54">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7.14</w:t>
            </w:r>
          </w:p>
        </w:tc>
        <w:tc>
          <w:tcPr>
            <w:tcW w:w="2547" w:type="dxa"/>
            <w:vAlign w:val="center"/>
          </w:tcPr>
          <w:p w14:paraId="6D63274F">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eastAsia" w:ascii="宋体" w:hAnsi="宋体" w:eastAsia="宋体" w:cs="宋体"/>
                <w:i w:val="0"/>
                <w:iCs w:val="0"/>
                <w:color w:val="auto"/>
                <w:kern w:val="0"/>
                <w:sz w:val="21"/>
                <w:szCs w:val="21"/>
                <w:u w:val="none"/>
                <w:lang w:val="en-US" w:eastAsia="zh-CN" w:bidi="ar"/>
              </w:rPr>
              <w:t>总容积增大</w:t>
            </w:r>
          </w:p>
        </w:tc>
      </w:tr>
      <w:tr w14:paraId="59E6D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4EDB9AF1">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71E7149B">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封闭槽</w:t>
            </w:r>
          </w:p>
        </w:tc>
        <w:tc>
          <w:tcPr>
            <w:tcW w:w="2564" w:type="dxa"/>
            <w:noWrap/>
            <w:vAlign w:val="center"/>
          </w:tcPr>
          <w:p w14:paraId="40B46B10">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L4000*W800*H1400</w:t>
            </w:r>
          </w:p>
        </w:tc>
        <w:tc>
          <w:tcPr>
            <w:tcW w:w="925" w:type="dxa"/>
            <w:noWrap/>
            <w:vAlign w:val="center"/>
          </w:tcPr>
          <w:p w14:paraId="37DF5351">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2</w:t>
            </w:r>
          </w:p>
        </w:tc>
        <w:tc>
          <w:tcPr>
            <w:tcW w:w="953" w:type="dxa"/>
            <w:noWrap/>
            <w:vAlign w:val="center"/>
          </w:tcPr>
          <w:p w14:paraId="5A7DE387">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8.96</w:t>
            </w:r>
          </w:p>
        </w:tc>
        <w:tc>
          <w:tcPr>
            <w:tcW w:w="2215" w:type="dxa"/>
            <w:noWrap/>
            <w:vAlign w:val="center"/>
          </w:tcPr>
          <w:p w14:paraId="62C2F93C">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L4200*W950*H1700</w:t>
            </w:r>
          </w:p>
        </w:tc>
        <w:tc>
          <w:tcPr>
            <w:tcW w:w="765" w:type="dxa"/>
            <w:noWrap/>
            <w:vAlign w:val="center"/>
          </w:tcPr>
          <w:p w14:paraId="076A9878">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1</w:t>
            </w:r>
          </w:p>
        </w:tc>
        <w:tc>
          <w:tcPr>
            <w:tcW w:w="1053" w:type="dxa"/>
            <w:noWrap/>
            <w:vAlign w:val="center"/>
          </w:tcPr>
          <w:p w14:paraId="7343DCC8">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6.783</w:t>
            </w:r>
          </w:p>
        </w:tc>
        <w:tc>
          <w:tcPr>
            <w:tcW w:w="2547" w:type="dxa"/>
            <w:vAlign w:val="center"/>
          </w:tcPr>
          <w:p w14:paraId="3B50B975">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eastAsia" w:ascii="宋体" w:hAnsi="宋体" w:eastAsia="宋体" w:cs="宋体"/>
                <w:i w:val="0"/>
                <w:iCs w:val="0"/>
                <w:color w:val="auto"/>
                <w:kern w:val="0"/>
                <w:sz w:val="21"/>
                <w:szCs w:val="21"/>
                <w:u w:val="none"/>
                <w:lang w:val="en-US" w:eastAsia="zh-CN" w:bidi="ar"/>
              </w:rPr>
              <w:t>总容积减小</w:t>
            </w:r>
          </w:p>
        </w:tc>
      </w:tr>
      <w:tr w14:paraId="3DB75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466716C4">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0CEF109A">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吹脱槽</w:t>
            </w:r>
          </w:p>
        </w:tc>
        <w:tc>
          <w:tcPr>
            <w:tcW w:w="2564" w:type="dxa"/>
            <w:noWrap/>
            <w:vAlign w:val="center"/>
          </w:tcPr>
          <w:p w14:paraId="25DB0A14">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925" w:type="dxa"/>
            <w:noWrap/>
            <w:vAlign w:val="center"/>
          </w:tcPr>
          <w:p w14:paraId="5D9A6312">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953" w:type="dxa"/>
            <w:noWrap/>
            <w:vAlign w:val="center"/>
          </w:tcPr>
          <w:p w14:paraId="6579CF75">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03998049">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L4200*W950*H1700</w:t>
            </w:r>
          </w:p>
        </w:tc>
        <w:tc>
          <w:tcPr>
            <w:tcW w:w="765" w:type="dxa"/>
            <w:noWrap/>
            <w:vAlign w:val="center"/>
          </w:tcPr>
          <w:p w14:paraId="70C9CD44">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1</w:t>
            </w:r>
          </w:p>
        </w:tc>
        <w:tc>
          <w:tcPr>
            <w:tcW w:w="1053" w:type="dxa"/>
            <w:noWrap/>
            <w:vAlign w:val="center"/>
          </w:tcPr>
          <w:p w14:paraId="1D1D79CB">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空槽</w:t>
            </w:r>
          </w:p>
        </w:tc>
        <w:tc>
          <w:tcPr>
            <w:tcW w:w="2547" w:type="dxa"/>
            <w:noWrap/>
            <w:vAlign w:val="center"/>
          </w:tcPr>
          <w:p w14:paraId="66A0CFBA">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环评未设计，实际建设便于工件快速风干，设置一个</w:t>
            </w:r>
          </w:p>
        </w:tc>
      </w:tr>
      <w:tr w14:paraId="2B254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shd w:val="clear" w:color="auto" w:fill="auto"/>
            <w:vAlign w:val="center"/>
          </w:tcPr>
          <w:p w14:paraId="17099A5E">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shd w:val="clear" w:color="auto" w:fill="auto"/>
            <w:noWrap/>
            <w:vAlign w:val="center"/>
          </w:tcPr>
          <w:p w14:paraId="0821AFE3">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烘干炉（电加热）</w:t>
            </w:r>
          </w:p>
        </w:tc>
        <w:tc>
          <w:tcPr>
            <w:tcW w:w="2564" w:type="dxa"/>
            <w:shd w:val="clear" w:color="auto" w:fill="auto"/>
            <w:noWrap/>
            <w:vAlign w:val="center"/>
          </w:tcPr>
          <w:p w14:paraId="63988CF8">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电加热</w:t>
            </w:r>
          </w:p>
        </w:tc>
        <w:tc>
          <w:tcPr>
            <w:tcW w:w="925" w:type="dxa"/>
            <w:shd w:val="clear" w:color="auto" w:fill="auto"/>
            <w:noWrap/>
            <w:vAlign w:val="center"/>
          </w:tcPr>
          <w:p w14:paraId="57D46159">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1</w:t>
            </w:r>
          </w:p>
        </w:tc>
        <w:tc>
          <w:tcPr>
            <w:tcW w:w="953" w:type="dxa"/>
            <w:shd w:val="clear" w:color="auto" w:fill="auto"/>
            <w:noWrap/>
            <w:vAlign w:val="center"/>
          </w:tcPr>
          <w:p w14:paraId="3BA1962F">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15" w:type="dxa"/>
            <w:shd w:val="clear" w:color="auto" w:fill="auto"/>
            <w:noWrap/>
            <w:vAlign w:val="center"/>
          </w:tcPr>
          <w:p w14:paraId="3BB07FC0">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电加热</w:t>
            </w:r>
          </w:p>
        </w:tc>
        <w:tc>
          <w:tcPr>
            <w:tcW w:w="765" w:type="dxa"/>
            <w:shd w:val="clear" w:color="auto" w:fill="auto"/>
            <w:noWrap/>
            <w:vAlign w:val="center"/>
          </w:tcPr>
          <w:p w14:paraId="13A22E0D">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1</w:t>
            </w:r>
          </w:p>
        </w:tc>
        <w:tc>
          <w:tcPr>
            <w:tcW w:w="1053" w:type="dxa"/>
            <w:shd w:val="clear" w:color="auto" w:fill="auto"/>
            <w:noWrap/>
            <w:vAlign w:val="center"/>
          </w:tcPr>
          <w:p w14:paraId="600617E1">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shd w:val="clear" w:color="auto" w:fill="auto"/>
            <w:noWrap/>
            <w:vAlign w:val="center"/>
          </w:tcPr>
          <w:p w14:paraId="764FFCF0">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一致</w:t>
            </w:r>
          </w:p>
        </w:tc>
      </w:tr>
      <w:tr w14:paraId="287EA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13979" w:type="dxa"/>
            <w:gridSpan w:val="10"/>
            <w:shd w:val="clear" w:color="auto" w:fill="auto"/>
            <w:vAlign w:val="center"/>
          </w:tcPr>
          <w:p w14:paraId="18930DF7">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钢带</w:t>
            </w:r>
          </w:p>
        </w:tc>
      </w:tr>
      <w:tr w14:paraId="28A06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Align w:val="center"/>
          </w:tcPr>
          <w:p w14:paraId="6FA01529">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机加工</w:t>
            </w:r>
          </w:p>
        </w:tc>
        <w:tc>
          <w:tcPr>
            <w:tcW w:w="2238" w:type="dxa"/>
            <w:gridSpan w:val="2"/>
            <w:noWrap/>
            <w:vAlign w:val="center"/>
          </w:tcPr>
          <w:p w14:paraId="7A071CB2">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冲床</w:t>
            </w:r>
          </w:p>
        </w:tc>
        <w:tc>
          <w:tcPr>
            <w:tcW w:w="2564" w:type="dxa"/>
            <w:noWrap/>
            <w:vAlign w:val="center"/>
          </w:tcPr>
          <w:p w14:paraId="6072C2F8">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15T</w:t>
            </w:r>
          </w:p>
        </w:tc>
        <w:tc>
          <w:tcPr>
            <w:tcW w:w="925" w:type="dxa"/>
            <w:noWrap/>
            <w:vAlign w:val="center"/>
          </w:tcPr>
          <w:p w14:paraId="741E8109">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5</w:t>
            </w:r>
          </w:p>
        </w:tc>
        <w:tc>
          <w:tcPr>
            <w:tcW w:w="953" w:type="dxa"/>
            <w:noWrap/>
            <w:vAlign w:val="center"/>
          </w:tcPr>
          <w:p w14:paraId="728D9BD9">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496C9744">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25T</w:t>
            </w:r>
          </w:p>
        </w:tc>
        <w:tc>
          <w:tcPr>
            <w:tcW w:w="765" w:type="dxa"/>
            <w:noWrap/>
            <w:vAlign w:val="center"/>
          </w:tcPr>
          <w:p w14:paraId="56B78EFA">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lang w:val="en-US" w:eastAsia="zh-CN"/>
              </w:rPr>
            </w:pPr>
            <w:r>
              <w:rPr>
                <w:rFonts w:hint="eastAsia" w:ascii="Times New Roman" w:hAnsi="Times New Roman" w:eastAsia="宋体" w:cs="Times New Roman"/>
                <w:color w:val="auto"/>
                <w:kern w:val="0"/>
                <w:sz w:val="21"/>
                <w:szCs w:val="21"/>
                <w:lang w:val="en-US" w:eastAsia="zh-CN" w:bidi="ar"/>
              </w:rPr>
              <w:t>10</w:t>
            </w:r>
          </w:p>
        </w:tc>
        <w:tc>
          <w:tcPr>
            <w:tcW w:w="1053" w:type="dxa"/>
            <w:noWrap/>
            <w:vAlign w:val="center"/>
          </w:tcPr>
          <w:p w14:paraId="6545D763">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noWrap/>
            <w:vAlign w:val="center"/>
          </w:tcPr>
          <w:p w14:paraId="332D51C4">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0"/>
                <w:sz w:val="21"/>
                <w:szCs w:val="21"/>
                <w:lang w:bidi="ar"/>
              </w:rPr>
              <w:t>规格增大</w:t>
            </w:r>
            <w:r>
              <w:rPr>
                <w:rFonts w:hint="eastAsia" w:ascii="Times New Roman" w:hAnsi="Times New Roman" w:eastAsia="宋体" w:cs="Times New Roman"/>
                <w:color w:val="auto"/>
                <w:kern w:val="0"/>
                <w:sz w:val="21"/>
                <w:szCs w:val="21"/>
                <w:lang w:eastAsia="zh-CN" w:bidi="ar"/>
              </w:rPr>
              <w:t>，</w:t>
            </w:r>
            <w:r>
              <w:rPr>
                <w:rFonts w:hint="eastAsia" w:ascii="Times New Roman" w:hAnsi="Times New Roman" w:eastAsia="宋体" w:cs="Times New Roman"/>
                <w:color w:val="auto"/>
                <w:kern w:val="0"/>
                <w:sz w:val="21"/>
                <w:szCs w:val="21"/>
                <w:lang w:val="en-US" w:eastAsia="zh-CN" w:bidi="ar"/>
              </w:rPr>
              <w:t>数量增多</w:t>
            </w:r>
          </w:p>
        </w:tc>
      </w:tr>
      <w:tr w14:paraId="5698A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restart"/>
            <w:vAlign w:val="center"/>
          </w:tcPr>
          <w:p w14:paraId="20095ED2">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1#</w:t>
            </w:r>
            <w:r>
              <w:rPr>
                <w:rFonts w:hint="eastAsia" w:ascii="Times New Roman" w:hAnsi="Times New Roman" w:eastAsia="宋体" w:cs="Times New Roman"/>
                <w:color w:val="auto"/>
                <w:kern w:val="0"/>
                <w:sz w:val="21"/>
                <w:szCs w:val="21"/>
                <w:lang w:val="en-US" w:eastAsia="zh-CN" w:bidi="ar"/>
              </w:rPr>
              <w:t>钢带</w:t>
            </w:r>
            <w:r>
              <w:rPr>
                <w:rFonts w:hint="default" w:ascii="Times New Roman" w:hAnsi="Times New Roman" w:eastAsia="宋体" w:cs="Times New Roman"/>
                <w:color w:val="auto"/>
                <w:kern w:val="0"/>
                <w:sz w:val="21"/>
                <w:szCs w:val="21"/>
                <w:lang w:bidi="ar"/>
              </w:rPr>
              <w:t>镀镍线</w:t>
            </w:r>
          </w:p>
        </w:tc>
        <w:tc>
          <w:tcPr>
            <w:tcW w:w="2238" w:type="dxa"/>
            <w:gridSpan w:val="2"/>
            <w:noWrap/>
            <w:vAlign w:val="center"/>
          </w:tcPr>
          <w:p w14:paraId="404F165C">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传动装置</w:t>
            </w:r>
          </w:p>
        </w:tc>
        <w:tc>
          <w:tcPr>
            <w:tcW w:w="2564" w:type="dxa"/>
            <w:noWrap/>
            <w:vAlign w:val="center"/>
          </w:tcPr>
          <w:p w14:paraId="4D6FB7C0">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925" w:type="dxa"/>
            <w:noWrap/>
            <w:vAlign w:val="center"/>
          </w:tcPr>
          <w:p w14:paraId="10098162">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1</w:t>
            </w:r>
          </w:p>
        </w:tc>
        <w:tc>
          <w:tcPr>
            <w:tcW w:w="953" w:type="dxa"/>
            <w:noWrap/>
            <w:vAlign w:val="center"/>
          </w:tcPr>
          <w:p w14:paraId="2A80D7AF">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1B89A6D5">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noWrap/>
            <w:vAlign w:val="center"/>
          </w:tcPr>
          <w:p w14:paraId="5FCB91C0">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1</w:t>
            </w:r>
          </w:p>
        </w:tc>
        <w:tc>
          <w:tcPr>
            <w:tcW w:w="1053" w:type="dxa"/>
            <w:noWrap/>
            <w:vAlign w:val="center"/>
          </w:tcPr>
          <w:p w14:paraId="05048E9B">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noWrap/>
            <w:vAlign w:val="center"/>
          </w:tcPr>
          <w:p w14:paraId="4F6A2D91">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一致</w:t>
            </w:r>
          </w:p>
        </w:tc>
      </w:tr>
      <w:tr w14:paraId="1924B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3DE5F600">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21606237">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化学除油槽</w:t>
            </w:r>
          </w:p>
        </w:tc>
        <w:tc>
          <w:tcPr>
            <w:tcW w:w="2564" w:type="dxa"/>
            <w:noWrap/>
            <w:vAlign w:val="center"/>
          </w:tcPr>
          <w:p w14:paraId="0D86EBA0">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L1800*W900*H1000</w:t>
            </w:r>
          </w:p>
        </w:tc>
        <w:tc>
          <w:tcPr>
            <w:tcW w:w="925" w:type="dxa"/>
            <w:noWrap/>
            <w:vAlign w:val="center"/>
          </w:tcPr>
          <w:p w14:paraId="6798CCCB">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2</w:t>
            </w:r>
          </w:p>
        </w:tc>
        <w:tc>
          <w:tcPr>
            <w:tcW w:w="953" w:type="dxa"/>
            <w:noWrap/>
            <w:vAlign w:val="center"/>
          </w:tcPr>
          <w:p w14:paraId="1B2BC4E2">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3.24</w:t>
            </w:r>
          </w:p>
        </w:tc>
        <w:tc>
          <w:tcPr>
            <w:tcW w:w="2215" w:type="dxa"/>
            <w:noWrap/>
            <w:vAlign w:val="center"/>
          </w:tcPr>
          <w:p w14:paraId="70747F15">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L1800*W800*H1000</w:t>
            </w:r>
          </w:p>
        </w:tc>
        <w:tc>
          <w:tcPr>
            <w:tcW w:w="765" w:type="dxa"/>
            <w:noWrap/>
            <w:vAlign w:val="center"/>
          </w:tcPr>
          <w:p w14:paraId="2CC005EC">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2</w:t>
            </w:r>
          </w:p>
        </w:tc>
        <w:tc>
          <w:tcPr>
            <w:tcW w:w="1053" w:type="dxa"/>
            <w:noWrap/>
            <w:vAlign w:val="center"/>
          </w:tcPr>
          <w:p w14:paraId="66E89084">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2.88</w:t>
            </w:r>
          </w:p>
        </w:tc>
        <w:tc>
          <w:tcPr>
            <w:tcW w:w="2547" w:type="dxa"/>
            <w:vAlign w:val="center"/>
          </w:tcPr>
          <w:p w14:paraId="0A74EFB7">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eastAsia" w:ascii="宋体" w:hAnsi="宋体" w:eastAsia="宋体" w:cs="宋体"/>
                <w:i w:val="0"/>
                <w:iCs w:val="0"/>
                <w:color w:val="auto"/>
                <w:kern w:val="0"/>
                <w:sz w:val="21"/>
                <w:szCs w:val="21"/>
                <w:u w:val="none"/>
                <w:lang w:val="en-US" w:eastAsia="zh-CN" w:bidi="ar"/>
              </w:rPr>
              <w:t>总容积减小</w:t>
            </w:r>
          </w:p>
        </w:tc>
      </w:tr>
      <w:tr w14:paraId="5979B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43979E2B">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0A212404">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水洗槽</w:t>
            </w:r>
          </w:p>
        </w:tc>
        <w:tc>
          <w:tcPr>
            <w:tcW w:w="2564" w:type="dxa"/>
            <w:noWrap/>
            <w:vAlign w:val="center"/>
          </w:tcPr>
          <w:p w14:paraId="58236C88">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L900*W500*H500</w:t>
            </w:r>
          </w:p>
        </w:tc>
        <w:tc>
          <w:tcPr>
            <w:tcW w:w="925" w:type="dxa"/>
            <w:noWrap/>
            <w:vAlign w:val="center"/>
          </w:tcPr>
          <w:p w14:paraId="0A223781">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4</w:t>
            </w:r>
          </w:p>
        </w:tc>
        <w:tc>
          <w:tcPr>
            <w:tcW w:w="953" w:type="dxa"/>
            <w:noWrap/>
            <w:vAlign w:val="center"/>
          </w:tcPr>
          <w:p w14:paraId="2D38F050">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0.9</w:t>
            </w:r>
          </w:p>
        </w:tc>
        <w:tc>
          <w:tcPr>
            <w:tcW w:w="2215" w:type="dxa"/>
            <w:noWrap/>
            <w:vAlign w:val="center"/>
          </w:tcPr>
          <w:p w14:paraId="076643CF">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L1800*W800*H500</w:t>
            </w:r>
          </w:p>
        </w:tc>
        <w:tc>
          <w:tcPr>
            <w:tcW w:w="765" w:type="dxa"/>
            <w:noWrap/>
            <w:vAlign w:val="center"/>
          </w:tcPr>
          <w:p w14:paraId="34BC3C40">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1</w:t>
            </w:r>
          </w:p>
        </w:tc>
        <w:tc>
          <w:tcPr>
            <w:tcW w:w="1053" w:type="dxa"/>
            <w:noWrap/>
            <w:vAlign w:val="center"/>
          </w:tcPr>
          <w:p w14:paraId="1B2A2739">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0.72</w:t>
            </w:r>
          </w:p>
        </w:tc>
        <w:tc>
          <w:tcPr>
            <w:tcW w:w="2547" w:type="dxa"/>
            <w:vAlign w:val="center"/>
          </w:tcPr>
          <w:p w14:paraId="00107BA8">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eastAsia" w:ascii="宋体" w:hAnsi="宋体" w:eastAsia="宋体" w:cs="宋体"/>
                <w:i w:val="0"/>
                <w:iCs w:val="0"/>
                <w:color w:val="auto"/>
                <w:kern w:val="0"/>
                <w:sz w:val="21"/>
                <w:szCs w:val="21"/>
                <w:u w:val="none"/>
                <w:lang w:val="en-US" w:eastAsia="zh-CN" w:bidi="ar"/>
              </w:rPr>
              <w:t>总容积减小</w:t>
            </w:r>
          </w:p>
        </w:tc>
      </w:tr>
      <w:tr w14:paraId="4F32B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568FCF87">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6506E0AE">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活化槽</w:t>
            </w:r>
          </w:p>
        </w:tc>
        <w:tc>
          <w:tcPr>
            <w:tcW w:w="2564" w:type="dxa"/>
            <w:noWrap/>
            <w:vAlign w:val="center"/>
          </w:tcPr>
          <w:p w14:paraId="549E2D4D">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L900*W500*H500</w:t>
            </w:r>
          </w:p>
        </w:tc>
        <w:tc>
          <w:tcPr>
            <w:tcW w:w="925" w:type="dxa"/>
            <w:noWrap/>
            <w:vAlign w:val="center"/>
          </w:tcPr>
          <w:p w14:paraId="2D27B200">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1</w:t>
            </w:r>
          </w:p>
        </w:tc>
        <w:tc>
          <w:tcPr>
            <w:tcW w:w="953" w:type="dxa"/>
            <w:noWrap/>
            <w:vAlign w:val="center"/>
          </w:tcPr>
          <w:p w14:paraId="74C4CAB8">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0.225</w:t>
            </w:r>
          </w:p>
        </w:tc>
        <w:tc>
          <w:tcPr>
            <w:tcW w:w="2215" w:type="dxa"/>
            <w:noWrap/>
            <w:vAlign w:val="center"/>
          </w:tcPr>
          <w:p w14:paraId="72AF96C3">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L1200*W800*H500</w:t>
            </w:r>
          </w:p>
        </w:tc>
        <w:tc>
          <w:tcPr>
            <w:tcW w:w="765" w:type="dxa"/>
            <w:noWrap/>
            <w:vAlign w:val="center"/>
          </w:tcPr>
          <w:p w14:paraId="48707F09">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1</w:t>
            </w:r>
          </w:p>
        </w:tc>
        <w:tc>
          <w:tcPr>
            <w:tcW w:w="1053" w:type="dxa"/>
            <w:noWrap/>
            <w:vAlign w:val="center"/>
          </w:tcPr>
          <w:p w14:paraId="4C3FFA30">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0.48</w:t>
            </w:r>
          </w:p>
        </w:tc>
        <w:tc>
          <w:tcPr>
            <w:tcW w:w="2547" w:type="dxa"/>
            <w:vAlign w:val="center"/>
          </w:tcPr>
          <w:p w14:paraId="515536B0">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eastAsia" w:ascii="宋体" w:hAnsi="宋体" w:eastAsia="宋体" w:cs="宋体"/>
                <w:i w:val="0"/>
                <w:iCs w:val="0"/>
                <w:color w:val="auto"/>
                <w:kern w:val="0"/>
                <w:sz w:val="21"/>
                <w:szCs w:val="21"/>
                <w:u w:val="none"/>
                <w:lang w:val="en-US" w:eastAsia="zh-CN" w:bidi="ar"/>
              </w:rPr>
              <w:t>总容积增大</w:t>
            </w:r>
          </w:p>
        </w:tc>
      </w:tr>
      <w:tr w14:paraId="0829C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7442ABFF">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4D188851">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水洗槽</w:t>
            </w:r>
          </w:p>
        </w:tc>
        <w:tc>
          <w:tcPr>
            <w:tcW w:w="2564" w:type="dxa"/>
            <w:noWrap/>
            <w:vAlign w:val="center"/>
          </w:tcPr>
          <w:p w14:paraId="699674C4">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L900*W500*H500</w:t>
            </w:r>
          </w:p>
        </w:tc>
        <w:tc>
          <w:tcPr>
            <w:tcW w:w="925" w:type="dxa"/>
            <w:noWrap/>
            <w:vAlign w:val="center"/>
          </w:tcPr>
          <w:p w14:paraId="73711FD5">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1</w:t>
            </w:r>
          </w:p>
        </w:tc>
        <w:tc>
          <w:tcPr>
            <w:tcW w:w="953" w:type="dxa"/>
            <w:noWrap/>
            <w:vAlign w:val="center"/>
          </w:tcPr>
          <w:p w14:paraId="162A2D12">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0.225</w:t>
            </w:r>
          </w:p>
        </w:tc>
        <w:tc>
          <w:tcPr>
            <w:tcW w:w="2215" w:type="dxa"/>
            <w:noWrap/>
            <w:vAlign w:val="center"/>
          </w:tcPr>
          <w:p w14:paraId="3D08C783">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noWrap/>
            <w:vAlign w:val="center"/>
          </w:tcPr>
          <w:p w14:paraId="1ACDD274">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0</w:t>
            </w:r>
          </w:p>
        </w:tc>
        <w:tc>
          <w:tcPr>
            <w:tcW w:w="1053" w:type="dxa"/>
            <w:noWrap/>
            <w:vAlign w:val="center"/>
          </w:tcPr>
          <w:p w14:paraId="58B9FA64">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w:t>
            </w:r>
          </w:p>
        </w:tc>
        <w:tc>
          <w:tcPr>
            <w:tcW w:w="2547" w:type="dxa"/>
            <w:noWrap/>
            <w:vAlign w:val="center"/>
          </w:tcPr>
          <w:p w14:paraId="67EC8AE1">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eastAsia" w:ascii="宋体" w:hAnsi="宋体" w:eastAsia="宋体" w:cs="宋体"/>
                <w:i w:val="0"/>
                <w:iCs w:val="0"/>
                <w:color w:val="auto"/>
                <w:kern w:val="0"/>
                <w:sz w:val="21"/>
                <w:szCs w:val="21"/>
                <w:u w:val="none"/>
                <w:lang w:val="en-US" w:eastAsia="zh-CN" w:bidi="ar"/>
              </w:rPr>
              <w:t>不再建设</w:t>
            </w:r>
          </w:p>
        </w:tc>
      </w:tr>
      <w:tr w14:paraId="1125B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4F382FC4">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22876E64">
            <w:pPr>
              <w:widowControl/>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rPr>
            </w:pPr>
            <w:r>
              <w:rPr>
                <w:rFonts w:hint="default" w:ascii="Times New Roman" w:hAnsi="Times New Roman" w:eastAsia="宋体" w:cs="Times New Roman"/>
                <w:b w:val="0"/>
                <w:bCs w:val="0"/>
                <w:color w:val="auto"/>
                <w:kern w:val="0"/>
                <w:sz w:val="21"/>
                <w:szCs w:val="21"/>
                <w:lang w:bidi="ar"/>
              </w:rPr>
              <w:t>镀镍槽</w:t>
            </w:r>
          </w:p>
        </w:tc>
        <w:tc>
          <w:tcPr>
            <w:tcW w:w="2564" w:type="dxa"/>
            <w:noWrap/>
            <w:vAlign w:val="center"/>
          </w:tcPr>
          <w:p w14:paraId="303EAD8C">
            <w:pPr>
              <w:widowControl/>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rPr>
            </w:pPr>
            <w:r>
              <w:rPr>
                <w:rFonts w:hint="default" w:ascii="Times New Roman" w:hAnsi="Times New Roman" w:eastAsia="宋体" w:cs="Times New Roman"/>
                <w:b w:val="0"/>
                <w:bCs w:val="0"/>
                <w:color w:val="auto"/>
                <w:kern w:val="0"/>
                <w:sz w:val="21"/>
                <w:szCs w:val="21"/>
                <w:lang w:bidi="ar"/>
              </w:rPr>
              <w:t>L1800*W900*H1000</w:t>
            </w:r>
          </w:p>
        </w:tc>
        <w:tc>
          <w:tcPr>
            <w:tcW w:w="925" w:type="dxa"/>
            <w:noWrap/>
            <w:vAlign w:val="center"/>
          </w:tcPr>
          <w:p w14:paraId="218B51B8">
            <w:pPr>
              <w:widowControl/>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rPr>
            </w:pPr>
            <w:r>
              <w:rPr>
                <w:rFonts w:hint="default" w:ascii="Times New Roman" w:hAnsi="Times New Roman" w:eastAsia="宋体" w:cs="Times New Roman"/>
                <w:b w:val="0"/>
                <w:bCs w:val="0"/>
                <w:color w:val="auto"/>
                <w:kern w:val="0"/>
                <w:sz w:val="21"/>
                <w:szCs w:val="21"/>
                <w:lang w:bidi="ar"/>
              </w:rPr>
              <w:t>2</w:t>
            </w:r>
          </w:p>
        </w:tc>
        <w:tc>
          <w:tcPr>
            <w:tcW w:w="953" w:type="dxa"/>
            <w:noWrap/>
            <w:vAlign w:val="center"/>
          </w:tcPr>
          <w:p w14:paraId="0FA11726">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rPr>
            </w:pPr>
            <w:r>
              <w:rPr>
                <w:rFonts w:hint="default" w:ascii="Times New Roman" w:hAnsi="Times New Roman" w:eastAsia="宋体" w:cs="Times New Roman"/>
                <w:b w:val="0"/>
                <w:bCs w:val="0"/>
                <w:i w:val="0"/>
                <w:iCs w:val="0"/>
                <w:color w:val="auto"/>
                <w:kern w:val="0"/>
                <w:sz w:val="21"/>
                <w:szCs w:val="21"/>
                <w:u w:val="none"/>
                <w:lang w:val="en-US" w:eastAsia="zh-CN" w:bidi="ar"/>
              </w:rPr>
              <w:t>3.24</w:t>
            </w:r>
          </w:p>
        </w:tc>
        <w:tc>
          <w:tcPr>
            <w:tcW w:w="2215" w:type="dxa"/>
            <w:noWrap/>
            <w:vAlign w:val="center"/>
          </w:tcPr>
          <w:p w14:paraId="6FC8127D">
            <w:pPr>
              <w:widowControl/>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rPr>
            </w:pPr>
            <w:r>
              <w:rPr>
                <w:rFonts w:hint="default" w:ascii="Times New Roman" w:hAnsi="Times New Roman" w:eastAsia="宋体" w:cs="Times New Roman"/>
                <w:b w:val="0"/>
                <w:bCs w:val="0"/>
                <w:color w:val="auto"/>
                <w:kern w:val="0"/>
                <w:sz w:val="21"/>
                <w:szCs w:val="21"/>
                <w:lang w:bidi="ar"/>
              </w:rPr>
              <w:t>L3850*W800*H1000</w:t>
            </w:r>
          </w:p>
        </w:tc>
        <w:tc>
          <w:tcPr>
            <w:tcW w:w="765" w:type="dxa"/>
            <w:noWrap/>
            <w:vAlign w:val="center"/>
          </w:tcPr>
          <w:p w14:paraId="67BE4F7E">
            <w:pPr>
              <w:widowControl/>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rPr>
            </w:pPr>
            <w:r>
              <w:rPr>
                <w:rFonts w:hint="default" w:ascii="Times New Roman" w:hAnsi="Times New Roman" w:eastAsia="宋体" w:cs="Times New Roman"/>
                <w:b w:val="0"/>
                <w:bCs w:val="0"/>
                <w:color w:val="auto"/>
                <w:kern w:val="0"/>
                <w:sz w:val="21"/>
                <w:szCs w:val="21"/>
                <w:lang w:bidi="ar"/>
              </w:rPr>
              <w:t>1</w:t>
            </w:r>
          </w:p>
        </w:tc>
        <w:tc>
          <w:tcPr>
            <w:tcW w:w="1053" w:type="dxa"/>
            <w:noWrap/>
            <w:vAlign w:val="center"/>
          </w:tcPr>
          <w:p w14:paraId="3D1F38CE">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rPr>
            </w:pPr>
            <w:r>
              <w:rPr>
                <w:rFonts w:hint="default" w:ascii="Times New Roman" w:hAnsi="Times New Roman" w:eastAsia="宋体" w:cs="Times New Roman"/>
                <w:b w:val="0"/>
                <w:bCs w:val="0"/>
                <w:i w:val="0"/>
                <w:iCs w:val="0"/>
                <w:color w:val="auto"/>
                <w:kern w:val="0"/>
                <w:sz w:val="21"/>
                <w:szCs w:val="21"/>
                <w:u w:val="none"/>
                <w:lang w:val="en-US" w:eastAsia="zh-CN" w:bidi="ar"/>
              </w:rPr>
              <w:t>3.08</w:t>
            </w:r>
          </w:p>
        </w:tc>
        <w:tc>
          <w:tcPr>
            <w:tcW w:w="2547" w:type="dxa"/>
            <w:vAlign w:val="center"/>
          </w:tcPr>
          <w:p w14:paraId="1E01DBC2">
            <w:pPr>
              <w:widowControl/>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rPr>
            </w:pPr>
            <w:r>
              <w:rPr>
                <w:rFonts w:hint="default" w:ascii="Times New Roman" w:hAnsi="Times New Roman" w:eastAsia="宋体" w:cs="Times New Roman"/>
                <w:b w:val="0"/>
                <w:bCs w:val="0"/>
                <w:color w:val="auto"/>
                <w:kern w:val="0"/>
                <w:sz w:val="21"/>
                <w:szCs w:val="21"/>
                <w:lang w:bidi="ar"/>
              </w:rPr>
              <w:t>原环评总容积</w:t>
            </w:r>
            <w:r>
              <w:rPr>
                <w:rFonts w:hint="default" w:ascii="Times New Roman" w:hAnsi="Times New Roman" w:eastAsia="宋体" w:cs="Times New Roman"/>
                <w:b w:val="0"/>
                <w:bCs w:val="0"/>
                <w:color w:val="auto"/>
                <w:kern w:val="2"/>
                <w:sz w:val="21"/>
                <w:szCs w:val="21"/>
              </w:rPr>
              <w:t>3.24</w:t>
            </w:r>
            <w:r>
              <w:rPr>
                <w:rFonts w:hint="default" w:ascii="Times New Roman" w:hAnsi="Times New Roman" w:eastAsia="宋体" w:cs="Times New Roman"/>
                <w:b w:val="0"/>
                <w:bCs w:val="0"/>
                <w:color w:val="auto"/>
                <w:kern w:val="0"/>
                <w:sz w:val="21"/>
                <w:szCs w:val="21"/>
                <w:lang w:bidi="ar"/>
              </w:rPr>
              <w:t>m</w:t>
            </w:r>
            <w:r>
              <w:rPr>
                <w:rFonts w:hint="default" w:ascii="Times New Roman" w:hAnsi="Times New Roman" w:eastAsia="宋体" w:cs="Times New Roman"/>
                <w:b w:val="0"/>
                <w:bCs w:val="0"/>
                <w:color w:val="auto"/>
                <w:kern w:val="0"/>
                <w:sz w:val="21"/>
                <w:szCs w:val="21"/>
                <w:vertAlign w:val="superscript"/>
                <w:lang w:bidi="ar"/>
              </w:rPr>
              <w:t>3</w:t>
            </w:r>
            <w:r>
              <w:rPr>
                <w:rFonts w:hint="default" w:ascii="Times New Roman" w:hAnsi="Times New Roman" w:eastAsia="宋体" w:cs="Times New Roman"/>
                <w:b w:val="0"/>
                <w:bCs w:val="0"/>
                <w:color w:val="auto"/>
                <w:kern w:val="0"/>
                <w:sz w:val="21"/>
                <w:szCs w:val="21"/>
                <w:lang w:bidi="ar"/>
              </w:rPr>
              <w:t>、实际总容积</w:t>
            </w:r>
            <w:r>
              <w:rPr>
                <w:rFonts w:hint="default" w:ascii="Times New Roman" w:hAnsi="Times New Roman" w:eastAsia="宋体" w:cs="Times New Roman"/>
                <w:b w:val="0"/>
                <w:bCs w:val="0"/>
                <w:color w:val="auto"/>
                <w:kern w:val="0"/>
                <w:sz w:val="21"/>
                <w:szCs w:val="21"/>
                <w:lang w:val="en-US" w:eastAsia="zh-CN" w:bidi="ar"/>
              </w:rPr>
              <w:t>3.08m</w:t>
            </w:r>
            <w:r>
              <w:rPr>
                <w:rFonts w:hint="default" w:ascii="Times New Roman" w:hAnsi="Times New Roman" w:eastAsia="宋体" w:cs="Times New Roman"/>
                <w:b w:val="0"/>
                <w:bCs w:val="0"/>
                <w:color w:val="auto"/>
                <w:kern w:val="0"/>
                <w:sz w:val="21"/>
                <w:szCs w:val="21"/>
                <w:vertAlign w:val="superscript"/>
                <w:lang w:val="en-US" w:eastAsia="zh-CN" w:bidi="ar"/>
              </w:rPr>
              <w:t>3</w:t>
            </w:r>
            <w:r>
              <w:rPr>
                <w:rFonts w:hint="default" w:ascii="Times New Roman" w:hAnsi="Times New Roman" w:eastAsia="宋体" w:cs="Times New Roman"/>
                <w:b w:val="0"/>
                <w:bCs w:val="0"/>
                <w:color w:val="auto"/>
                <w:kern w:val="0"/>
                <w:sz w:val="21"/>
                <w:szCs w:val="21"/>
                <w:lang w:bidi="ar"/>
              </w:rPr>
              <w:t>，变小</w:t>
            </w:r>
          </w:p>
        </w:tc>
      </w:tr>
      <w:tr w14:paraId="12CF1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5EB53B33">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1ECB4A64">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回收槽</w:t>
            </w:r>
          </w:p>
        </w:tc>
        <w:tc>
          <w:tcPr>
            <w:tcW w:w="2564" w:type="dxa"/>
            <w:noWrap/>
            <w:vAlign w:val="center"/>
          </w:tcPr>
          <w:p w14:paraId="2558A2BC">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L900*W500*H500</w:t>
            </w:r>
          </w:p>
        </w:tc>
        <w:tc>
          <w:tcPr>
            <w:tcW w:w="925" w:type="dxa"/>
            <w:noWrap/>
            <w:vAlign w:val="center"/>
          </w:tcPr>
          <w:p w14:paraId="770789BB">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1</w:t>
            </w:r>
          </w:p>
        </w:tc>
        <w:tc>
          <w:tcPr>
            <w:tcW w:w="953" w:type="dxa"/>
            <w:noWrap/>
            <w:vAlign w:val="center"/>
          </w:tcPr>
          <w:p w14:paraId="1C180450">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0.225</w:t>
            </w:r>
          </w:p>
        </w:tc>
        <w:tc>
          <w:tcPr>
            <w:tcW w:w="2215" w:type="dxa"/>
            <w:noWrap/>
            <w:vAlign w:val="center"/>
          </w:tcPr>
          <w:p w14:paraId="6BCFB385">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L1250*W800*H500</w:t>
            </w:r>
          </w:p>
        </w:tc>
        <w:tc>
          <w:tcPr>
            <w:tcW w:w="765" w:type="dxa"/>
            <w:noWrap/>
            <w:vAlign w:val="center"/>
          </w:tcPr>
          <w:p w14:paraId="72A8F3A0">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2</w:t>
            </w:r>
          </w:p>
        </w:tc>
        <w:tc>
          <w:tcPr>
            <w:tcW w:w="1053" w:type="dxa"/>
            <w:noWrap/>
            <w:vAlign w:val="center"/>
          </w:tcPr>
          <w:p w14:paraId="2910459A">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1</w:t>
            </w:r>
          </w:p>
        </w:tc>
        <w:tc>
          <w:tcPr>
            <w:tcW w:w="2547" w:type="dxa"/>
            <w:vAlign w:val="center"/>
          </w:tcPr>
          <w:p w14:paraId="721EE231">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eastAsia" w:ascii="宋体" w:hAnsi="宋体" w:eastAsia="宋体" w:cs="宋体"/>
                <w:i w:val="0"/>
                <w:iCs w:val="0"/>
                <w:color w:val="auto"/>
                <w:kern w:val="0"/>
                <w:sz w:val="21"/>
                <w:szCs w:val="21"/>
                <w:u w:val="none"/>
                <w:lang w:val="en-US" w:eastAsia="zh-CN" w:bidi="ar"/>
              </w:rPr>
              <w:t>总容积增大</w:t>
            </w:r>
          </w:p>
        </w:tc>
      </w:tr>
      <w:tr w14:paraId="3A9AD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72109FF4">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15BD6F23">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水洗槽</w:t>
            </w:r>
          </w:p>
        </w:tc>
        <w:tc>
          <w:tcPr>
            <w:tcW w:w="2564" w:type="dxa"/>
            <w:noWrap/>
            <w:vAlign w:val="center"/>
          </w:tcPr>
          <w:p w14:paraId="25A68A13">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L900*W500*H500</w:t>
            </w:r>
          </w:p>
        </w:tc>
        <w:tc>
          <w:tcPr>
            <w:tcW w:w="925" w:type="dxa"/>
            <w:noWrap/>
            <w:vAlign w:val="center"/>
          </w:tcPr>
          <w:p w14:paraId="1DCE52AD">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4</w:t>
            </w:r>
          </w:p>
        </w:tc>
        <w:tc>
          <w:tcPr>
            <w:tcW w:w="953" w:type="dxa"/>
            <w:noWrap/>
            <w:vAlign w:val="center"/>
          </w:tcPr>
          <w:p w14:paraId="2019D0DF">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0.9</w:t>
            </w:r>
          </w:p>
        </w:tc>
        <w:tc>
          <w:tcPr>
            <w:tcW w:w="2215" w:type="dxa"/>
            <w:noWrap/>
            <w:vAlign w:val="center"/>
          </w:tcPr>
          <w:p w14:paraId="2C729688">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L2450*W800*H500</w:t>
            </w:r>
          </w:p>
        </w:tc>
        <w:tc>
          <w:tcPr>
            <w:tcW w:w="765" w:type="dxa"/>
            <w:noWrap/>
            <w:vAlign w:val="center"/>
          </w:tcPr>
          <w:p w14:paraId="70DF8082">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4</w:t>
            </w:r>
          </w:p>
        </w:tc>
        <w:tc>
          <w:tcPr>
            <w:tcW w:w="1053" w:type="dxa"/>
            <w:noWrap/>
            <w:vAlign w:val="center"/>
          </w:tcPr>
          <w:p w14:paraId="207E7EC9">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3.92</w:t>
            </w:r>
          </w:p>
        </w:tc>
        <w:tc>
          <w:tcPr>
            <w:tcW w:w="2547" w:type="dxa"/>
            <w:vAlign w:val="center"/>
          </w:tcPr>
          <w:p w14:paraId="48866470">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eastAsia" w:ascii="宋体" w:hAnsi="宋体" w:eastAsia="宋体" w:cs="宋体"/>
                <w:i w:val="0"/>
                <w:iCs w:val="0"/>
                <w:color w:val="auto"/>
                <w:kern w:val="0"/>
                <w:sz w:val="21"/>
                <w:szCs w:val="21"/>
                <w:u w:val="none"/>
                <w:lang w:val="en-US" w:eastAsia="zh-CN" w:bidi="ar"/>
              </w:rPr>
              <w:t>总容积增大</w:t>
            </w:r>
          </w:p>
        </w:tc>
      </w:tr>
      <w:tr w14:paraId="00028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42F73BD3">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1FAAEA02">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立式烘干机</w:t>
            </w:r>
          </w:p>
        </w:tc>
        <w:tc>
          <w:tcPr>
            <w:tcW w:w="2564" w:type="dxa"/>
            <w:noWrap/>
            <w:vAlign w:val="center"/>
          </w:tcPr>
          <w:p w14:paraId="3F6517EF">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电加热，高2m</w:t>
            </w:r>
          </w:p>
        </w:tc>
        <w:tc>
          <w:tcPr>
            <w:tcW w:w="925" w:type="dxa"/>
            <w:noWrap/>
            <w:vAlign w:val="center"/>
          </w:tcPr>
          <w:p w14:paraId="327BCFDE">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1</w:t>
            </w:r>
          </w:p>
        </w:tc>
        <w:tc>
          <w:tcPr>
            <w:tcW w:w="953" w:type="dxa"/>
            <w:noWrap/>
            <w:vAlign w:val="center"/>
          </w:tcPr>
          <w:p w14:paraId="6534CA4F">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168FD274">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电加热，高2m</w:t>
            </w:r>
          </w:p>
        </w:tc>
        <w:tc>
          <w:tcPr>
            <w:tcW w:w="765" w:type="dxa"/>
            <w:noWrap/>
            <w:vAlign w:val="center"/>
          </w:tcPr>
          <w:p w14:paraId="24E03C9F">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1</w:t>
            </w:r>
          </w:p>
        </w:tc>
        <w:tc>
          <w:tcPr>
            <w:tcW w:w="1053" w:type="dxa"/>
            <w:noWrap/>
            <w:vAlign w:val="center"/>
          </w:tcPr>
          <w:p w14:paraId="258A2A9B">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noWrap/>
            <w:vAlign w:val="center"/>
          </w:tcPr>
          <w:p w14:paraId="63AF19E8">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一致</w:t>
            </w:r>
          </w:p>
        </w:tc>
      </w:tr>
      <w:tr w14:paraId="71CE5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restart"/>
            <w:vAlign w:val="center"/>
          </w:tcPr>
          <w:p w14:paraId="17210820">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2#</w:t>
            </w:r>
            <w:r>
              <w:rPr>
                <w:rFonts w:hint="eastAsia" w:ascii="Times New Roman" w:hAnsi="Times New Roman" w:eastAsia="宋体" w:cs="Times New Roman"/>
                <w:color w:val="auto"/>
                <w:kern w:val="0"/>
                <w:sz w:val="21"/>
                <w:szCs w:val="21"/>
                <w:lang w:val="en-US" w:eastAsia="zh-CN" w:bidi="ar"/>
              </w:rPr>
              <w:t>钢带</w:t>
            </w:r>
            <w:r>
              <w:rPr>
                <w:rFonts w:hint="default" w:ascii="Times New Roman" w:hAnsi="Times New Roman" w:eastAsia="宋体" w:cs="Times New Roman"/>
                <w:color w:val="auto"/>
                <w:kern w:val="0"/>
                <w:sz w:val="21"/>
                <w:szCs w:val="21"/>
                <w:lang w:bidi="ar"/>
              </w:rPr>
              <w:t>镀镍线</w:t>
            </w:r>
          </w:p>
        </w:tc>
        <w:tc>
          <w:tcPr>
            <w:tcW w:w="2238" w:type="dxa"/>
            <w:gridSpan w:val="2"/>
            <w:noWrap/>
            <w:vAlign w:val="center"/>
          </w:tcPr>
          <w:p w14:paraId="40FAF204">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传动装置</w:t>
            </w:r>
          </w:p>
        </w:tc>
        <w:tc>
          <w:tcPr>
            <w:tcW w:w="2564" w:type="dxa"/>
            <w:noWrap/>
            <w:vAlign w:val="center"/>
          </w:tcPr>
          <w:p w14:paraId="28EEE23A">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925" w:type="dxa"/>
            <w:noWrap/>
            <w:vAlign w:val="center"/>
          </w:tcPr>
          <w:p w14:paraId="26CD8B8C">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1</w:t>
            </w:r>
          </w:p>
        </w:tc>
        <w:tc>
          <w:tcPr>
            <w:tcW w:w="953" w:type="dxa"/>
            <w:noWrap/>
            <w:vAlign w:val="center"/>
          </w:tcPr>
          <w:p w14:paraId="073729BB">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0B3701B9">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noWrap/>
            <w:vAlign w:val="center"/>
          </w:tcPr>
          <w:p w14:paraId="3D5CB89E">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1</w:t>
            </w:r>
          </w:p>
        </w:tc>
        <w:tc>
          <w:tcPr>
            <w:tcW w:w="1053" w:type="dxa"/>
            <w:noWrap/>
            <w:vAlign w:val="center"/>
          </w:tcPr>
          <w:p w14:paraId="3C975D68">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noWrap/>
            <w:vAlign w:val="center"/>
          </w:tcPr>
          <w:p w14:paraId="4E061840">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一致</w:t>
            </w:r>
          </w:p>
        </w:tc>
      </w:tr>
      <w:tr w14:paraId="1CF82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0F228DA6">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4AFDA3AC">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化学除油槽</w:t>
            </w:r>
          </w:p>
        </w:tc>
        <w:tc>
          <w:tcPr>
            <w:tcW w:w="2564" w:type="dxa"/>
            <w:noWrap/>
            <w:vAlign w:val="center"/>
          </w:tcPr>
          <w:p w14:paraId="26D52F5A">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L1800*W900*H1000</w:t>
            </w:r>
          </w:p>
        </w:tc>
        <w:tc>
          <w:tcPr>
            <w:tcW w:w="925" w:type="dxa"/>
            <w:noWrap/>
            <w:vAlign w:val="center"/>
          </w:tcPr>
          <w:p w14:paraId="212C1108">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2</w:t>
            </w:r>
          </w:p>
        </w:tc>
        <w:tc>
          <w:tcPr>
            <w:tcW w:w="953" w:type="dxa"/>
            <w:noWrap/>
            <w:vAlign w:val="center"/>
          </w:tcPr>
          <w:p w14:paraId="6359C14F">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3.24</w:t>
            </w:r>
          </w:p>
        </w:tc>
        <w:tc>
          <w:tcPr>
            <w:tcW w:w="2215" w:type="dxa"/>
            <w:noWrap/>
            <w:vAlign w:val="center"/>
          </w:tcPr>
          <w:p w14:paraId="346C2AF0">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L2000*W800*H1000</w:t>
            </w:r>
          </w:p>
        </w:tc>
        <w:tc>
          <w:tcPr>
            <w:tcW w:w="765" w:type="dxa"/>
            <w:noWrap/>
            <w:vAlign w:val="center"/>
          </w:tcPr>
          <w:p w14:paraId="35E04B7A">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1</w:t>
            </w:r>
          </w:p>
        </w:tc>
        <w:tc>
          <w:tcPr>
            <w:tcW w:w="1053" w:type="dxa"/>
            <w:noWrap/>
            <w:vAlign w:val="center"/>
          </w:tcPr>
          <w:p w14:paraId="5190D494">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1.6</w:t>
            </w:r>
          </w:p>
        </w:tc>
        <w:tc>
          <w:tcPr>
            <w:tcW w:w="2547" w:type="dxa"/>
            <w:vAlign w:val="center"/>
          </w:tcPr>
          <w:p w14:paraId="7E047DD0">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总容积减小</w:t>
            </w:r>
          </w:p>
        </w:tc>
      </w:tr>
      <w:tr w14:paraId="39C38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689C4D4E">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33EA3F79">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水洗槽</w:t>
            </w:r>
          </w:p>
        </w:tc>
        <w:tc>
          <w:tcPr>
            <w:tcW w:w="2564" w:type="dxa"/>
            <w:noWrap/>
            <w:vAlign w:val="center"/>
          </w:tcPr>
          <w:p w14:paraId="44BFB1BC">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L900*W500*H500</w:t>
            </w:r>
          </w:p>
        </w:tc>
        <w:tc>
          <w:tcPr>
            <w:tcW w:w="925" w:type="dxa"/>
            <w:noWrap/>
            <w:vAlign w:val="center"/>
          </w:tcPr>
          <w:p w14:paraId="173EA387">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4</w:t>
            </w:r>
          </w:p>
        </w:tc>
        <w:tc>
          <w:tcPr>
            <w:tcW w:w="953" w:type="dxa"/>
            <w:noWrap/>
            <w:vAlign w:val="center"/>
          </w:tcPr>
          <w:p w14:paraId="3A46DDFC">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0.9</w:t>
            </w:r>
          </w:p>
        </w:tc>
        <w:tc>
          <w:tcPr>
            <w:tcW w:w="2215" w:type="dxa"/>
            <w:noWrap/>
            <w:vAlign w:val="center"/>
          </w:tcPr>
          <w:p w14:paraId="19E1BA10">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L700*W800*H650</w:t>
            </w:r>
          </w:p>
        </w:tc>
        <w:tc>
          <w:tcPr>
            <w:tcW w:w="765" w:type="dxa"/>
            <w:noWrap/>
            <w:vAlign w:val="center"/>
          </w:tcPr>
          <w:p w14:paraId="04BD2BF7">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2</w:t>
            </w:r>
          </w:p>
        </w:tc>
        <w:tc>
          <w:tcPr>
            <w:tcW w:w="1053" w:type="dxa"/>
            <w:noWrap/>
            <w:vAlign w:val="center"/>
          </w:tcPr>
          <w:p w14:paraId="462198F6">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0.728</w:t>
            </w:r>
          </w:p>
        </w:tc>
        <w:tc>
          <w:tcPr>
            <w:tcW w:w="2547" w:type="dxa"/>
            <w:vAlign w:val="center"/>
          </w:tcPr>
          <w:p w14:paraId="6F3122BF">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总容积减小</w:t>
            </w:r>
          </w:p>
        </w:tc>
      </w:tr>
      <w:tr w14:paraId="2C253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0D86ED35">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66519C8A">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活化槽</w:t>
            </w:r>
          </w:p>
        </w:tc>
        <w:tc>
          <w:tcPr>
            <w:tcW w:w="2564" w:type="dxa"/>
            <w:noWrap/>
            <w:vAlign w:val="center"/>
          </w:tcPr>
          <w:p w14:paraId="0D6F782B">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L900*W500*H500</w:t>
            </w:r>
          </w:p>
        </w:tc>
        <w:tc>
          <w:tcPr>
            <w:tcW w:w="925" w:type="dxa"/>
            <w:noWrap/>
            <w:vAlign w:val="center"/>
          </w:tcPr>
          <w:p w14:paraId="06CD81F8">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1</w:t>
            </w:r>
          </w:p>
        </w:tc>
        <w:tc>
          <w:tcPr>
            <w:tcW w:w="953" w:type="dxa"/>
            <w:noWrap/>
            <w:vAlign w:val="center"/>
          </w:tcPr>
          <w:p w14:paraId="1B685C10">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0.225</w:t>
            </w:r>
          </w:p>
        </w:tc>
        <w:tc>
          <w:tcPr>
            <w:tcW w:w="2215" w:type="dxa"/>
            <w:noWrap/>
            <w:vAlign w:val="center"/>
          </w:tcPr>
          <w:p w14:paraId="738F937A">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L700*W800*H650</w:t>
            </w:r>
          </w:p>
        </w:tc>
        <w:tc>
          <w:tcPr>
            <w:tcW w:w="765" w:type="dxa"/>
            <w:noWrap/>
            <w:vAlign w:val="center"/>
          </w:tcPr>
          <w:p w14:paraId="03A5C405">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1</w:t>
            </w:r>
          </w:p>
        </w:tc>
        <w:tc>
          <w:tcPr>
            <w:tcW w:w="1053" w:type="dxa"/>
            <w:noWrap/>
            <w:vAlign w:val="center"/>
          </w:tcPr>
          <w:p w14:paraId="3CF394B0">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0.364</w:t>
            </w:r>
          </w:p>
        </w:tc>
        <w:tc>
          <w:tcPr>
            <w:tcW w:w="2547" w:type="dxa"/>
            <w:vAlign w:val="center"/>
          </w:tcPr>
          <w:p w14:paraId="687E19E2">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总容积增大</w:t>
            </w:r>
          </w:p>
        </w:tc>
      </w:tr>
      <w:tr w14:paraId="37F1E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6257BE61">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vMerge w:val="restart"/>
            <w:noWrap/>
            <w:vAlign w:val="center"/>
          </w:tcPr>
          <w:p w14:paraId="64D377B9">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水洗槽</w:t>
            </w:r>
          </w:p>
        </w:tc>
        <w:tc>
          <w:tcPr>
            <w:tcW w:w="2564" w:type="dxa"/>
            <w:vMerge w:val="restart"/>
            <w:noWrap/>
            <w:vAlign w:val="center"/>
          </w:tcPr>
          <w:p w14:paraId="7E07EB96">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L900*W500*H500</w:t>
            </w:r>
          </w:p>
        </w:tc>
        <w:tc>
          <w:tcPr>
            <w:tcW w:w="925" w:type="dxa"/>
            <w:vMerge w:val="restart"/>
            <w:noWrap/>
            <w:vAlign w:val="center"/>
          </w:tcPr>
          <w:p w14:paraId="1532AB69">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1</w:t>
            </w:r>
          </w:p>
        </w:tc>
        <w:tc>
          <w:tcPr>
            <w:tcW w:w="953" w:type="dxa"/>
            <w:vMerge w:val="restart"/>
            <w:noWrap/>
            <w:vAlign w:val="center"/>
          </w:tcPr>
          <w:p w14:paraId="7EC63293">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0.225</w:t>
            </w:r>
          </w:p>
        </w:tc>
        <w:tc>
          <w:tcPr>
            <w:tcW w:w="2215" w:type="dxa"/>
            <w:noWrap/>
            <w:vAlign w:val="center"/>
          </w:tcPr>
          <w:p w14:paraId="74D641A9">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L700*W800*H1000</w:t>
            </w:r>
          </w:p>
        </w:tc>
        <w:tc>
          <w:tcPr>
            <w:tcW w:w="765" w:type="dxa"/>
            <w:noWrap/>
            <w:vAlign w:val="center"/>
          </w:tcPr>
          <w:p w14:paraId="232BD406">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1</w:t>
            </w:r>
          </w:p>
        </w:tc>
        <w:tc>
          <w:tcPr>
            <w:tcW w:w="1053" w:type="dxa"/>
            <w:noWrap/>
            <w:vAlign w:val="center"/>
          </w:tcPr>
          <w:p w14:paraId="2C043144">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0.56</w:t>
            </w:r>
          </w:p>
        </w:tc>
        <w:tc>
          <w:tcPr>
            <w:tcW w:w="2547" w:type="dxa"/>
            <w:vAlign w:val="center"/>
          </w:tcPr>
          <w:p w14:paraId="75A0A354">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总容积增大</w:t>
            </w:r>
          </w:p>
        </w:tc>
      </w:tr>
      <w:tr w14:paraId="718B4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1925F7C8">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vMerge w:val="continue"/>
            <w:noWrap/>
            <w:vAlign w:val="center"/>
          </w:tcPr>
          <w:p w14:paraId="0AC59233">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564" w:type="dxa"/>
            <w:vMerge w:val="continue"/>
            <w:noWrap/>
            <w:vAlign w:val="center"/>
          </w:tcPr>
          <w:p w14:paraId="023CA798">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925" w:type="dxa"/>
            <w:vMerge w:val="continue"/>
            <w:noWrap/>
            <w:vAlign w:val="center"/>
          </w:tcPr>
          <w:p w14:paraId="0EAA6BBD">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953" w:type="dxa"/>
            <w:vMerge w:val="continue"/>
            <w:noWrap/>
            <w:vAlign w:val="center"/>
          </w:tcPr>
          <w:p w14:paraId="0811FEDB">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15" w:type="dxa"/>
            <w:noWrap/>
            <w:vAlign w:val="center"/>
          </w:tcPr>
          <w:p w14:paraId="58DE7B10">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L500*W800*H1000</w:t>
            </w:r>
          </w:p>
        </w:tc>
        <w:tc>
          <w:tcPr>
            <w:tcW w:w="765" w:type="dxa"/>
            <w:noWrap/>
            <w:vAlign w:val="center"/>
          </w:tcPr>
          <w:p w14:paraId="319270B7">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1</w:t>
            </w:r>
          </w:p>
        </w:tc>
        <w:tc>
          <w:tcPr>
            <w:tcW w:w="1053" w:type="dxa"/>
            <w:noWrap/>
            <w:vAlign w:val="center"/>
          </w:tcPr>
          <w:p w14:paraId="49DFDE0C">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eastAsia" w:cs="Times New Roman"/>
                <w:i w:val="0"/>
                <w:iCs w:val="0"/>
                <w:color w:val="auto"/>
                <w:kern w:val="0"/>
                <w:sz w:val="21"/>
                <w:szCs w:val="21"/>
                <w:u w:val="none"/>
                <w:lang w:val="en-US" w:eastAsia="zh-CN" w:bidi="ar"/>
              </w:rPr>
              <w:t>3</w:t>
            </w:r>
            <w:r>
              <w:rPr>
                <w:rFonts w:hint="default" w:ascii="Times New Roman" w:hAnsi="Times New Roman" w:eastAsia="宋体" w:cs="Times New Roman"/>
                <w:i w:val="0"/>
                <w:iCs w:val="0"/>
                <w:color w:val="auto"/>
                <w:kern w:val="0"/>
                <w:sz w:val="21"/>
                <w:szCs w:val="21"/>
                <w:u w:val="none"/>
                <w:lang w:val="en-US" w:eastAsia="zh-CN" w:bidi="ar"/>
              </w:rPr>
              <w:t>0.4</w:t>
            </w:r>
          </w:p>
        </w:tc>
        <w:tc>
          <w:tcPr>
            <w:tcW w:w="2547" w:type="dxa"/>
            <w:vAlign w:val="center"/>
          </w:tcPr>
          <w:p w14:paraId="4D4D09DE">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总容积增大</w:t>
            </w:r>
          </w:p>
        </w:tc>
      </w:tr>
      <w:tr w14:paraId="7275C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1505093D">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70E9D1BB">
            <w:pPr>
              <w:widowControl/>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rPr>
            </w:pPr>
            <w:r>
              <w:rPr>
                <w:rFonts w:hint="default" w:ascii="Times New Roman" w:hAnsi="Times New Roman" w:eastAsia="宋体" w:cs="Times New Roman"/>
                <w:b w:val="0"/>
                <w:bCs w:val="0"/>
                <w:color w:val="auto"/>
                <w:kern w:val="0"/>
                <w:sz w:val="21"/>
                <w:szCs w:val="21"/>
                <w:lang w:bidi="ar"/>
              </w:rPr>
              <w:t>镀镍槽</w:t>
            </w:r>
          </w:p>
        </w:tc>
        <w:tc>
          <w:tcPr>
            <w:tcW w:w="2564" w:type="dxa"/>
            <w:noWrap/>
            <w:vAlign w:val="center"/>
          </w:tcPr>
          <w:p w14:paraId="73EB2A07">
            <w:pPr>
              <w:widowControl/>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rPr>
            </w:pPr>
            <w:r>
              <w:rPr>
                <w:rFonts w:hint="default" w:ascii="Times New Roman" w:hAnsi="Times New Roman" w:eastAsia="宋体" w:cs="Times New Roman"/>
                <w:b w:val="0"/>
                <w:bCs w:val="0"/>
                <w:color w:val="auto"/>
                <w:kern w:val="0"/>
                <w:sz w:val="21"/>
                <w:szCs w:val="21"/>
                <w:lang w:bidi="ar"/>
              </w:rPr>
              <w:t>L1800*W900*H1000</w:t>
            </w:r>
          </w:p>
        </w:tc>
        <w:tc>
          <w:tcPr>
            <w:tcW w:w="925" w:type="dxa"/>
            <w:noWrap/>
            <w:vAlign w:val="center"/>
          </w:tcPr>
          <w:p w14:paraId="5614030A">
            <w:pPr>
              <w:widowControl/>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rPr>
            </w:pPr>
            <w:r>
              <w:rPr>
                <w:rFonts w:hint="default" w:ascii="Times New Roman" w:hAnsi="Times New Roman" w:eastAsia="宋体" w:cs="Times New Roman"/>
                <w:b w:val="0"/>
                <w:bCs w:val="0"/>
                <w:color w:val="auto"/>
                <w:kern w:val="0"/>
                <w:sz w:val="21"/>
                <w:szCs w:val="21"/>
                <w:lang w:bidi="ar"/>
              </w:rPr>
              <w:t>2</w:t>
            </w:r>
          </w:p>
        </w:tc>
        <w:tc>
          <w:tcPr>
            <w:tcW w:w="953" w:type="dxa"/>
            <w:noWrap/>
            <w:vAlign w:val="center"/>
          </w:tcPr>
          <w:p w14:paraId="4647FD50">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rPr>
            </w:pPr>
            <w:r>
              <w:rPr>
                <w:rFonts w:hint="default" w:ascii="Times New Roman" w:hAnsi="Times New Roman" w:eastAsia="宋体" w:cs="Times New Roman"/>
                <w:b w:val="0"/>
                <w:bCs w:val="0"/>
                <w:i w:val="0"/>
                <w:iCs w:val="0"/>
                <w:color w:val="auto"/>
                <w:kern w:val="0"/>
                <w:sz w:val="21"/>
                <w:szCs w:val="21"/>
                <w:u w:val="none"/>
                <w:lang w:val="en-US" w:eastAsia="zh-CN" w:bidi="ar"/>
              </w:rPr>
              <w:t>3.24</w:t>
            </w:r>
          </w:p>
        </w:tc>
        <w:tc>
          <w:tcPr>
            <w:tcW w:w="2215" w:type="dxa"/>
            <w:noWrap/>
            <w:vAlign w:val="center"/>
          </w:tcPr>
          <w:p w14:paraId="14601EC1">
            <w:pPr>
              <w:widowControl/>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rPr>
            </w:pPr>
            <w:r>
              <w:rPr>
                <w:rFonts w:hint="default" w:ascii="Times New Roman" w:hAnsi="Times New Roman" w:eastAsia="宋体" w:cs="Times New Roman"/>
                <w:b w:val="0"/>
                <w:bCs w:val="0"/>
                <w:color w:val="auto"/>
                <w:kern w:val="0"/>
                <w:sz w:val="21"/>
                <w:szCs w:val="21"/>
                <w:lang w:bidi="ar"/>
              </w:rPr>
              <w:t>L3000*W800*H1000</w:t>
            </w:r>
          </w:p>
        </w:tc>
        <w:tc>
          <w:tcPr>
            <w:tcW w:w="765" w:type="dxa"/>
            <w:noWrap/>
            <w:vAlign w:val="center"/>
          </w:tcPr>
          <w:p w14:paraId="6D1ABFFF">
            <w:pPr>
              <w:widowControl/>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rPr>
            </w:pPr>
            <w:r>
              <w:rPr>
                <w:rFonts w:hint="default" w:ascii="Times New Roman" w:hAnsi="Times New Roman" w:eastAsia="宋体" w:cs="Times New Roman"/>
                <w:b w:val="0"/>
                <w:bCs w:val="0"/>
                <w:color w:val="auto"/>
                <w:kern w:val="0"/>
                <w:sz w:val="21"/>
                <w:szCs w:val="21"/>
                <w:lang w:bidi="ar"/>
              </w:rPr>
              <w:t>1</w:t>
            </w:r>
          </w:p>
        </w:tc>
        <w:tc>
          <w:tcPr>
            <w:tcW w:w="1053" w:type="dxa"/>
            <w:noWrap/>
            <w:vAlign w:val="center"/>
          </w:tcPr>
          <w:p w14:paraId="4A4651BD">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rPr>
            </w:pPr>
            <w:r>
              <w:rPr>
                <w:rFonts w:hint="default" w:ascii="Times New Roman" w:hAnsi="Times New Roman" w:eastAsia="宋体" w:cs="Times New Roman"/>
                <w:b w:val="0"/>
                <w:bCs w:val="0"/>
                <w:i w:val="0"/>
                <w:iCs w:val="0"/>
                <w:color w:val="auto"/>
                <w:kern w:val="0"/>
                <w:sz w:val="21"/>
                <w:szCs w:val="21"/>
                <w:u w:val="none"/>
                <w:lang w:val="en-US" w:eastAsia="zh-CN" w:bidi="ar"/>
              </w:rPr>
              <w:t>2.4</w:t>
            </w:r>
          </w:p>
        </w:tc>
        <w:tc>
          <w:tcPr>
            <w:tcW w:w="2547" w:type="dxa"/>
            <w:vAlign w:val="center"/>
          </w:tcPr>
          <w:p w14:paraId="1C1D7B99">
            <w:pPr>
              <w:widowControl/>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rPr>
            </w:pPr>
            <w:r>
              <w:rPr>
                <w:rFonts w:hint="default" w:ascii="Times New Roman" w:hAnsi="Times New Roman" w:eastAsia="宋体" w:cs="Times New Roman"/>
                <w:b w:val="0"/>
                <w:bCs w:val="0"/>
                <w:color w:val="auto"/>
                <w:kern w:val="0"/>
                <w:sz w:val="21"/>
                <w:szCs w:val="21"/>
                <w:lang w:bidi="ar"/>
              </w:rPr>
              <w:t>原环评总容积</w:t>
            </w:r>
            <w:r>
              <w:rPr>
                <w:rFonts w:hint="default" w:ascii="Times New Roman" w:hAnsi="Times New Roman" w:eastAsia="宋体" w:cs="Times New Roman"/>
                <w:b w:val="0"/>
                <w:bCs w:val="0"/>
                <w:color w:val="auto"/>
                <w:kern w:val="2"/>
                <w:sz w:val="21"/>
                <w:szCs w:val="21"/>
              </w:rPr>
              <w:t>3.24</w:t>
            </w:r>
            <w:r>
              <w:rPr>
                <w:rFonts w:hint="default" w:ascii="Times New Roman" w:hAnsi="Times New Roman" w:eastAsia="宋体" w:cs="Times New Roman"/>
                <w:b w:val="0"/>
                <w:bCs w:val="0"/>
                <w:color w:val="auto"/>
                <w:kern w:val="0"/>
                <w:sz w:val="21"/>
                <w:szCs w:val="21"/>
                <w:lang w:bidi="ar"/>
              </w:rPr>
              <w:t>m</w:t>
            </w:r>
            <w:r>
              <w:rPr>
                <w:rFonts w:hint="default" w:ascii="Times New Roman" w:hAnsi="Times New Roman" w:eastAsia="宋体" w:cs="Times New Roman"/>
                <w:b w:val="0"/>
                <w:bCs w:val="0"/>
                <w:color w:val="auto"/>
                <w:kern w:val="0"/>
                <w:sz w:val="21"/>
                <w:szCs w:val="21"/>
                <w:vertAlign w:val="superscript"/>
                <w:lang w:bidi="ar"/>
              </w:rPr>
              <w:t>3</w:t>
            </w:r>
            <w:r>
              <w:rPr>
                <w:rFonts w:hint="default" w:ascii="Times New Roman" w:hAnsi="Times New Roman" w:eastAsia="宋体" w:cs="Times New Roman"/>
                <w:b w:val="0"/>
                <w:bCs w:val="0"/>
                <w:color w:val="auto"/>
                <w:kern w:val="0"/>
                <w:sz w:val="21"/>
                <w:szCs w:val="21"/>
                <w:lang w:bidi="ar"/>
              </w:rPr>
              <w:t>、实际总容积</w:t>
            </w:r>
            <w:r>
              <w:rPr>
                <w:rFonts w:hint="default" w:ascii="Times New Roman" w:hAnsi="Times New Roman" w:eastAsia="宋体" w:cs="Times New Roman"/>
                <w:b w:val="0"/>
                <w:bCs w:val="0"/>
                <w:color w:val="auto"/>
                <w:kern w:val="0"/>
                <w:sz w:val="21"/>
                <w:szCs w:val="21"/>
                <w:lang w:val="en-US" w:eastAsia="zh-CN" w:bidi="ar"/>
              </w:rPr>
              <w:t>2.4m</w:t>
            </w:r>
            <w:r>
              <w:rPr>
                <w:rFonts w:hint="default" w:ascii="Times New Roman" w:hAnsi="Times New Roman" w:eastAsia="宋体" w:cs="Times New Roman"/>
                <w:b w:val="0"/>
                <w:bCs w:val="0"/>
                <w:color w:val="auto"/>
                <w:kern w:val="0"/>
                <w:sz w:val="21"/>
                <w:szCs w:val="21"/>
                <w:vertAlign w:val="superscript"/>
                <w:lang w:val="en-US" w:eastAsia="zh-CN" w:bidi="ar"/>
              </w:rPr>
              <w:t>3</w:t>
            </w:r>
            <w:r>
              <w:rPr>
                <w:rFonts w:hint="default" w:ascii="Times New Roman" w:hAnsi="Times New Roman" w:eastAsia="宋体" w:cs="Times New Roman"/>
                <w:b w:val="0"/>
                <w:bCs w:val="0"/>
                <w:color w:val="auto"/>
                <w:kern w:val="0"/>
                <w:sz w:val="21"/>
                <w:szCs w:val="21"/>
                <w:lang w:bidi="ar"/>
              </w:rPr>
              <w:t>，变小</w:t>
            </w:r>
          </w:p>
        </w:tc>
      </w:tr>
      <w:tr w14:paraId="78FBE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41F2A5C9">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6A44A050">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回收槽</w:t>
            </w:r>
          </w:p>
        </w:tc>
        <w:tc>
          <w:tcPr>
            <w:tcW w:w="2564" w:type="dxa"/>
            <w:noWrap/>
            <w:vAlign w:val="center"/>
          </w:tcPr>
          <w:p w14:paraId="78CCA450">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L900*W500*H500</w:t>
            </w:r>
          </w:p>
        </w:tc>
        <w:tc>
          <w:tcPr>
            <w:tcW w:w="925" w:type="dxa"/>
            <w:noWrap/>
            <w:vAlign w:val="center"/>
          </w:tcPr>
          <w:p w14:paraId="63987BFB">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1</w:t>
            </w:r>
          </w:p>
        </w:tc>
        <w:tc>
          <w:tcPr>
            <w:tcW w:w="953" w:type="dxa"/>
            <w:noWrap/>
            <w:vAlign w:val="center"/>
          </w:tcPr>
          <w:p w14:paraId="1FB442A2">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0.225</w:t>
            </w:r>
          </w:p>
        </w:tc>
        <w:tc>
          <w:tcPr>
            <w:tcW w:w="2215" w:type="dxa"/>
            <w:noWrap/>
            <w:vAlign w:val="center"/>
          </w:tcPr>
          <w:p w14:paraId="4CF3DFC1">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L500*W800*H1000</w:t>
            </w:r>
          </w:p>
        </w:tc>
        <w:tc>
          <w:tcPr>
            <w:tcW w:w="765" w:type="dxa"/>
            <w:noWrap/>
            <w:vAlign w:val="center"/>
          </w:tcPr>
          <w:p w14:paraId="15E6E40F">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1</w:t>
            </w:r>
          </w:p>
        </w:tc>
        <w:tc>
          <w:tcPr>
            <w:tcW w:w="1053" w:type="dxa"/>
            <w:noWrap/>
            <w:vAlign w:val="center"/>
          </w:tcPr>
          <w:p w14:paraId="7CD10EEE">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0.4</w:t>
            </w:r>
          </w:p>
        </w:tc>
        <w:tc>
          <w:tcPr>
            <w:tcW w:w="2547" w:type="dxa"/>
            <w:vAlign w:val="center"/>
          </w:tcPr>
          <w:p w14:paraId="7D16BDFB">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总容积增大</w:t>
            </w:r>
          </w:p>
        </w:tc>
      </w:tr>
      <w:tr w14:paraId="3F1D5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0EDE4806">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57CD4A79">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水洗槽</w:t>
            </w:r>
          </w:p>
        </w:tc>
        <w:tc>
          <w:tcPr>
            <w:tcW w:w="2564" w:type="dxa"/>
            <w:noWrap/>
            <w:vAlign w:val="center"/>
          </w:tcPr>
          <w:p w14:paraId="07EC600D">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L900*W500*H500</w:t>
            </w:r>
          </w:p>
        </w:tc>
        <w:tc>
          <w:tcPr>
            <w:tcW w:w="925" w:type="dxa"/>
            <w:noWrap/>
            <w:vAlign w:val="center"/>
          </w:tcPr>
          <w:p w14:paraId="68F96BE4">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4</w:t>
            </w:r>
          </w:p>
        </w:tc>
        <w:tc>
          <w:tcPr>
            <w:tcW w:w="953" w:type="dxa"/>
            <w:noWrap/>
            <w:vAlign w:val="center"/>
          </w:tcPr>
          <w:p w14:paraId="55F54EDC">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0.9</w:t>
            </w:r>
          </w:p>
        </w:tc>
        <w:tc>
          <w:tcPr>
            <w:tcW w:w="2215" w:type="dxa"/>
            <w:noWrap/>
            <w:vAlign w:val="center"/>
          </w:tcPr>
          <w:p w14:paraId="4DC051F9">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L500*W800*H650</w:t>
            </w:r>
          </w:p>
        </w:tc>
        <w:tc>
          <w:tcPr>
            <w:tcW w:w="765" w:type="dxa"/>
            <w:noWrap/>
            <w:vAlign w:val="center"/>
          </w:tcPr>
          <w:p w14:paraId="47DB9C3A">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3</w:t>
            </w:r>
          </w:p>
        </w:tc>
        <w:tc>
          <w:tcPr>
            <w:tcW w:w="1053" w:type="dxa"/>
            <w:noWrap/>
            <w:vAlign w:val="center"/>
          </w:tcPr>
          <w:p w14:paraId="29E284CA">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0.78</w:t>
            </w:r>
          </w:p>
        </w:tc>
        <w:tc>
          <w:tcPr>
            <w:tcW w:w="2547" w:type="dxa"/>
            <w:vAlign w:val="center"/>
          </w:tcPr>
          <w:p w14:paraId="555C9E6B">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总容积减小</w:t>
            </w:r>
          </w:p>
        </w:tc>
      </w:tr>
      <w:tr w14:paraId="25F38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1C0FC8CF">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51C914D2">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立式烘干机</w:t>
            </w:r>
          </w:p>
        </w:tc>
        <w:tc>
          <w:tcPr>
            <w:tcW w:w="2564" w:type="dxa"/>
            <w:noWrap/>
            <w:vAlign w:val="center"/>
          </w:tcPr>
          <w:p w14:paraId="0AC0DF2F">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电加热，高2m</w:t>
            </w:r>
          </w:p>
        </w:tc>
        <w:tc>
          <w:tcPr>
            <w:tcW w:w="925" w:type="dxa"/>
            <w:noWrap/>
            <w:vAlign w:val="center"/>
          </w:tcPr>
          <w:p w14:paraId="30B4237C">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1</w:t>
            </w:r>
          </w:p>
        </w:tc>
        <w:tc>
          <w:tcPr>
            <w:tcW w:w="953" w:type="dxa"/>
            <w:noWrap/>
            <w:vAlign w:val="center"/>
          </w:tcPr>
          <w:p w14:paraId="2730910A">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38CC2227">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电加热，高2m</w:t>
            </w:r>
          </w:p>
        </w:tc>
        <w:tc>
          <w:tcPr>
            <w:tcW w:w="765" w:type="dxa"/>
            <w:noWrap/>
            <w:vAlign w:val="center"/>
          </w:tcPr>
          <w:p w14:paraId="3E392A42">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1</w:t>
            </w:r>
          </w:p>
        </w:tc>
        <w:tc>
          <w:tcPr>
            <w:tcW w:w="1053" w:type="dxa"/>
            <w:noWrap/>
            <w:vAlign w:val="center"/>
          </w:tcPr>
          <w:p w14:paraId="3B29756C">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noWrap/>
            <w:vAlign w:val="center"/>
          </w:tcPr>
          <w:p w14:paraId="60ED3E21">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一致</w:t>
            </w:r>
          </w:p>
        </w:tc>
      </w:tr>
      <w:tr w14:paraId="13778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restart"/>
            <w:vAlign w:val="center"/>
          </w:tcPr>
          <w:p w14:paraId="2D9C734B">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eastAsia" w:ascii="Times New Roman" w:hAnsi="Times New Roman" w:eastAsia="宋体" w:cs="Times New Roman"/>
                <w:color w:val="auto"/>
                <w:kern w:val="0"/>
                <w:sz w:val="21"/>
                <w:szCs w:val="21"/>
                <w:lang w:val="en-US" w:eastAsia="zh-CN" w:bidi="ar"/>
              </w:rPr>
              <w:t>3</w:t>
            </w:r>
            <w:r>
              <w:rPr>
                <w:rFonts w:hint="default" w:ascii="Times New Roman" w:hAnsi="Times New Roman" w:eastAsia="宋体" w:cs="Times New Roman"/>
                <w:color w:val="auto"/>
                <w:kern w:val="0"/>
                <w:sz w:val="21"/>
                <w:szCs w:val="21"/>
                <w:lang w:bidi="ar"/>
              </w:rPr>
              <w:t>#</w:t>
            </w:r>
            <w:r>
              <w:rPr>
                <w:rFonts w:hint="eastAsia" w:ascii="Times New Roman" w:hAnsi="Times New Roman" w:eastAsia="宋体" w:cs="Times New Roman"/>
                <w:color w:val="auto"/>
                <w:kern w:val="0"/>
                <w:sz w:val="21"/>
                <w:szCs w:val="21"/>
                <w:lang w:val="en-US" w:eastAsia="zh-CN" w:bidi="ar"/>
              </w:rPr>
              <w:t>钢带</w:t>
            </w:r>
            <w:r>
              <w:rPr>
                <w:rFonts w:hint="default" w:ascii="Times New Roman" w:hAnsi="Times New Roman" w:eastAsia="宋体" w:cs="Times New Roman"/>
                <w:color w:val="auto"/>
                <w:kern w:val="0"/>
                <w:sz w:val="21"/>
                <w:szCs w:val="21"/>
                <w:lang w:bidi="ar"/>
              </w:rPr>
              <w:t>镀镍线</w:t>
            </w:r>
          </w:p>
        </w:tc>
        <w:tc>
          <w:tcPr>
            <w:tcW w:w="2238" w:type="dxa"/>
            <w:gridSpan w:val="2"/>
            <w:noWrap/>
            <w:vAlign w:val="center"/>
          </w:tcPr>
          <w:p w14:paraId="1F500FAE">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传动装置</w:t>
            </w:r>
          </w:p>
        </w:tc>
        <w:tc>
          <w:tcPr>
            <w:tcW w:w="2564" w:type="dxa"/>
            <w:noWrap/>
            <w:vAlign w:val="center"/>
          </w:tcPr>
          <w:p w14:paraId="66E575F6">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w:t>
            </w:r>
          </w:p>
        </w:tc>
        <w:tc>
          <w:tcPr>
            <w:tcW w:w="925" w:type="dxa"/>
            <w:noWrap/>
            <w:vAlign w:val="center"/>
          </w:tcPr>
          <w:p w14:paraId="45A0A996">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1</w:t>
            </w:r>
          </w:p>
        </w:tc>
        <w:tc>
          <w:tcPr>
            <w:tcW w:w="953" w:type="dxa"/>
            <w:noWrap/>
            <w:vAlign w:val="center"/>
          </w:tcPr>
          <w:p w14:paraId="66BF758A">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2A280273">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w:t>
            </w:r>
          </w:p>
        </w:tc>
        <w:tc>
          <w:tcPr>
            <w:tcW w:w="765" w:type="dxa"/>
            <w:noWrap/>
            <w:vAlign w:val="center"/>
          </w:tcPr>
          <w:p w14:paraId="31B27603">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1</w:t>
            </w:r>
          </w:p>
        </w:tc>
        <w:tc>
          <w:tcPr>
            <w:tcW w:w="1053" w:type="dxa"/>
            <w:noWrap/>
            <w:vAlign w:val="center"/>
          </w:tcPr>
          <w:p w14:paraId="43BA4E06">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w:t>
            </w:r>
          </w:p>
        </w:tc>
        <w:tc>
          <w:tcPr>
            <w:tcW w:w="2547" w:type="dxa"/>
            <w:noWrap/>
            <w:vAlign w:val="center"/>
          </w:tcPr>
          <w:p w14:paraId="221FC338">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eastAsia" w:ascii="宋体" w:hAnsi="宋体" w:eastAsia="宋体" w:cs="宋体"/>
                <w:i w:val="0"/>
                <w:iCs w:val="0"/>
                <w:color w:val="auto"/>
                <w:kern w:val="0"/>
                <w:sz w:val="21"/>
                <w:szCs w:val="21"/>
                <w:u w:val="none"/>
                <w:lang w:val="en-US" w:eastAsia="zh-CN" w:bidi="ar"/>
              </w:rPr>
              <w:t>一致</w:t>
            </w:r>
          </w:p>
        </w:tc>
      </w:tr>
      <w:tr w14:paraId="0B608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6E9EFA9B">
            <w:pPr>
              <w:widowControl w:val="0"/>
              <w:adjustRightInd/>
              <w:snapToGrid/>
              <w:spacing w:line="240" w:lineRule="auto"/>
              <w:ind w:firstLine="0" w:firstLineChars="0"/>
              <w:jc w:val="center"/>
              <w:rPr>
                <w:rFonts w:hint="default" w:ascii="Times New Roman" w:hAnsi="Times New Roman" w:eastAsia="宋体" w:cs="Times New Roman"/>
                <w:color w:val="auto"/>
                <w:kern w:val="0"/>
                <w:sz w:val="21"/>
                <w:szCs w:val="21"/>
                <w:lang w:bidi="ar"/>
              </w:rPr>
            </w:pPr>
          </w:p>
        </w:tc>
        <w:tc>
          <w:tcPr>
            <w:tcW w:w="2238" w:type="dxa"/>
            <w:gridSpan w:val="2"/>
            <w:noWrap/>
            <w:vAlign w:val="center"/>
          </w:tcPr>
          <w:p w14:paraId="5DF923A1">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eastAsia" w:ascii="宋体" w:hAnsi="宋体" w:eastAsia="宋体" w:cs="宋体"/>
                <w:i w:val="0"/>
                <w:iCs w:val="0"/>
                <w:color w:val="auto"/>
                <w:kern w:val="0"/>
                <w:sz w:val="21"/>
                <w:szCs w:val="21"/>
                <w:u w:val="none"/>
                <w:lang w:val="en-US" w:eastAsia="zh-CN" w:bidi="ar"/>
              </w:rPr>
              <w:t>化学除油槽</w:t>
            </w:r>
          </w:p>
        </w:tc>
        <w:tc>
          <w:tcPr>
            <w:tcW w:w="2564" w:type="dxa"/>
            <w:noWrap/>
            <w:vAlign w:val="center"/>
          </w:tcPr>
          <w:p w14:paraId="05834C42">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L1800*W900*H1000</w:t>
            </w:r>
          </w:p>
        </w:tc>
        <w:tc>
          <w:tcPr>
            <w:tcW w:w="925" w:type="dxa"/>
            <w:noWrap/>
            <w:vAlign w:val="center"/>
          </w:tcPr>
          <w:p w14:paraId="0BBA0F89">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2</w:t>
            </w:r>
          </w:p>
        </w:tc>
        <w:tc>
          <w:tcPr>
            <w:tcW w:w="953" w:type="dxa"/>
            <w:noWrap/>
            <w:vAlign w:val="center"/>
          </w:tcPr>
          <w:p w14:paraId="16589AB7">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3.24</w:t>
            </w:r>
          </w:p>
        </w:tc>
        <w:tc>
          <w:tcPr>
            <w:tcW w:w="2215" w:type="dxa"/>
            <w:noWrap/>
            <w:vAlign w:val="center"/>
          </w:tcPr>
          <w:p w14:paraId="5013427F">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L2600*W500*H500</w:t>
            </w:r>
          </w:p>
        </w:tc>
        <w:tc>
          <w:tcPr>
            <w:tcW w:w="765" w:type="dxa"/>
            <w:noWrap/>
            <w:vAlign w:val="center"/>
          </w:tcPr>
          <w:p w14:paraId="7CC9C50F">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1</w:t>
            </w:r>
          </w:p>
        </w:tc>
        <w:tc>
          <w:tcPr>
            <w:tcW w:w="1053" w:type="dxa"/>
            <w:noWrap/>
            <w:vAlign w:val="center"/>
          </w:tcPr>
          <w:p w14:paraId="4B68570F">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0.65</w:t>
            </w:r>
          </w:p>
        </w:tc>
        <w:tc>
          <w:tcPr>
            <w:tcW w:w="2547" w:type="dxa"/>
            <w:noWrap/>
            <w:vAlign w:val="center"/>
          </w:tcPr>
          <w:p w14:paraId="11EF9EFE">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eastAsia" w:ascii="宋体" w:hAnsi="宋体" w:eastAsia="宋体" w:cs="宋体"/>
                <w:i w:val="0"/>
                <w:iCs w:val="0"/>
                <w:color w:val="auto"/>
                <w:kern w:val="0"/>
                <w:sz w:val="21"/>
                <w:szCs w:val="21"/>
                <w:u w:val="none"/>
                <w:lang w:val="en-US" w:eastAsia="zh-CN" w:bidi="ar"/>
              </w:rPr>
              <w:t>总容积减小</w:t>
            </w:r>
          </w:p>
        </w:tc>
      </w:tr>
      <w:tr w14:paraId="487A9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752F0436">
            <w:pPr>
              <w:widowControl w:val="0"/>
              <w:adjustRightInd/>
              <w:snapToGrid/>
              <w:spacing w:line="240" w:lineRule="auto"/>
              <w:ind w:firstLine="0" w:firstLineChars="0"/>
              <w:jc w:val="center"/>
              <w:rPr>
                <w:rFonts w:hint="default" w:ascii="Times New Roman" w:hAnsi="Times New Roman" w:eastAsia="宋体" w:cs="Times New Roman"/>
                <w:color w:val="auto"/>
                <w:kern w:val="0"/>
                <w:sz w:val="21"/>
                <w:szCs w:val="21"/>
                <w:lang w:bidi="ar"/>
              </w:rPr>
            </w:pPr>
          </w:p>
        </w:tc>
        <w:tc>
          <w:tcPr>
            <w:tcW w:w="2238" w:type="dxa"/>
            <w:gridSpan w:val="2"/>
            <w:noWrap/>
            <w:vAlign w:val="center"/>
          </w:tcPr>
          <w:p w14:paraId="27AEF898">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eastAsia" w:ascii="宋体" w:hAnsi="宋体" w:eastAsia="宋体" w:cs="宋体"/>
                <w:i w:val="0"/>
                <w:iCs w:val="0"/>
                <w:color w:val="auto"/>
                <w:kern w:val="0"/>
                <w:sz w:val="21"/>
                <w:szCs w:val="21"/>
                <w:u w:val="none"/>
                <w:lang w:val="en-US" w:eastAsia="zh-CN" w:bidi="ar"/>
              </w:rPr>
              <w:t>水洗槽</w:t>
            </w:r>
          </w:p>
        </w:tc>
        <w:tc>
          <w:tcPr>
            <w:tcW w:w="2564" w:type="dxa"/>
            <w:noWrap/>
            <w:vAlign w:val="center"/>
          </w:tcPr>
          <w:p w14:paraId="23D91E39">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L1000*W850*H650</w:t>
            </w:r>
          </w:p>
        </w:tc>
        <w:tc>
          <w:tcPr>
            <w:tcW w:w="925" w:type="dxa"/>
            <w:noWrap/>
            <w:vAlign w:val="center"/>
          </w:tcPr>
          <w:p w14:paraId="0473E579">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4</w:t>
            </w:r>
          </w:p>
        </w:tc>
        <w:tc>
          <w:tcPr>
            <w:tcW w:w="953" w:type="dxa"/>
            <w:noWrap/>
            <w:vAlign w:val="center"/>
          </w:tcPr>
          <w:p w14:paraId="282577FB">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2.21</w:t>
            </w:r>
          </w:p>
        </w:tc>
        <w:tc>
          <w:tcPr>
            <w:tcW w:w="2215" w:type="dxa"/>
            <w:noWrap/>
            <w:vAlign w:val="center"/>
          </w:tcPr>
          <w:p w14:paraId="59EEF5F5">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L1800*W500*H500</w:t>
            </w:r>
          </w:p>
        </w:tc>
        <w:tc>
          <w:tcPr>
            <w:tcW w:w="765" w:type="dxa"/>
            <w:noWrap/>
            <w:vAlign w:val="center"/>
          </w:tcPr>
          <w:p w14:paraId="5DD29CF1">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1</w:t>
            </w:r>
          </w:p>
        </w:tc>
        <w:tc>
          <w:tcPr>
            <w:tcW w:w="1053" w:type="dxa"/>
            <w:noWrap/>
            <w:vAlign w:val="center"/>
          </w:tcPr>
          <w:p w14:paraId="2E1A23A3">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0.45</w:t>
            </w:r>
          </w:p>
        </w:tc>
        <w:tc>
          <w:tcPr>
            <w:tcW w:w="2547" w:type="dxa"/>
            <w:noWrap/>
            <w:vAlign w:val="center"/>
          </w:tcPr>
          <w:p w14:paraId="1D1CBFE4">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eastAsia" w:ascii="宋体" w:hAnsi="宋体" w:eastAsia="宋体" w:cs="宋体"/>
                <w:i w:val="0"/>
                <w:iCs w:val="0"/>
                <w:color w:val="auto"/>
                <w:kern w:val="0"/>
                <w:sz w:val="21"/>
                <w:szCs w:val="21"/>
                <w:u w:val="none"/>
                <w:lang w:val="en-US" w:eastAsia="zh-CN" w:bidi="ar"/>
              </w:rPr>
              <w:t>总容积减小</w:t>
            </w:r>
          </w:p>
        </w:tc>
      </w:tr>
      <w:tr w14:paraId="34068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0914A96C">
            <w:pPr>
              <w:widowControl w:val="0"/>
              <w:adjustRightInd/>
              <w:snapToGrid/>
              <w:spacing w:line="240" w:lineRule="auto"/>
              <w:ind w:firstLine="0" w:firstLineChars="0"/>
              <w:jc w:val="center"/>
              <w:rPr>
                <w:rFonts w:hint="default" w:ascii="Times New Roman" w:hAnsi="Times New Roman" w:eastAsia="宋体" w:cs="Times New Roman"/>
                <w:color w:val="auto"/>
                <w:kern w:val="0"/>
                <w:sz w:val="21"/>
                <w:szCs w:val="21"/>
                <w:lang w:bidi="ar"/>
              </w:rPr>
            </w:pPr>
          </w:p>
        </w:tc>
        <w:tc>
          <w:tcPr>
            <w:tcW w:w="2238" w:type="dxa"/>
            <w:gridSpan w:val="2"/>
            <w:noWrap/>
            <w:vAlign w:val="center"/>
          </w:tcPr>
          <w:p w14:paraId="614D62AE">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eastAsia" w:ascii="宋体" w:hAnsi="宋体" w:eastAsia="宋体" w:cs="宋体"/>
                <w:i w:val="0"/>
                <w:iCs w:val="0"/>
                <w:color w:val="auto"/>
                <w:kern w:val="0"/>
                <w:sz w:val="21"/>
                <w:szCs w:val="21"/>
                <w:u w:val="none"/>
                <w:lang w:val="en-US" w:eastAsia="zh-CN" w:bidi="ar"/>
              </w:rPr>
              <w:t>活化槽</w:t>
            </w:r>
          </w:p>
        </w:tc>
        <w:tc>
          <w:tcPr>
            <w:tcW w:w="2564" w:type="dxa"/>
            <w:noWrap/>
            <w:vAlign w:val="center"/>
          </w:tcPr>
          <w:p w14:paraId="198CD977">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L1000*W850*H650</w:t>
            </w:r>
          </w:p>
        </w:tc>
        <w:tc>
          <w:tcPr>
            <w:tcW w:w="925" w:type="dxa"/>
            <w:noWrap/>
            <w:vAlign w:val="center"/>
          </w:tcPr>
          <w:p w14:paraId="37CE3E33">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1</w:t>
            </w:r>
          </w:p>
        </w:tc>
        <w:tc>
          <w:tcPr>
            <w:tcW w:w="953" w:type="dxa"/>
            <w:noWrap/>
            <w:vAlign w:val="center"/>
          </w:tcPr>
          <w:p w14:paraId="300D694D">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0.5525</w:t>
            </w:r>
          </w:p>
        </w:tc>
        <w:tc>
          <w:tcPr>
            <w:tcW w:w="2215" w:type="dxa"/>
            <w:noWrap/>
            <w:vAlign w:val="center"/>
          </w:tcPr>
          <w:p w14:paraId="56F676FC">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L1800*W500*H500</w:t>
            </w:r>
          </w:p>
        </w:tc>
        <w:tc>
          <w:tcPr>
            <w:tcW w:w="765" w:type="dxa"/>
            <w:noWrap/>
            <w:vAlign w:val="center"/>
          </w:tcPr>
          <w:p w14:paraId="3189F3CA">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1</w:t>
            </w:r>
          </w:p>
        </w:tc>
        <w:tc>
          <w:tcPr>
            <w:tcW w:w="1053" w:type="dxa"/>
            <w:noWrap/>
            <w:vAlign w:val="center"/>
          </w:tcPr>
          <w:p w14:paraId="5664A738">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0.45</w:t>
            </w:r>
          </w:p>
        </w:tc>
        <w:tc>
          <w:tcPr>
            <w:tcW w:w="2547" w:type="dxa"/>
            <w:noWrap/>
            <w:vAlign w:val="center"/>
          </w:tcPr>
          <w:p w14:paraId="6F81392E">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eastAsia" w:ascii="宋体" w:hAnsi="宋体" w:eastAsia="宋体" w:cs="宋体"/>
                <w:i w:val="0"/>
                <w:iCs w:val="0"/>
                <w:color w:val="auto"/>
                <w:kern w:val="0"/>
                <w:sz w:val="21"/>
                <w:szCs w:val="21"/>
                <w:u w:val="none"/>
                <w:lang w:val="en-US" w:eastAsia="zh-CN" w:bidi="ar"/>
              </w:rPr>
              <w:t>总容积减小</w:t>
            </w:r>
          </w:p>
        </w:tc>
      </w:tr>
      <w:tr w14:paraId="59568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618711AE">
            <w:pPr>
              <w:widowControl w:val="0"/>
              <w:adjustRightInd/>
              <w:snapToGrid/>
              <w:spacing w:line="240" w:lineRule="auto"/>
              <w:ind w:firstLine="0" w:firstLineChars="0"/>
              <w:jc w:val="center"/>
              <w:rPr>
                <w:rFonts w:hint="default" w:ascii="Times New Roman" w:hAnsi="Times New Roman" w:eastAsia="宋体" w:cs="Times New Roman"/>
                <w:color w:val="auto"/>
                <w:kern w:val="0"/>
                <w:sz w:val="21"/>
                <w:szCs w:val="21"/>
                <w:lang w:bidi="ar"/>
              </w:rPr>
            </w:pPr>
          </w:p>
        </w:tc>
        <w:tc>
          <w:tcPr>
            <w:tcW w:w="2238" w:type="dxa"/>
            <w:gridSpan w:val="2"/>
            <w:noWrap/>
            <w:vAlign w:val="center"/>
          </w:tcPr>
          <w:p w14:paraId="4EA9208D">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eastAsia" w:ascii="宋体" w:hAnsi="宋体" w:eastAsia="宋体" w:cs="宋体"/>
                <w:i w:val="0"/>
                <w:iCs w:val="0"/>
                <w:color w:val="auto"/>
                <w:kern w:val="0"/>
                <w:sz w:val="21"/>
                <w:szCs w:val="21"/>
                <w:u w:val="none"/>
                <w:lang w:val="en-US" w:eastAsia="zh-CN" w:bidi="ar"/>
              </w:rPr>
              <w:t>水洗槽</w:t>
            </w:r>
          </w:p>
        </w:tc>
        <w:tc>
          <w:tcPr>
            <w:tcW w:w="2564" w:type="dxa"/>
            <w:noWrap/>
            <w:vAlign w:val="center"/>
          </w:tcPr>
          <w:p w14:paraId="5012191D">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L1000*W850*H650</w:t>
            </w:r>
          </w:p>
        </w:tc>
        <w:tc>
          <w:tcPr>
            <w:tcW w:w="925" w:type="dxa"/>
            <w:noWrap/>
            <w:vAlign w:val="center"/>
          </w:tcPr>
          <w:p w14:paraId="2F966CCC">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1</w:t>
            </w:r>
          </w:p>
        </w:tc>
        <w:tc>
          <w:tcPr>
            <w:tcW w:w="953" w:type="dxa"/>
            <w:noWrap/>
            <w:vAlign w:val="center"/>
          </w:tcPr>
          <w:p w14:paraId="66E9CC65">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0.5525</w:t>
            </w:r>
          </w:p>
        </w:tc>
        <w:tc>
          <w:tcPr>
            <w:tcW w:w="2215" w:type="dxa"/>
            <w:noWrap/>
            <w:vAlign w:val="center"/>
          </w:tcPr>
          <w:p w14:paraId="7BD723CF">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L1800*W500*H500</w:t>
            </w:r>
          </w:p>
        </w:tc>
        <w:tc>
          <w:tcPr>
            <w:tcW w:w="765" w:type="dxa"/>
            <w:noWrap/>
            <w:vAlign w:val="center"/>
          </w:tcPr>
          <w:p w14:paraId="29E41582">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1</w:t>
            </w:r>
          </w:p>
        </w:tc>
        <w:tc>
          <w:tcPr>
            <w:tcW w:w="1053" w:type="dxa"/>
            <w:noWrap/>
            <w:vAlign w:val="center"/>
          </w:tcPr>
          <w:p w14:paraId="79F6F994">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0.45</w:t>
            </w:r>
          </w:p>
        </w:tc>
        <w:tc>
          <w:tcPr>
            <w:tcW w:w="2547" w:type="dxa"/>
            <w:noWrap/>
            <w:vAlign w:val="center"/>
          </w:tcPr>
          <w:p w14:paraId="55C82228">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eastAsia" w:ascii="宋体" w:hAnsi="宋体" w:eastAsia="宋体" w:cs="宋体"/>
                <w:i w:val="0"/>
                <w:iCs w:val="0"/>
                <w:color w:val="auto"/>
                <w:kern w:val="0"/>
                <w:sz w:val="21"/>
                <w:szCs w:val="21"/>
                <w:u w:val="none"/>
                <w:lang w:val="en-US" w:eastAsia="zh-CN" w:bidi="ar"/>
              </w:rPr>
              <w:t>总容积减小</w:t>
            </w:r>
          </w:p>
        </w:tc>
      </w:tr>
      <w:tr w14:paraId="56E81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1C43D674">
            <w:pPr>
              <w:widowControl w:val="0"/>
              <w:adjustRightInd/>
              <w:snapToGrid/>
              <w:spacing w:line="240" w:lineRule="auto"/>
              <w:ind w:firstLine="0" w:firstLineChars="0"/>
              <w:jc w:val="center"/>
              <w:rPr>
                <w:rFonts w:hint="default" w:ascii="Times New Roman" w:hAnsi="Times New Roman" w:eastAsia="宋体" w:cs="Times New Roman"/>
                <w:color w:val="auto"/>
                <w:kern w:val="0"/>
                <w:sz w:val="21"/>
                <w:szCs w:val="21"/>
                <w:lang w:bidi="ar"/>
              </w:rPr>
            </w:pPr>
          </w:p>
        </w:tc>
        <w:tc>
          <w:tcPr>
            <w:tcW w:w="2238" w:type="dxa"/>
            <w:gridSpan w:val="2"/>
            <w:noWrap/>
            <w:vAlign w:val="center"/>
          </w:tcPr>
          <w:p w14:paraId="41F2B073">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0"/>
                <w:sz w:val="21"/>
                <w:szCs w:val="21"/>
                <w:lang w:bidi="ar"/>
              </w:rPr>
            </w:pPr>
            <w:r>
              <w:rPr>
                <w:rFonts w:hint="eastAsia" w:ascii="宋体" w:hAnsi="宋体" w:eastAsia="宋体" w:cs="宋体"/>
                <w:b w:val="0"/>
                <w:bCs w:val="0"/>
                <w:i w:val="0"/>
                <w:iCs w:val="0"/>
                <w:color w:val="auto"/>
                <w:kern w:val="0"/>
                <w:sz w:val="21"/>
                <w:szCs w:val="21"/>
                <w:u w:val="none"/>
                <w:lang w:val="en-US" w:eastAsia="zh-CN" w:bidi="ar"/>
              </w:rPr>
              <w:t>镀镍槽</w:t>
            </w:r>
          </w:p>
        </w:tc>
        <w:tc>
          <w:tcPr>
            <w:tcW w:w="2564" w:type="dxa"/>
            <w:noWrap/>
            <w:vAlign w:val="center"/>
          </w:tcPr>
          <w:p w14:paraId="52E2B328">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i w:val="0"/>
                <w:iCs w:val="0"/>
                <w:color w:val="auto"/>
                <w:kern w:val="0"/>
                <w:sz w:val="21"/>
                <w:szCs w:val="21"/>
                <w:u w:val="none"/>
                <w:lang w:val="en-US" w:eastAsia="zh-CN" w:bidi="ar"/>
              </w:rPr>
              <w:t>L2300*W1100*H1200</w:t>
            </w:r>
          </w:p>
        </w:tc>
        <w:tc>
          <w:tcPr>
            <w:tcW w:w="925" w:type="dxa"/>
            <w:noWrap/>
            <w:vAlign w:val="center"/>
          </w:tcPr>
          <w:p w14:paraId="25795C15">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i w:val="0"/>
                <w:iCs w:val="0"/>
                <w:color w:val="auto"/>
                <w:kern w:val="0"/>
                <w:sz w:val="21"/>
                <w:szCs w:val="21"/>
                <w:u w:val="none"/>
                <w:lang w:val="en-US" w:eastAsia="zh-CN" w:bidi="ar"/>
              </w:rPr>
              <w:t>2</w:t>
            </w:r>
          </w:p>
        </w:tc>
        <w:tc>
          <w:tcPr>
            <w:tcW w:w="953" w:type="dxa"/>
            <w:noWrap/>
            <w:vAlign w:val="center"/>
          </w:tcPr>
          <w:p w14:paraId="1BCBBDD1">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i w:val="0"/>
                <w:iCs w:val="0"/>
                <w:color w:val="auto"/>
                <w:kern w:val="0"/>
                <w:sz w:val="21"/>
                <w:szCs w:val="21"/>
                <w:u w:val="none"/>
                <w:lang w:val="en-US" w:eastAsia="zh-CN" w:bidi="ar"/>
              </w:rPr>
              <w:t>6.072</w:t>
            </w:r>
          </w:p>
        </w:tc>
        <w:tc>
          <w:tcPr>
            <w:tcW w:w="2215" w:type="dxa"/>
            <w:noWrap/>
            <w:vAlign w:val="center"/>
          </w:tcPr>
          <w:p w14:paraId="31D09E21">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i w:val="0"/>
                <w:iCs w:val="0"/>
                <w:color w:val="auto"/>
                <w:kern w:val="0"/>
                <w:sz w:val="21"/>
                <w:szCs w:val="21"/>
                <w:u w:val="none"/>
                <w:lang w:val="en-US" w:eastAsia="zh-CN" w:bidi="ar"/>
              </w:rPr>
              <w:t>L2000*W500*H500</w:t>
            </w:r>
          </w:p>
        </w:tc>
        <w:tc>
          <w:tcPr>
            <w:tcW w:w="765" w:type="dxa"/>
            <w:noWrap/>
            <w:vAlign w:val="center"/>
          </w:tcPr>
          <w:p w14:paraId="016BD431">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i w:val="0"/>
                <w:iCs w:val="0"/>
                <w:color w:val="auto"/>
                <w:kern w:val="0"/>
                <w:sz w:val="21"/>
                <w:szCs w:val="21"/>
                <w:u w:val="none"/>
                <w:lang w:val="en-US" w:eastAsia="zh-CN" w:bidi="ar"/>
              </w:rPr>
              <w:t>7</w:t>
            </w:r>
          </w:p>
        </w:tc>
        <w:tc>
          <w:tcPr>
            <w:tcW w:w="1053" w:type="dxa"/>
            <w:noWrap/>
            <w:vAlign w:val="center"/>
          </w:tcPr>
          <w:p w14:paraId="2C616CC4">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i w:val="0"/>
                <w:iCs w:val="0"/>
                <w:color w:val="auto"/>
                <w:kern w:val="0"/>
                <w:sz w:val="21"/>
                <w:szCs w:val="21"/>
                <w:u w:val="none"/>
                <w:lang w:val="en-US" w:eastAsia="zh-CN" w:bidi="ar"/>
              </w:rPr>
              <w:t>3.5</w:t>
            </w:r>
          </w:p>
        </w:tc>
        <w:tc>
          <w:tcPr>
            <w:tcW w:w="2547" w:type="dxa"/>
            <w:noWrap/>
            <w:vAlign w:val="center"/>
          </w:tcPr>
          <w:p w14:paraId="1FEFEE4F">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原环评总容积</w:t>
            </w:r>
            <w:r>
              <w:rPr>
                <w:rFonts w:hint="eastAsia" w:ascii="Times New Roman" w:hAnsi="Times New Roman" w:eastAsia="宋体" w:cs="Times New Roman"/>
                <w:b w:val="0"/>
                <w:bCs w:val="0"/>
                <w:color w:val="auto"/>
                <w:kern w:val="0"/>
                <w:sz w:val="21"/>
                <w:szCs w:val="21"/>
                <w:lang w:val="en-US" w:eastAsia="zh-CN" w:bidi="ar"/>
              </w:rPr>
              <w:t>6.072</w:t>
            </w:r>
            <w:r>
              <w:rPr>
                <w:rFonts w:hint="default" w:ascii="Times New Roman" w:hAnsi="Times New Roman" w:eastAsia="宋体" w:cs="Times New Roman"/>
                <w:b w:val="0"/>
                <w:bCs w:val="0"/>
                <w:color w:val="auto"/>
                <w:kern w:val="0"/>
                <w:sz w:val="21"/>
                <w:szCs w:val="21"/>
                <w:lang w:bidi="ar"/>
              </w:rPr>
              <w:t>m</w:t>
            </w:r>
            <w:r>
              <w:rPr>
                <w:rFonts w:hint="default" w:ascii="Times New Roman" w:hAnsi="Times New Roman" w:eastAsia="宋体" w:cs="Times New Roman"/>
                <w:b w:val="0"/>
                <w:bCs w:val="0"/>
                <w:color w:val="auto"/>
                <w:kern w:val="0"/>
                <w:sz w:val="21"/>
                <w:szCs w:val="21"/>
                <w:vertAlign w:val="superscript"/>
                <w:lang w:bidi="ar"/>
              </w:rPr>
              <w:t>3</w:t>
            </w:r>
            <w:r>
              <w:rPr>
                <w:rFonts w:hint="default" w:ascii="Times New Roman" w:hAnsi="Times New Roman" w:eastAsia="宋体" w:cs="Times New Roman"/>
                <w:b w:val="0"/>
                <w:bCs w:val="0"/>
                <w:color w:val="auto"/>
                <w:kern w:val="0"/>
                <w:sz w:val="21"/>
                <w:szCs w:val="21"/>
                <w:lang w:bidi="ar"/>
              </w:rPr>
              <w:t>、实际总容积</w:t>
            </w:r>
            <w:r>
              <w:rPr>
                <w:rFonts w:hint="eastAsia" w:ascii="Times New Roman" w:hAnsi="Times New Roman" w:eastAsia="宋体" w:cs="Times New Roman"/>
                <w:b w:val="0"/>
                <w:bCs w:val="0"/>
                <w:color w:val="auto"/>
                <w:kern w:val="0"/>
                <w:sz w:val="21"/>
                <w:szCs w:val="21"/>
                <w:lang w:val="en-US" w:eastAsia="zh-CN" w:bidi="ar"/>
              </w:rPr>
              <w:t>3.5</w:t>
            </w:r>
            <w:r>
              <w:rPr>
                <w:rFonts w:hint="default" w:ascii="Times New Roman" w:hAnsi="Times New Roman" w:eastAsia="宋体" w:cs="Times New Roman"/>
                <w:b w:val="0"/>
                <w:bCs w:val="0"/>
                <w:color w:val="auto"/>
                <w:kern w:val="0"/>
                <w:sz w:val="21"/>
                <w:szCs w:val="21"/>
                <w:lang w:val="en-US" w:eastAsia="zh-CN" w:bidi="ar"/>
              </w:rPr>
              <w:t>m</w:t>
            </w:r>
            <w:r>
              <w:rPr>
                <w:rFonts w:hint="default" w:ascii="Times New Roman" w:hAnsi="Times New Roman" w:eastAsia="宋体" w:cs="Times New Roman"/>
                <w:b w:val="0"/>
                <w:bCs w:val="0"/>
                <w:color w:val="auto"/>
                <w:kern w:val="0"/>
                <w:sz w:val="21"/>
                <w:szCs w:val="21"/>
                <w:vertAlign w:val="superscript"/>
                <w:lang w:val="en-US" w:eastAsia="zh-CN" w:bidi="ar"/>
              </w:rPr>
              <w:t>3</w:t>
            </w:r>
            <w:r>
              <w:rPr>
                <w:rFonts w:hint="default" w:ascii="Times New Roman" w:hAnsi="Times New Roman" w:eastAsia="宋体" w:cs="Times New Roman"/>
                <w:b w:val="0"/>
                <w:bCs w:val="0"/>
                <w:color w:val="auto"/>
                <w:kern w:val="0"/>
                <w:sz w:val="21"/>
                <w:szCs w:val="21"/>
                <w:lang w:bidi="ar"/>
              </w:rPr>
              <w:t>，变小</w:t>
            </w:r>
          </w:p>
        </w:tc>
      </w:tr>
      <w:tr w14:paraId="7B808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1E33BB83">
            <w:pPr>
              <w:widowControl w:val="0"/>
              <w:adjustRightInd/>
              <w:snapToGrid/>
              <w:spacing w:line="240" w:lineRule="auto"/>
              <w:ind w:firstLine="0" w:firstLineChars="0"/>
              <w:jc w:val="center"/>
              <w:rPr>
                <w:rFonts w:hint="default" w:ascii="Times New Roman" w:hAnsi="Times New Roman" w:eastAsia="宋体" w:cs="Times New Roman"/>
                <w:color w:val="auto"/>
                <w:kern w:val="0"/>
                <w:sz w:val="21"/>
                <w:szCs w:val="21"/>
                <w:lang w:bidi="ar"/>
              </w:rPr>
            </w:pPr>
          </w:p>
        </w:tc>
        <w:tc>
          <w:tcPr>
            <w:tcW w:w="2238" w:type="dxa"/>
            <w:gridSpan w:val="2"/>
            <w:noWrap/>
            <w:vAlign w:val="center"/>
          </w:tcPr>
          <w:p w14:paraId="3A987D2B">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eastAsia" w:ascii="宋体" w:hAnsi="宋体" w:eastAsia="宋体" w:cs="宋体"/>
                <w:i w:val="0"/>
                <w:iCs w:val="0"/>
                <w:color w:val="auto"/>
                <w:kern w:val="0"/>
                <w:sz w:val="21"/>
                <w:szCs w:val="21"/>
                <w:u w:val="none"/>
                <w:lang w:val="en-US" w:eastAsia="zh-CN" w:bidi="ar"/>
              </w:rPr>
              <w:t>回收槽</w:t>
            </w:r>
          </w:p>
        </w:tc>
        <w:tc>
          <w:tcPr>
            <w:tcW w:w="2564" w:type="dxa"/>
            <w:noWrap/>
            <w:vAlign w:val="center"/>
          </w:tcPr>
          <w:p w14:paraId="05C101E9">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L1000*W850*H650</w:t>
            </w:r>
          </w:p>
        </w:tc>
        <w:tc>
          <w:tcPr>
            <w:tcW w:w="925" w:type="dxa"/>
            <w:noWrap/>
            <w:vAlign w:val="center"/>
          </w:tcPr>
          <w:p w14:paraId="52F49FA2">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1</w:t>
            </w:r>
          </w:p>
        </w:tc>
        <w:tc>
          <w:tcPr>
            <w:tcW w:w="953" w:type="dxa"/>
            <w:noWrap/>
            <w:vAlign w:val="center"/>
          </w:tcPr>
          <w:p w14:paraId="4732576C">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0.5525</w:t>
            </w:r>
          </w:p>
        </w:tc>
        <w:tc>
          <w:tcPr>
            <w:tcW w:w="2215" w:type="dxa"/>
            <w:noWrap/>
            <w:vAlign w:val="center"/>
          </w:tcPr>
          <w:p w14:paraId="16D7EB6A">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L2000*W500*H500</w:t>
            </w:r>
          </w:p>
        </w:tc>
        <w:tc>
          <w:tcPr>
            <w:tcW w:w="765" w:type="dxa"/>
            <w:noWrap/>
            <w:vAlign w:val="center"/>
          </w:tcPr>
          <w:p w14:paraId="79A5BD3D">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1</w:t>
            </w:r>
          </w:p>
        </w:tc>
        <w:tc>
          <w:tcPr>
            <w:tcW w:w="1053" w:type="dxa"/>
            <w:noWrap/>
            <w:vAlign w:val="center"/>
          </w:tcPr>
          <w:p w14:paraId="62B814E8">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0.5</w:t>
            </w:r>
          </w:p>
        </w:tc>
        <w:tc>
          <w:tcPr>
            <w:tcW w:w="2547" w:type="dxa"/>
            <w:noWrap/>
            <w:vAlign w:val="center"/>
          </w:tcPr>
          <w:p w14:paraId="7E745406">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总容积减小</w:t>
            </w:r>
          </w:p>
        </w:tc>
      </w:tr>
      <w:tr w14:paraId="1A7F4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3D380126">
            <w:pPr>
              <w:widowControl w:val="0"/>
              <w:adjustRightInd/>
              <w:snapToGrid/>
              <w:spacing w:line="240" w:lineRule="auto"/>
              <w:ind w:firstLine="0" w:firstLineChars="0"/>
              <w:jc w:val="center"/>
              <w:rPr>
                <w:rFonts w:hint="default" w:ascii="Times New Roman" w:hAnsi="Times New Roman" w:eastAsia="宋体" w:cs="Times New Roman"/>
                <w:color w:val="auto"/>
                <w:kern w:val="0"/>
                <w:sz w:val="21"/>
                <w:szCs w:val="21"/>
                <w:lang w:bidi="ar"/>
              </w:rPr>
            </w:pPr>
          </w:p>
        </w:tc>
        <w:tc>
          <w:tcPr>
            <w:tcW w:w="2238" w:type="dxa"/>
            <w:gridSpan w:val="2"/>
            <w:noWrap/>
            <w:vAlign w:val="center"/>
          </w:tcPr>
          <w:p w14:paraId="28FD37F4">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eastAsia" w:ascii="宋体" w:hAnsi="宋体" w:eastAsia="宋体" w:cs="宋体"/>
                <w:i w:val="0"/>
                <w:iCs w:val="0"/>
                <w:color w:val="auto"/>
                <w:kern w:val="0"/>
                <w:sz w:val="21"/>
                <w:szCs w:val="21"/>
                <w:u w:val="none"/>
                <w:lang w:val="en-US" w:eastAsia="zh-CN" w:bidi="ar"/>
              </w:rPr>
              <w:t>水洗槽</w:t>
            </w:r>
          </w:p>
        </w:tc>
        <w:tc>
          <w:tcPr>
            <w:tcW w:w="2564" w:type="dxa"/>
            <w:noWrap/>
            <w:vAlign w:val="center"/>
          </w:tcPr>
          <w:p w14:paraId="7F3FA0BE">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L1000*W850*H650</w:t>
            </w:r>
          </w:p>
        </w:tc>
        <w:tc>
          <w:tcPr>
            <w:tcW w:w="925" w:type="dxa"/>
            <w:noWrap/>
            <w:vAlign w:val="center"/>
          </w:tcPr>
          <w:p w14:paraId="2BDB6968">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4</w:t>
            </w:r>
          </w:p>
        </w:tc>
        <w:tc>
          <w:tcPr>
            <w:tcW w:w="953" w:type="dxa"/>
            <w:noWrap/>
            <w:vAlign w:val="center"/>
          </w:tcPr>
          <w:p w14:paraId="4E75BFCB">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2.21</w:t>
            </w:r>
          </w:p>
        </w:tc>
        <w:tc>
          <w:tcPr>
            <w:tcW w:w="2215" w:type="dxa"/>
            <w:noWrap/>
            <w:vAlign w:val="center"/>
          </w:tcPr>
          <w:p w14:paraId="7D726694">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w:t>
            </w:r>
          </w:p>
        </w:tc>
        <w:tc>
          <w:tcPr>
            <w:tcW w:w="765" w:type="dxa"/>
            <w:noWrap/>
            <w:vAlign w:val="center"/>
          </w:tcPr>
          <w:p w14:paraId="46A6C381">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w:t>
            </w:r>
          </w:p>
        </w:tc>
        <w:tc>
          <w:tcPr>
            <w:tcW w:w="1053" w:type="dxa"/>
            <w:noWrap/>
            <w:vAlign w:val="center"/>
          </w:tcPr>
          <w:p w14:paraId="78523EA7">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w:t>
            </w:r>
          </w:p>
        </w:tc>
        <w:tc>
          <w:tcPr>
            <w:tcW w:w="2547" w:type="dxa"/>
            <w:noWrap/>
            <w:vAlign w:val="center"/>
          </w:tcPr>
          <w:p w14:paraId="1A477AAD">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不再建设</w:t>
            </w:r>
          </w:p>
        </w:tc>
      </w:tr>
      <w:tr w14:paraId="1A321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746B697E">
            <w:pPr>
              <w:widowControl w:val="0"/>
              <w:adjustRightInd/>
              <w:snapToGrid/>
              <w:spacing w:line="240" w:lineRule="auto"/>
              <w:ind w:firstLine="0" w:firstLineChars="0"/>
              <w:jc w:val="center"/>
              <w:rPr>
                <w:rFonts w:hint="default" w:ascii="Times New Roman" w:hAnsi="Times New Roman" w:eastAsia="宋体" w:cs="Times New Roman"/>
                <w:color w:val="auto"/>
                <w:kern w:val="0"/>
                <w:sz w:val="21"/>
                <w:szCs w:val="21"/>
                <w:lang w:bidi="ar"/>
              </w:rPr>
            </w:pPr>
          </w:p>
        </w:tc>
        <w:tc>
          <w:tcPr>
            <w:tcW w:w="2238" w:type="dxa"/>
            <w:gridSpan w:val="2"/>
            <w:noWrap/>
            <w:vAlign w:val="center"/>
          </w:tcPr>
          <w:p w14:paraId="26CC991B">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立式烘干机</w:t>
            </w:r>
          </w:p>
        </w:tc>
        <w:tc>
          <w:tcPr>
            <w:tcW w:w="2564" w:type="dxa"/>
            <w:noWrap/>
            <w:vAlign w:val="center"/>
          </w:tcPr>
          <w:p w14:paraId="1194DBEC">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电加热，高2.5m</w:t>
            </w:r>
          </w:p>
        </w:tc>
        <w:tc>
          <w:tcPr>
            <w:tcW w:w="925" w:type="dxa"/>
            <w:noWrap/>
            <w:vAlign w:val="center"/>
          </w:tcPr>
          <w:p w14:paraId="602725E4">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1</w:t>
            </w:r>
          </w:p>
        </w:tc>
        <w:tc>
          <w:tcPr>
            <w:tcW w:w="953" w:type="dxa"/>
            <w:noWrap/>
            <w:vAlign w:val="center"/>
          </w:tcPr>
          <w:p w14:paraId="74E17CC0">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4C5CC39C">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w:t>
            </w:r>
          </w:p>
        </w:tc>
        <w:tc>
          <w:tcPr>
            <w:tcW w:w="765" w:type="dxa"/>
            <w:noWrap/>
            <w:vAlign w:val="center"/>
          </w:tcPr>
          <w:p w14:paraId="42C3AD1D">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w:t>
            </w:r>
          </w:p>
        </w:tc>
        <w:tc>
          <w:tcPr>
            <w:tcW w:w="1053" w:type="dxa"/>
            <w:noWrap/>
            <w:vAlign w:val="center"/>
          </w:tcPr>
          <w:p w14:paraId="4BB90852">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i w:val="0"/>
                <w:iCs w:val="0"/>
                <w:color w:val="auto"/>
                <w:kern w:val="0"/>
                <w:sz w:val="21"/>
                <w:szCs w:val="21"/>
                <w:u w:val="none"/>
                <w:lang w:val="en-US" w:eastAsia="zh-CN" w:bidi="ar"/>
              </w:rPr>
              <w:t>/</w:t>
            </w:r>
          </w:p>
        </w:tc>
        <w:tc>
          <w:tcPr>
            <w:tcW w:w="2547" w:type="dxa"/>
            <w:noWrap/>
            <w:vAlign w:val="center"/>
          </w:tcPr>
          <w:p w14:paraId="360B43CD">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eastAsia" w:ascii="宋体" w:hAnsi="宋体" w:eastAsia="宋体" w:cs="宋体"/>
                <w:i w:val="0"/>
                <w:iCs w:val="0"/>
                <w:color w:val="auto"/>
                <w:kern w:val="0"/>
                <w:sz w:val="21"/>
                <w:szCs w:val="21"/>
                <w:u w:val="none"/>
                <w:lang w:val="en-US" w:eastAsia="zh-CN" w:bidi="ar"/>
              </w:rPr>
              <w:t>不再建设</w:t>
            </w:r>
          </w:p>
        </w:tc>
      </w:tr>
      <w:tr w14:paraId="137A0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restart"/>
            <w:vAlign w:val="center"/>
          </w:tcPr>
          <w:p w14:paraId="739CC857">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eastAsia" w:ascii="Times New Roman" w:hAnsi="Times New Roman" w:eastAsia="宋体" w:cs="Times New Roman"/>
                <w:color w:val="auto"/>
                <w:kern w:val="0"/>
                <w:sz w:val="21"/>
                <w:szCs w:val="21"/>
                <w:lang w:val="en-US" w:eastAsia="zh-CN" w:bidi="ar"/>
              </w:rPr>
              <w:t>4</w:t>
            </w:r>
            <w:r>
              <w:rPr>
                <w:rFonts w:hint="default" w:ascii="Times New Roman" w:hAnsi="Times New Roman" w:eastAsia="宋体" w:cs="Times New Roman"/>
                <w:color w:val="auto"/>
                <w:kern w:val="0"/>
                <w:sz w:val="21"/>
                <w:szCs w:val="21"/>
                <w:lang w:bidi="ar"/>
              </w:rPr>
              <w:t>#</w:t>
            </w:r>
            <w:r>
              <w:rPr>
                <w:rFonts w:hint="eastAsia" w:ascii="Times New Roman" w:hAnsi="Times New Roman" w:eastAsia="宋体" w:cs="Times New Roman"/>
                <w:color w:val="auto"/>
                <w:kern w:val="0"/>
                <w:sz w:val="21"/>
                <w:szCs w:val="21"/>
                <w:lang w:val="en-US" w:eastAsia="zh-CN" w:bidi="ar"/>
              </w:rPr>
              <w:t>钢带</w:t>
            </w:r>
            <w:r>
              <w:rPr>
                <w:rFonts w:hint="default" w:ascii="Times New Roman" w:hAnsi="Times New Roman" w:eastAsia="宋体" w:cs="Times New Roman"/>
                <w:color w:val="auto"/>
                <w:kern w:val="0"/>
                <w:sz w:val="21"/>
                <w:szCs w:val="21"/>
                <w:lang w:bidi="ar"/>
              </w:rPr>
              <w:t>镀镍线</w:t>
            </w:r>
          </w:p>
        </w:tc>
        <w:tc>
          <w:tcPr>
            <w:tcW w:w="2238" w:type="dxa"/>
            <w:gridSpan w:val="2"/>
            <w:noWrap/>
            <w:vAlign w:val="center"/>
          </w:tcPr>
          <w:p w14:paraId="0F44DD02">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传动装置</w:t>
            </w:r>
          </w:p>
        </w:tc>
        <w:tc>
          <w:tcPr>
            <w:tcW w:w="2564" w:type="dxa"/>
            <w:noWrap/>
            <w:vAlign w:val="center"/>
          </w:tcPr>
          <w:p w14:paraId="5F0DD293">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925" w:type="dxa"/>
            <w:noWrap/>
            <w:vAlign w:val="center"/>
          </w:tcPr>
          <w:p w14:paraId="7FF71DB2">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1</w:t>
            </w:r>
          </w:p>
        </w:tc>
        <w:tc>
          <w:tcPr>
            <w:tcW w:w="953" w:type="dxa"/>
            <w:noWrap/>
            <w:vAlign w:val="center"/>
          </w:tcPr>
          <w:p w14:paraId="04AC727E">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39988B4D">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noWrap/>
            <w:vAlign w:val="center"/>
          </w:tcPr>
          <w:p w14:paraId="0D851ACF">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1053" w:type="dxa"/>
            <w:noWrap/>
            <w:vAlign w:val="center"/>
          </w:tcPr>
          <w:p w14:paraId="2CA8EE70">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noWrap/>
            <w:vAlign w:val="center"/>
          </w:tcPr>
          <w:p w14:paraId="259F4638">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二期建设</w:t>
            </w:r>
          </w:p>
        </w:tc>
      </w:tr>
      <w:tr w14:paraId="318F7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0CEF88F9">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3ACCB463">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化学除油槽</w:t>
            </w:r>
          </w:p>
        </w:tc>
        <w:tc>
          <w:tcPr>
            <w:tcW w:w="2564" w:type="dxa"/>
            <w:noWrap/>
            <w:vAlign w:val="center"/>
          </w:tcPr>
          <w:p w14:paraId="58E1A0B7">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L1800*W900*H1000</w:t>
            </w:r>
          </w:p>
        </w:tc>
        <w:tc>
          <w:tcPr>
            <w:tcW w:w="925" w:type="dxa"/>
            <w:noWrap/>
            <w:vAlign w:val="center"/>
          </w:tcPr>
          <w:p w14:paraId="28346FB7">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2</w:t>
            </w:r>
          </w:p>
        </w:tc>
        <w:tc>
          <w:tcPr>
            <w:tcW w:w="953" w:type="dxa"/>
            <w:noWrap/>
            <w:vAlign w:val="center"/>
          </w:tcPr>
          <w:p w14:paraId="5A7DDA95">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5842AE0E">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noWrap/>
            <w:vAlign w:val="center"/>
          </w:tcPr>
          <w:p w14:paraId="588AB301">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1053" w:type="dxa"/>
            <w:noWrap/>
            <w:vAlign w:val="center"/>
          </w:tcPr>
          <w:p w14:paraId="5DF9046A">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noWrap/>
            <w:vAlign w:val="center"/>
          </w:tcPr>
          <w:p w14:paraId="447502AD">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二期建设</w:t>
            </w:r>
          </w:p>
        </w:tc>
      </w:tr>
      <w:tr w14:paraId="4F29C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0EFAB314">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26D2AEFB">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水洗槽</w:t>
            </w:r>
          </w:p>
        </w:tc>
        <w:tc>
          <w:tcPr>
            <w:tcW w:w="2564" w:type="dxa"/>
            <w:noWrap/>
            <w:vAlign w:val="center"/>
          </w:tcPr>
          <w:p w14:paraId="24FF4577">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L1000*W850*H650</w:t>
            </w:r>
          </w:p>
        </w:tc>
        <w:tc>
          <w:tcPr>
            <w:tcW w:w="925" w:type="dxa"/>
            <w:noWrap/>
            <w:vAlign w:val="center"/>
          </w:tcPr>
          <w:p w14:paraId="53DE726F">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4</w:t>
            </w:r>
          </w:p>
        </w:tc>
        <w:tc>
          <w:tcPr>
            <w:tcW w:w="953" w:type="dxa"/>
            <w:noWrap/>
            <w:vAlign w:val="center"/>
          </w:tcPr>
          <w:p w14:paraId="5A5035EA">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7BFC17F0">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noWrap/>
            <w:vAlign w:val="center"/>
          </w:tcPr>
          <w:p w14:paraId="21264AB8">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1053" w:type="dxa"/>
            <w:noWrap/>
            <w:vAlign w:val="center"/>
          </w:tcPr>
          <w:p w14:paraId="2C1CF1FF">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noWrap/>
            <w:vAlign w:val="center"/>
          </w:tcPr>
          <w:p w14:paraId="298CE184">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二期建设</w:t>
            </w:r>
          </w:p>
        </w:tc>
      </w:tr>
      <w:tr w14:paraId="6F3DC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3DAC627C">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75FB0FD5">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活化槽</w:t>
            </w:r>
          </w:p>
        </w:tc>
        <w:tc>
          <w:tcPr>
            <w:tcW w:w="2564" w:type="dxa"/>
            <w:noWrap/>
            <w:vAlign w:val="center"/>
          </w:tcPr>
          <w:p w14:paraId="276F3FFB">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L1000*W850*H650</w:t>
            </w:r>
          </w:p>
        </w:tc>
        <w:tc>
          <w:tcPr>
            <w:tcW w:w="925" w:type="dxa"/>
            <w:noWrap/>
            <w:vAlign w:val="center"/>
          </w:tcPr>
          <w:p w14:paraId="596C6BB0">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1</w:t>
            </w:r>
          </w:p>
        </w:tc>
        <w:tc>
          <w:tcPr>
            <w:tcW w:w="953" w:type="dxa"/>
            <w:noWrap/>
            <w:vAlign w:val="center"/>
          </w:tcPr>
          <w:p w14:paraId="19A4FDC2">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77371627">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noWrap/>
            <w:vAlign w:val="center"/>
          </w:tcPr>
          <w:p w14:paraId="5BA6C5F1">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1053" w:type="dxa"/>
            <w:noWrap/>
            <w:vAlign w:val="center"/>
          </w:tcPr>
          <w:p w14:paraId="25F63C2D">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noWrap/>
            <w:vAlign w:val="center"/>
          </w:tcPr>
          <w:p w14:paraId="2B6ED929">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二期建设</w:t>
            </w:r>
          </w:p>
        </w:tc>
      </w:tr>
      <w:tr w14:paraId="1E0D9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11E9DEF8">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26FE4AF1">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水洗槽</w:t>
            </w:r>
          </w:p>
        </w:tc>
        <w:tc>
          <w:tcPr>
            <w:tcW w:w="2564" w:type="dxa"/>
            <w:noWrap/>
            <w:vAlign w:val="center"/>
          </w:tcPr>
          <w:p w14:paraId="1C5CB9A2">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L1000*W850*H650</w:t>
            </w:r>
          </w:p>
        </w:tc>
        <w:tc>
          <w:tcPr>
            <w:tcW w:w="925" w:type="dxa"/>
            <w:noWrap/>
            <w:vAlign w:val="center"/>
          </w:tcPr>
          <w:p w14:paraId="081E4D54">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r>
              <w:rPr>
                <w:rFonts w:hint="default" w:ascii="Times New Roman" w:hAnsi="Times New Roman" w:eastAsia="等线" w:cs="Times New Roman"/>
                <w:color w:val="auto"/>
                <w:kern w:val="2"/>
                <w:sz w:val="21"/>
                <w:szCs w:val="21"/>
              </w:rPr>
              <w:t>1</w:t>
            </w:r>
          </w:p>
        </w:tc>
        <w:tc>
          <w:tcPr>
            <w:tcW w:w="953" w:type="dxa"/>
            <w:noWrap/>
            <w:vAlign w:val="center"/>
          </w:tcPr>
          <w:p w14:paraId="3F64E05C">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68C0956A">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noWrap/>
            <w:vAlign w:val="center"/>
          </w:tcPr>
          <w:p w14:paraId="64099356">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1053" w:type="dxa"/>
            <w:noWrap/>
            <w:vAlign w:val="center"/>
          </w:tcPr>
          <w:p w14:paraId="4FC2B426">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noWrap/>
            <w:vAlign w:val="center"/>
          </w:tcPr>
          <w:p w14:paraId="72327534">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二期建设</w:t>
            </w:r>
          </w:p>
        </w:tc>
      </w:tr>
      <w:tr w14:paraId="1C6FC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687770ED">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41AAA708">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镀镍槽</w:t>
            </w:r>
          </w:p>
        </w:tc>
        <w:tc>
          <w:tcPr>
            <w:tcW w:w="2564" w:type="dxa"/>
            <w:noWrap/>
            <w:vAlign w:val="center"/>
          </w:tcPr>
          <w:p w14:paraId="6D2B711E">
            <w:pPr>
              <w:widowControl/>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0"/>
                <w:sz w:val="21"/>
                <w:szCs w:val="21"/>
                <w:lang w:bidi="ar"/>
              </w:rPr>
              <w:t>L2300*W5</w:t>
            </w:r>
            <w:r>
              <w:rPr>
                <w:rFonts w:hint="eastAsia" w:ascii="Times New Roman" w:hAnsi="Times New Roman" w:eastAsia="宋体" w:cs="Times New Roman"/>
                <w:color w:val="auto"/>
                <w:kern w:val="0"/>
                <w:sz w:val="21"/>
                <w:szCs w:val="21"/>
                <w:lang w:val="en-US" w:eastAsia="zh-CN" w:bidi="ar"/>
              </w:rPr>
              <w:t>0</w:t>
            </w:r>
            <w:r>
              <w:rPr>
                <w:rFonts w:hint="default" w:ascii="Times New Roman" w:hAnsi="Times New Roman" w:eastAsia="宋体" w:cs="Times New Roman"/>
                <w:color w:val="auto"/>
                <w:kern w:val="0"/>
                <w:sz w:val="21"/>
                <w:szCs w:val="21"/>
                <w:lang w:bidi="ar"/>
              </w:rPr>
              <w:t>0*H50</w:t>
            </w:r>
            <w:r>
              <w:rPr>
                <w:rFonts w:hint="eastAsia" w:ascii="Times New Roman" w:hAnsi="Times New Roman" w:eastAsia="宋体" w:cs="Times New Roman"/>
                <w:color w:val="auto"/>
                <w:kern w:val="0"/>
                <w:sz w:val="21"/>
                <w:szCs w:val="21"/>
                <w:lang w:val="en-US" w:eastAsia="zh-CN" w:bidi="ar"/>
              </w:rPr>
              <w:t>0</w:t>
            </w:r>
          </w:p>
        </w:tc>
        <w:tc>
          <w:tcPr>
            <w:tcW w:w="925" w:type="dxa"/>
            <w:noWrap/>
            <w:vAlign w:val="center"/>
          </w:tcPr>
          <w:p w14:paraId="0CD3CB6D">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2</w:t>
            </w:r>
          </w:p>
        </w:tc>
        <w:tc>
          <w:tcPr>
            <w:tcW w:w="953" w:type="dxa"/>
            <w:noWrap/>
            <w:vAlign w:val="center"/>
          </w:tcPr>
          <w:p w14:paraId="52FBE3E2">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7F947026">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noWrap/>
            <w:vAlign w:val="center"/>
          </w:tcPr>
          <w:p w14:paraId="3A46B889">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1053" w:type="dxa"/>
            <w:noWrap/>
            <w:vAlign w:val="center"/>
          </w:tcPr>
          <w:p w14:paraId="64C5FADB">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noWrap/>
            <w:vAlign w:val="center"/>
          </w:tcPr>
          <w:p w14:paraId="331ABBD3">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二期建设</w:t>
            </w:r>
          </w:p>
        </w:tc>
      </w:tr>
      <w:tr w14:paraId="40974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4C4D4E15">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405024D1">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回收槽</w:t>
            </w:r>
          </w:p>
        </w:tc>
        <w:tc>
          <w:tcPr>
            <w:tcW w:w="2564" w:type="dxa"/>
            <w:noWrap/>
            <w:vAlign w:val="center"/>
          </w:tcPr>
          <w:p w14:paraId="2F2F9013">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L1000*W850*H650</w:t>
            </w:r>
          </w:p>
        </w:tc>
        <w:tc>
          <w:tcPr>
            <w:tcW w:w="925" w:type="dxa"/>
            <w:noWrap/>
            <w:vAlign w:val="center"/>
          </w:tcPr>
          <w:p w14:paraId="55576431">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1</w:t>
            </w:r>
          </w:p>
        </w:tc>
        <w:tc>
          <w:tcPr>
            <w:tcW w:w="953" w:type="dxa"/>
            <w:noWrap/>
            <w:vAlign w:val="center"/>
          </w:tcPr>
          <w:p w14:paraId="7D0E2E7C">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1F813C94">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noWrap/>
            <w:vAlign w:val="center"/>
          </w:tcPr>
          <w:p w14:paraId="2C673410">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1053" w:type="dxa"/>
            <w:noWrap/>
            <w:vAlign w:val="center"/>
          </w:tcPr>
          <w:p w14:paraId="74E27617">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noWrap/>
            <w:vAlign w:val="center"/>
          </w:tcPr>
          <w:p w14:paraId="6841B4A2">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二期建设</w:t>
            </w:r>
          </w:p>
        </w:tc>
      </w:tr>
      <w:tr w14:paraId="5FC47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6558DDA2">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2D7571A1">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水洗槽</w:t>
            </w:r>
          </w:p>
        </w:tc>
        <w:tc>
          <w:tcPr>
            <w:tcW w:w="2564" w:type="dxa"/>
            <w:noWrap/>
            <w:vAlign w:val="center"/>
          </w:tcPr>
          <w:p w14:paraId="75D9A5FE">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L1000*W850*H650</w:t>
            </w:r>
          </w:p>
        </w:tc>
        <w:tc>
          <w:tcPr>
            <w:tcW w:w="925" w:type="dxa"/>
            <w:noWrap/>
            <w:vAlign w:val="center"/>
          </w:tcPr>
          <w:p w14:paraId="39D5A30E">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4</w:t>
            </w:r>
          </w:p>
        </w:tc>
        <w:tc>
          <w:tcPr>
            <w:tcW w:w="953" w:type="dxa"/>
            <w:noWrap/>
            <w:vAlign w:val="center"/>
          </w:tcPr>
          <w:p w14:paraId="39AF4A9D">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48F8BFAB">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noWrap/>
            <w:vAlign w:val="center"/>
          </w:tcPr>
          <w:p w14:paraId="33E3A83E">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1053" w:type="dxa"/>
            <w:noWrap/>
            <w:vAlign w:val="center"/>
          </w:tcPr>
          <w:p w14:paraId="3E484E92">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noWrap/>
            <w:vAlign w:val="center"/>
          </w:tcPr>
          <w:p w14:paraId="0508288B">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二期建设</w:t>
            </w:r>
          </w:p>
        </w:tc>
      </w:tr>
      <w:tr w14:paraId="2BE6A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shd w:val="clear" w:color="auto" w:fill="auto"/>
            <w:vAlign w:val="center"/>
          </w:tcPr>
          <w:p w14:paraId="386F9C52">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shd w:val="clear" w:color="auto" w:fill="auto"/>
            <w:noWrap/>
            <w:vAlign w:val="center"/>
          </w:tcPr>
          <w:p w14:paraId="02FD7B33">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立式烘干机</w:t>
            </w:r>
          </w:p>
        </w:tc>
        <w:tc>
          <w:tcPr>
            <w:tcW w:w="2564" w:type="dxa"/>
            <w:shd w:val="clear" w:color="auto" w:fill="auto"/>
            <w:noWrap/>
            <w:vAlign w:val="center"/>
          </w:tcPr>
          <w:p w14:paraId="16066DE7">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电加热，高2.5m</w:t>
            </w:r>
          </w:p>
        </w:tc>
        <w:tc>
          <w:tcPr>
            <w:tcW w:w="925" w:type="dxa"/>
            <w:shd w:val="clear" w:color="auto" w:fill="auto"/>
            <w:noWrap/>
            <w:vAlign w:val="center"/>
          </w:tcPr>
          <w:p w14:paraId="2B136FAE">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1</w:t>
            </w:r>
          </w:p>
        </w:tc>
        <w:tc>
          <w:tcPr>
            <w:tcW w:w="953" w:type="dxa"/>
            <w:shd w:val="clear" w:color="auto" w:fill="auto"/>
            <w:noWrap/>
            <w:vAlign w:val="center"/>
          </w:tcPr>
          <w:p w14:paraId="59859F01">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215" w:type="dxa"/>
            <w:shd w:val="clear" w:color="auto" w:fill="auto"/>
            <w:noWrap/>
            <w:vAlign w:val="center"/>
          </w:tcPr>
          <w:p w14:paraId="249D4676">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shd w:val="clear" w:color="auto" w:fill="auto"/>
            <w:noWrap/>
            <w:vAlign w:val="center"/>
          </w:tcPr>
          <w:p w14:paraId="71508F62">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1053" w:type="dxa"/>
            <w:shd w:val="clear" w:color="auto" w:fill="auto"/>
            <w:noWrap/>
            <w:vAlign w:val="center"/>
          </w:tcPr>
          <w:p w14:paraId="6B5E7702">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shd w:val="clear" w:color="auto" w:fill="auto"/>
            <w:noWrap/>
            <w:vAlign w:val="center"/>
          </w:tcPr>
          <w:p w14:paraId="3B849BE3">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二期建设</w:t>
            </w:r>
          </w:p>
        </w:tc>
      </w:tr>
      <w:tr w14:paraId="60922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13979" w:type="dxa"/>
            <w:gridSpan w:val="10"/>
            <w:shd w:val="clear" w:color="auto" w:fill="auto"/>
            <w:vAlign w:val="center"/>
          </w:tcPr>
          <w:p w14:paraId="592339A1">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钢壳</w:t>
            </w:r>
          </w:p>
        </w:tc>
      </w:tr>
      <w:tr w14:paraId="4BDF3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restart"/>
            <w:vAlign w:val="center"/>
          </w:tcPr>
          <w:p w14:paraId="037AD819">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钢壳线（1条生产线）</w:t>
            </w:r>
          </w:p>
        </w:tc>
        <w:tc>
          <w:tcPr>
            <w:tcW w:w="2238" w:type="dxa"/>
            <w:gridSpan w:val="2"/>
            <w:vMerge w:val="restart"/>
            <w:noWrap/>
            <w:vAlign w:val="center"/>
          </w:tcPr>
          <w:p w14:paraId="5CB8F3BD">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冲床</w:t>
            </w:r>
          </w:p>
        </w:tc>
        <w:tc>
          <w:tcPr>
            <w:tcW w:w="2564" w:type="dxa"/>
            <w:noWrap/>
            <w:vAlign w:val="center"/>
          </w:tcPr>
          <w:p w14:paraId="1BA0D656">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20t</w:t>
            </w:r>
          </w:p>
        </w:tc>
        <w:tc>
          <w:tcPr>
            <w:tcW w:w="925" w:type="dxa"/>
            <w:noWrap/>
            <w:vAlign w:val="center"/>
          </w:tcPr>
          <w:p w14:paraId="2689E9FB">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5</w:t>
            </w:r>
          </w:p>
        </w:tc>
        <w:tc>
          <w:tcPr>
            <w:tcW w:w="953" w:type="dxa"/>
            <w:noWrap/>
            <w:vAlign w:val="center"/>
          </w:tcPr>
          <w:p w14:paraId="0BEF5FB1">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17F11C20">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noWrap/>
            <w:vAlign w:val="center"/>
          </w:tcPr>
          <w:p w14:paraId="234D7E0A">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1053" w:type="dxa"/>
            <w:noWrap/>
            <w:vAlign w:val="center"/>
          </w:tcPr>
          <w:p w14:paraId="414542E2">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noWrap/>
            <w:vAlign w:val="center"/>
          </w:tcPr>
          <w:p w14:paraId="3663BD6A">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二期建设</w:t>
            </w:r>
          </w:p>
        </w:tc>
      </w:tr>
      <w:tr w14:paraId="12733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14B873A1">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vMerge w:val="continue"/>
            <w:noWrap/>
            <w:vAlign w:val="center"/>
          </w:tcPr>
          <w:p w14:paraId="11F96345">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564" w:type="dxa"/>
            <w:noWrap/>
            <w:vAlign w:val="center"/>
          </w:tcPr>
          <w:p w14:paraId="6D5C2551">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60t</w:t>
            </w:r>
          </w:p>
        </w:tc>
        <w:tc>
          <w:tcPr>
            <w:tcW w:w="925" w:type="dxa"/>
            <w:noWrap/>
            <w:vAlign w:val="center"/>
          </w:tcPr>
          <w:p w14:paraId="25CCDFA1">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5</w:t>
            </w:r>
          </w:p>
        </w:tc>
        <w:tc>
          <w:tcPr>
            <w:tcW w:w="953" w:type="dxa"/>
            <w:noWrap/>
            <w:vAlign w:val="center"/>
          </w:tcPr>
          <w:p w14:paraId="5D7ED393">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616772F6">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noWrap/>
            <w:vAlign w:val="center"/>
          </w:tcPr>
          <w:p w14:paraId="47604CF9">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1053" w:type="dxa"/>
            <w:noWrap/>
            <w:vAlign w:val="center"/>
          </w:tcPr>
          <w:p w14:paraId="43FA96DD">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noWrap/>
            <w:vAlign w:val="center"/>
          </w:tcPr>
          <w:p w14:paraId="470B7482">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二期建设</w:t>
            </w:r>
          </w:p>
        </w:tc>
      </w:tr>
      <w:tr w14:paraId="679D7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519666E5">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2C845528">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化学除油槽</w:t>
            </w:r>
          </w:p>
        </w:tc>
        <w:tc>
          <w:tcPr>
            <w:tcW w:w="2564" w:type="dxa"/>
            <w:noWrap/>
            <w:vAlign w:val="center"/>
          </w:tcPr>
          <w:p w14:paraId="784055CC">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L2000*W3600*H1100</w:t>
            </w:r>
          </w:p>
        </w:tc>
        <w:tc>
          <w:tcPr>
            <w:tcW w:w="925" w:type="dxa"/>
            <w:noWrap/>
            <w:vAlign w:val="center"/>
          </w:tcPr>
          <w:p w14:paraId="523C8831">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5</w:t>
            </w:r>
          </w:p>
        </w:tc>
        <w:tc>
          <w:tcPr>
            <w:tcW w:w="953" w:type="dxa"/>
            <w:noWrap/>
            <w:vAlign w:val="center"/>
          </w:tcPr>
          <w:p w14:paraId="7748DFDF">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3C34EAA6">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noWrap/>
            <w:vAlign w:val="center"/>
          </w:tcPr>
          <w:p w14:paraId="375125C1">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1053" w:type="dxa"/>
            <w:noWrap/>
            <w:vAlign w:val="center"/>
          </w:tcPr>
          <w:p w14:paraId="6A04AB8D">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noWrap/>
            <w:vAlign w:val="center"/>
          </w:tcPr>
          <w:p w14:paraId="50D98A56">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二期建设</w:t>
            </w:r>
          </w:p>
        </w:tc>
      </w:tr>
      <w:tr w14:paraId="1FB56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101260F7">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53B4780D">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水洗槽</w:t>
            </w:r>
          </w:p>
        </w:tc>
        <w:tc>
          <w:tcPr>
            <w:tcW w:w="2564" w:type="dxa"/>
            <w:noWrap/>
            <w:vAlign w:val="center"/>
          </w:tcPr>
          <w:p w14:paraId="242C1E70">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L2000*W900*H1100</w:t>
            </w:r>
          </w:p>
        </w:tc>
        <w:tc>
          <w:tcPr>
            <w:tcW w:w="925" w:type="dxa"/>
            <w:noWrap/>
            <w:vAlign w:val="center"/>
          </w:tcPr>
          <w:p w14:paraId="6CE72613">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2</w:t>
            </w:r>
          </w:p>
        </w:tc>
        <w:tc>
          <w:tcPr>
            <w:tcW w:w="953" w:type="dxa"/>
            <w:noWrap/>
            <w:vAlign w:val="center"/>
          </w:tcPr>
          <w:p w14:paraId="6ED04991">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30D82033">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noWrap/>
            <w:vAlign w:val="center"/>
          </w:tcPr>
          <w:p w14:paraId="3FD4D09A">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1053" w:type="dxa"/>
            <w:noWrap/>
            <w:vAlign w:val="center"/>
          </w:tcPr>
          <w:p w14:paraId="0923A664">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noWrap/>
            <w:vAlign w:val="center"/>
          </w:tcPr>
          <w:p w14:paraId="103179ED">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二期建设</w:t>
            </w:r>
          </w:p>
        </w:tc>
      </w:tr>
      <w:tr w14:paraId="1D135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51C85189">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40562FBE">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热水洗槽</w:t>
            </w:r>
          </w:p>
        </w:tc>
        <w:tc>
          <w:tcPr>
            <w:tcW w:w="2564" w:type="dxa"/>
            <w:noWrap/>
            <w:vAlign w:val="center"/>
          </w:tcPr>
          <w:p w14:paraId="6E8E4DA9">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L2000*W750*H1100</w:t>
            </w:r>
          </w:p>
        </w:tc>
        <w:tc>
          <w:tcPr>
            <w:tcW w:w="925" w:type="dxa"/>
            <w:noWrap/>
            <w:vAlign w:val="center"/>
          </w:tcPr>
          <w:p w14:paraId="55F61517">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1</w:t>
            </w:r>
          </w:p>
        </w:tc>
        <w:tc>
          <w:tcPr>
            <w:tcW w:w="953" w:type="dxa"/>
            <w:noWrap/>
            <w:vAlign w:val="center"/>
          </w:tcPr>
          <w:p w14:paraId="50ED0FE4">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42E58F21">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noWrap/>
            <w:vAlign w:val="center"/>
          </w:tcPr>
          <w:p w14:paraId="473088FE">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1053" w:type="dxa"/>
            <w:noWrap/>
            <w:vAlign w:val="center"/>
          </w:tcPr>
          <w:p w14:paraId="6E13FB41">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noWrap/>
            <w:vAlign w:val="center"/>
          </w:tcPr>
          <w:p w14:paraId="77F49A47">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二期建设</w:t>
            </w:r>
          </w:p>
        </w:tc>
      </w:tr>
      <w:tr w14:paraId="1A06B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0C96465F">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54A90517">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酸洗槽</w:t>
            </w:r>
          </w:p>
        </w:tc>
        <w:tc>
          <w:tcPr>
            <w:tcW w:w="2564" w:type="dxa"/>
            <w:noWrap/>
            <w:vAlign w:val="center"/>
          </w:tcPr>
          <w:p w14:paraId="72B43C9A">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L2000*W750*H1100</w:t>
            </w:r>
          </w:p>
        </w:tc>
        <w:tc>
          <w:tcPr>
            <w:tcW w:w="925" w:type="dxa"/>
            <w:noWrap/>
            <w:vAlign w:val="center"/>
          </w:tcPr>
          <w:p w14:paraId="6B835304">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2</w:t>
            </w:r>
          </w:p>
        </w:tc>
        <w:tc>
          <w:tcPr>
            <w:tcW w:w="953" w:type="dxa"/>
            <w:noWrap/>
            <w:vAlign w:val="center"/>
          </w:tcPr>
          <w:p w14:paraId="47BF661E">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048C10EC">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noWrap/>
            <w:vAlign w:val="center"/>
          </w:tcPr>
          <w:p w14:paraId="6A99E549">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1053" w:type="dxa"/>
            <w:noWrap/>
            <w:vAlign w:val="center"/>
          </w:tcPr>
          <w:p w14:paraId="7D082190">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noWrap/>
            <w:vAlign w:val="center"/>
          </w:tcPr>
          <w:p w14:paraId="28253416">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二期建设</w:t>
            </w:r>
          </w:p>
        </w:tc>
      </w:tr>
      <w:tr w14:paraId="40E7D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6888ADF1">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1BFE6263">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水洗槽</w:t>
            </w:r>
          </w:p>
        </w:tc>
        <w:tc>
          <w:tcPr>
            <w:tcW w:w="2564" w:type="dxa"/>
            <w:noWrap/>
            <w:vAlign w:val="center"/>
          </w:tcPr>
          <w:p w14:paraId="38044C60">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L2000*W750*H1100</w:t>
            </w:r>
          </w:p>
        </w:tc>
        <w:tc>
          <w:tcPr>
            <w:tcW w:w="925" w:type="dxa"/>
            <w:noWrap/>
            <w:vAlign w:val="center"/>
          </w:tcPr>
          <w:p w14:paraId="0AD22C24">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2</w:t>
            </w:r>
          </w:p>
        </w:tc>
        <w:tc>
          <w:tcPr>
            <w:tcW w:w="953" w:type="dxa"/>
            <w:noWrap/>
            <w:vAlign w:val="center"/>
          </w:tcPr>
          <w:p w14:paraId="4F13DBCC">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5EB3B71C">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noWrap/>
            <w:vAlign w:val="center"/>
          </w:tcPr>
          <w:p w14:paraId="4DB92449">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1053" w:type="dxa"/>
            <w:noWrap/>
            <w:vAlign w:val="center"/>
          </w:tcPr>
          <w:p w14:paraId="71510DE7">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noWrap/>
            <w:vAlign w:val="center"/>
          </w:tcPr>
          <w:p w14:paraId="4F255CC0">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二期建设</w:t>
            </w:r>
          </w:p>
        </w:tc>
      </w:tr>
      <w:tr w14:paraId="0C20B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2E54142D">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003E59F8">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镀镍槽</w:t>
            </w:r>
          </w:p>
        </w:tc>
        <w:tc>
          <w:tcPr>
            <w:tcW w:w="2564" w:type="dxa"/>
            <w:noWrap/>
            <w:vAlign w:val="center"/>
          </w:tcPr>
          <w:p w14:paraId="616EA092">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L2000*W950*H1100</w:t>
            </w:r>
          </w:p>
        </w:tc>
        <w:tc>
          <w:tcPr>
            <w:tcW w:w="925" w:type="dxa"/>
            <w:noWrap/>
            <w:vAlign w:val="center"/>
          </w:tcPr>
          <w:p w14:paraId="1FBBC0BD">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28</w:t>
            </w:r>
          </w:p>
        </w:tc>
        <w:tc>
          <w:tcPr>
            <w:tcW w:w="953" w:type="dxa"/>
            <w:noWrap/>
            <w:vAlign w:val="center"/>
          </w:tcPr>
          <w:p w14:paraId="1569D501">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2A302220">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noWrap/>
            <w:vAlign w:val="center"/>
          </w:tcPr>
          <w:p w14:paraId="3BA4684D">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1053" w:type="dxa"/>
            <w:noWrap/>
            <w:vAlign w:val="center"/>
          </w:tcPr>
          <w:p w14:paraId="727FD122">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noWrap/>
            <w:vAlign w:val="center"/>
          </w:tcPr>
          <w:p w14:paraId="399279E2">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二期建设</w:t>
            </w:r>
          </w:p>
        </w:tc>
      </w:tr>
      <w:tr w14:paraId="19A4B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0431F1C7">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26872428">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回收槽</w:t>
            </w:r>
          </w:p>
        </w:tc>
        <w:tc>
          <w:tcPr>
            <w:tcW w:w="2564" w:type="dxa"/>
            <w:noWrap/>
            <w:vAlign w:val="center"/>
          </w:tcPr>
          <w:p w14:paraId="57314328">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L2000*W740*H1100</w:t>
            </w:r>
          </w:p>
        </w:tc>
        <w:tc>
          <w:tcPr>
            <w:tcW w:w="925" w:type="dxa"/>
            <w:noWrap/>
            <w:vAlign w:val="center"/>
          </w:tcPr>
          <w:p w14:paraId="32FB2D6D">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2</w:t>
            </w:r>
          </w:p>
        </w:tc>
        <w:tc>
          <w:tcPr>
            <w:tcW w:w="953" w:type="dxa"/>
            <w:noWrap/>
            <w:vAlign w:val="center"/>
          </w:tcPr>
          <w:p w14:paraId="58354E89">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5D5965F2">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noWrap/>
            <w:vAlign w:val="center"/>
          </w:tcPr>
          <w:p w14:paraId="1708152B">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1053" w:type="dxa"/>
            <w:noWrap/>
            <w:vAlign w:val="center"/>
          </w:tcPr>
          <w:p w14:paraId="295BBD16">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noWrap/>
            <w:vAlign w:val="center"/>
          </w:tcPr>
          <w:p w14:paraId="6D149CFC">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二期建设</w:t>
            </w:r>
          </w:p>
        </w:tc>
      </w:tr>
      <w:tr w14:paraId="4663C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45C464FA">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55BBA1A6">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水洗槽</w:t>
            </w:r>
          </w:p>
        </w:tc>
        <w:tc>
          <w:tcPr>
            <w:tcW w:w="2564" w:type="dxa"/>
            <w:noWrap/>
            <w:vAlign w:val="center"/>
          </w:tcPr>
          <w:p w14:paraId="6AC35690">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L2000*W740*H1100</w:t>
            </w:r>
          </w:p>
        </w:tc>
        <w:tc>
          <w:tcPr>
            <w:tcW w:w="925" w:type="dxa"/>
            <w:noWrap/>
            <w:vAlign w:val="center"/>
          </w:tcPr>
          <w:p w14:paraId="7434A656">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2</w:t>
            </w:r>
          </w:p>
        </w:tc>
        <w:tc>
          <w:tcPr>
            <w:tcW w:w="953" w:type="dxa"/>
            <w:noWrap/>
            <w:vAlign w:val="center"/>
          </w:tcPr>
          <w:p w14:paraId="4B755D4F">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431FCE4D">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noWrap/>
            <w:vAlign w:val="center"/>
          </w:tcPr>
          <w:p w14:paraId="7F8C376E">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1053" w:type="dxa"/>
            <w:noWrap/>
            <w:vAlign w:val="center"/>
          </w:tcPr>
          <w:p w14:paraId="086C03B9">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noWrap/>
            <w:vAlign w:val="center"/>
          </w:tcPr>
          <w:p w14:paraId="386D5C86">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二期建设</w:t>
            </w:r>
          </w:p>
        </w:tc>
      </w:tr>
      <w:tr w14:paraId="2FA24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73485068">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61C4043C">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漂白槽</w:t>
            </w:r>
          </w:p>
        </w:tc>
        <w:tc>
          <w:tcPr>
            <w:tcW w:w="2564" w:type="dxa"/>
            <w:noWrap/>
            <w:vAlign w:val="center"/>
          </w:tcPr>
          <w:p w14:paraId="10182CA2">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L2000*W740*H1100</w:t>
            </w:r>
          </w:p>
        </w:tc>
        <w:tc>
          <w:tcPr>
            <w:tcW w:w="925" w:type="dxa"/>
            <w:noWrap/>
            <w:vAlign w:val="center"/>
          </w:tcPr>
          <w:p w14:paraId="3E375125">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2</w:t>
            </w:r>
          </w:p>
        </w:tc>
        <w:tc>
          <w:tcPr>
            <w:tcW w:w="953" w:type="dxa"/>
            <w:noWrap/>
            <w:vAlign w:val="center"/>
          </w:tcPr>
          <w:p w14:paraId="7C968E68">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162C0046">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noWrap/>
            <w:vAlign w:val="center"/>
          </w:tcPr>
          <w:p w14:paraId="4D85F300">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1053" w:type="dxa"/>
            <w:noWrap/>
            <w:vAlign w:val="center"/>
          </w:tcPr>
          <w:p w14:paraId="471F8D9B">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noWrap/>
            <w:vAlign w:val="center"/>
          </w:tcPr>
          <w:p w14:paraId="7A4CC7AF">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二期建设</w:t>
            </w:r>
          </w:p>
        </w:tc>
      </w:tr>
      <w:tr w14:paraId="1F953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74EEFC29">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21E91D2E">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水洗槽</w:t>
            </w:r>
          </w:p>
        </w:tc>
        <w:tc>
          <w:tcPr>
            <w:tcW w:w="2564" w:type="dxa"/>
            <w:noWrap/>
            <w:vAlign w:val="center"/>
          </w:tcPr>
          <w:p w14:paraId="110AFB52">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L2000*W745*H1100</w:t>
            </w:r>
          </w:p>
        </w:tc>
        <w:tc>
          <w:tcPr>
            <w:tcW w:w="925" w:type="dxa"/>
            <w:noWrap/>
            <w:vAlign w:val="center"/>
          </w:tcPr>
          <w:p w14:paraId="6876D002">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2</w:t>
            </w:r>
          </w:p>
        </w:tc>
        <w:tc>
          <w:tcPr>
            <w:tcW w:w="953" w:type="dxa"/>
            <w:noWrap/>
            <w:vAlign w:val="center"/>
          </w:tcPr>
          <w:p w14:paraId="117DECF4">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1B0B4733">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noWrap/>
            <w:vAlign w:val="center"/>
          </w:tcPr>
          <w:p w14:paraId="7F7E7563">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1053" w:type="dxa"/>
            <w:noWrap/>
            <w:vAlign w:val="center"/>
          </w:tcPr>
          <w:p w14:paraId="1BE309CA">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noWrap/>
            <w:vAlign w:val="center"/>
          </w:tcPr>
          <w:p w14:paraId="282E0B73">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二期建设</w:t>
            </w:r>
          </w:p>
        </w:tc>
      </w:tr>
      <w:tr w14:paraId="2C7CF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3011FD07">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1393EBE0">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中和槽</w:t>
            </w:r>
          </w:p>
        </w:tc>
        <w:tc>
          <w:tcPr>
            <w:tcW w:w="2564" w:type="dxa"/>
            <w:noWrap/>
            <w:vAlign w:val="center"/>
          </w:tcPr>
          <w:p w14:paraId="089C144F">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L2000*W738*H1100</w:t>
            </w:r>
          </w:p>
        </w:tc>
        <w:tc>
          <w:tcPr>
            <w:tcW w:w="925" w:type="dxa"/>
            <w:noWrap/>
            <w:vAlign w:val="center"/>
          </w:tcPr>
          <w:p w14:paraId="2E276D16">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2</w:t>
            </w:r>
          </w:p>
        </w:tc>
        <w:tc>
          <w:tcPr>
            <w:tcW w:w="953" w:type="dxa"/>
            <w:noWrap/>
            <w:vAlign w:val="center"/>
          </w:tcPr>
          <w:p w14:paraId="5ACD67D1">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0CC02A8B">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noWrap/>
            <w:vAlign w:val="center"/>
          </w:tcPr>
          <w:p w14:paraId="51E74D63">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1053" w:type="dxa"/>
            <w:noWrap/>
            <w:vAlign w:val="center"/>
          </w:tcPr>
          <w:p w14:paraId="55D19F5D">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noWrap/>
            <w:vAlign w:val="center"/>
          </w:tcPr>
          <w:p w14:paraId="57A7217D">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二期建设</w:t>
            </w:r>
          </w:p>
        </w:tc>
      </w:tr>
      <w:tr w14:paraId="6A35B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276EFD9E">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20395164">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水洗槽</w:t>
            </w:r>
          </w:p>
        </w:tc>
        <w:tc>
          <w:tcPr>
            <w:tcW w:w="2564" w:type="dxa"/>
            <w:noWrap/>
            <w:vAlign w:val="center"/>
          </w:tcPr>
          <w:p w14:paraId="0F158254">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L2000*W745*H1100</w:t>
            </w:r>
          </w:p>
        </w:tc>
        <w:tc>
          <w:tcPr>
            <w:tcW w:w="925" w:type="dxa"/>
            <w:noWrap/>
            <w:vAlign w:val="center"/>
          </w:tcPr>
          <w:p w14:paraId="7712E17A">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2</w:t>
            </w:r>
          </w:p>
        </w:tc>
        <w:tc>
          <w:tcPr>
            <w:tcW w:w="953" w:type="dxa"/>
            <w:noWrap/>
            <w:vAlign w:val="center"/>
          </w:tcPr>
          <w:p w14:paraId="2CBF9277">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07D92562">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noWrap/>
            <w:vAlign w:val="center"/>
          </w:tcPr>
          <w:p w14:paraId="05BBF33A">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1053" w:type="dxa"/>
            <w:noWrap/>
            <w:vAlign w:val="center"/>
          </w:tcPr>
          <w:p w14:paraId="30C9B3B4">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noWrap/>
            <w:vAlign w:val="center"/>
          </w:tcPr>
          <w:p w14:paraId="7C0AA0BD">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二期建设</w:t>
            </w:r>
          </w:p>
        </w:tc>
      </w:tr>
      <w:tr w14:paraId="4A422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05B2D615">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3A0CF886">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钝化槽</w:t>
            </w:r>
          </w:p>
        </w:tc>
        <w:tc>
          <w:tcPr>
            <w:tcW w:w="2564" w:type="dxa"/>
            <w:noWrap/>
            <w:vAlign w:val="center"/>
          </w:tcPr>
          <w:p w14:paraId="17CF82AD">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L2000*W738*H1100</w:t>
            </w:r>
          </w:p>
        </w:tc>
        <w:tc>
          <w:tcPr>
            <w:tcW w:w="925" w:type="dxa"/>
            <w:noWrap/>
            <w:vAlign w:val="center"/>
          </w:tcPr>
          <w:p w14:paraId="551ACB0D">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2</w:t>
            </w:r>
          </w:p>
        </w:tc>
        <w:tc>
          <w:tcPr>
            <w:tcW w:w="953" w:type="dxa"/>
            <w:noWrap/>
            <w:vAlign w:val="center"/>
          </w:tcPr>
          <w:p w14:paraId="16BFF79E">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2EBB4277">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noWrap/>
            <w:vAlign w:val="center"/>
          </w:tcPr>
          <w:p w14:paraId="55E15D61">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1053" w:type="dxa"/>
            <w:noWrap/>
            <w:vAlign w:val="center"/>
          </w:tcPr>
          <w:p w14:paraId="27ABC6D9">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noWrap/>
            <w:vAlign w:val="center"/>
          </w:tcPr>
          <w:p w14:paraId="2C6C172F">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二期建设</w:t>
            </w:r>
          </w:p>
        </w:tc>
      </w:tr>
      <w:tr w14:paraId="16686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65964858">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60E81208">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水洗槽</w:t>
            </w:r>
          </w:p>
        </w:tc>
        <w:tc>
          <w:tcPr>
            <w:tcW w:w="2564" w:type="dxa"/>
            <w:noWrap/>
            <w:vAlign w:val="center"/>
          </w:tcPr>
          <w:p w14:paraId="233C3E31">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L2000*W738*H1100</w:t>
            </w:r>
          </w:p>
        </w:tc>
        <w:tc>
          <w:tcPr>
            <w:tcW w:w="925" w:type="dxa"/>
            <w:noWrap/>
            <w:vAlign w:val="center"/>
          </w:tcPr>
          <w:p w14:paraId="2810CE06">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3</w:t>
            </w:r>
          </w:p>
        </w:tc>
        <w:tc>
          <w:tcPr>
            <w:tcW w:w="953" w:type="dxa"/>
            <w:noWrap/>
            <w:vAlign w:val="center"/>
          </w:tcPr>
          <w:p w14:paraId="6BA39B16">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5C072955">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noWrap/>
            <w:vAlign w:val="center"/>
          </w:tcPr>
          <w:p w14:paraId="3B822475">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1053" w:type="dxa"/>
            <w:noWrap/>
            <w:vAlign w:val="center"/>
          </w:tcPr>
          <w:p w14:paraId="168E0ED4">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noWrap/>
            <w:vAlign w:val="center"/>
          </w:tcPr>
          <w:p w14:paraId="7CFE38AB">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二期建设</w:t>
            </w:r>
          </w:p>
        </w:tc>
      </w:tr>
      <w:tr w14:paraId="09A87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513B35E1">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637295A0">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二次中和槽</w:t>
            </w:r>
          </w:p>
        </w:tc>
        <w:tc>
          <w:tcPr>
            <w:tcW w:w="2564" w:type="dxa"/>
            <w:noWrap/>
            <w:vAlign w:val="center"/>
          </w:tcPr>
          <w:p w14:paraId="6949AED6">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L2000*W738*H1100</w:t>
            </w:r>
          </w:p>
        </w:tc>
        <w:tc>
          <w:tcPr>
            <w:tcW w:w="925" w:type="dxa"/>
            <w:noWrap/>
            <w:vAlign w:val="center"/>
          </w:tcPr>
          <w:p w14:paraId="3930F2B9">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2</w:t>
            </w:r>
          </w:p>
        </w:tc>
        <w:tc>
          <w:tcPr>
            <w:tcW w:w="953" w:type="dxa"/>
            <w:noWrap/>
            <w:vAlign w:val="center"/>
          </w:tcPr>
          <w:p w14:paraId="6D994996">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7D8EBA6E">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noWrap/>
            <w:vAlign w:val="center"/>
          </w:tcPr>
          <w:p w14:paraId="78507E9F">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1053" w:type="dxa"/>
            <w:noWrap/>
            <w:vAlign w:val="center"/>
          </w:tcPr>
          <w:p w14:paraId="06CDBBBC">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noWrap/>
            <w:vAlign w:val="center"/>
          </w:tcPr>
          <w:p w14:paraId="3B17CA4A">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二期建设</w:t>
            </w:r>
          </w:p>
        </w:tc>
      </w:tr>
      <w:tr w14:paraId="37BED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78FE6488">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28D22B69">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水洗槽</w:t>
            </w:r>
          </w:p>
        </w:tc>
        <w:tc>
          <w:tcPr>
            <w:tcW w:w="2564" w:type="dxa"/>
            <w:noWrap/>
            <w:vAlign w:val="center"/>
          </w:tcPr>
          <w:p w14:paraId="29DBC8D3">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L2000*W738*H1100</w:t>
            </w:r>
          </w:p>
        </w:tc>
        <w:tc>
          <w:tcPr>
            <w:tcW w:w="925" w:type="dxa"/>
            <w:noWrap/>
            <w:vAlign w:val="center"/>
          </w:tcPr>
          <w:p w14:paraId="7C08A9DD">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2</w:t>
            </w:r>
          </w:p>
        </w:tc>
        <w:tc>
          <w:tcPr>
            <w:tcW w:w="953" w:type="dxa"/>
            <w:noWrap/>
            <w:vAlign w:val="center"/>
          </w:tcPr>
          <w:p w14:paraId="16639191">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057FC1C8">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noWrap/>
            <w:vAlign w:val="center"/>
          </w:tcPr>
          <w:p w14:paraId="586EB617">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1053" w:type="dxa"/>
            <w:noWrap/>
            <w:vAlign w:val="center"/>
          </w:tcPr>
          <w:p w14:paraId="463B9B71">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noWrap/>
            <w:vAlign w:val="center"/>
          </w:tcPr>
          <w:p w14:paraId="222F4DCA">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二期建设</w:t>
            </w:r>
          </w:p>
        </w:tc>
      </w:tr>
      <w:tr w14:paraId="5F920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16FD3639">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44053796">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封闭槽</w:t>
            </w:r>
          </w:p>
        </w:tc>
        <w:tc>
          <w:tcPr>
            <w:tcW w:w="2564" w:type="dxa"/>
            <w:noWrap/>
            <w:vAlign w:val="center"/>
          </w:tcPr>
          <w:p w14:paraId="6AC9EBC4">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L2000*W750*H1100</w:t>
            </w:r>
          </w:p>
        </w:tc>
        <w:tc>
          <w:tcPr>
            <w:tcW w:w="925" w:type="dxa"/>
            <w:noWrap/>
            <w:vAlign w:val="center"/>
          </w:tcPr>
          <w:p w14:paraId="203BBC8B">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3</w:t>
            </w:r>
          </w:p>
        </w:tc>
        <w:tc>
          <w:tcPr>
            <w:tcW w:w="953" w:type="dxa"/>
            <w:noWrap/>
            <w:vAlign w:val="center"/>
          </w:tcPr>
          <w:p w14:paraId="74442EA0">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6AB2BEB5">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noWrap/>
            <w:vAlign w:val="center"/>
          </w:tcPr>
          <w:p w14:paraId="3D8CEB09">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1053" w:type="dxa"/>
            <w:noWrap/>
            <w:vAlign w:val="center"/>
          </w:tcPr>
          <w:p w14:paraId="16B4DE5F">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noWrap/>
            <w:vAlign w:val="center"/>
          </w:tcPr>
          <w:p w14:paraId="70E100B8">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二期建设</w:t>
            </w:r>
          </w:p>
        </w:tc>
      </w:tr>
      <w:tr w14:paraId="4E6C1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4B80B1AC">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416D8A93">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水洗槽</w:t>
            </w:r>
          </w:p>
        </w:tc>
        <w:tc>
          <w:tcPr>
            <w:tcW w:w="2564" w:type="dxa"/>
            <w:noWrap/>
            <w:vAlign w:val="center"/>
          </w:tcPr>
          <w:p w14:paraId="1258B75C">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L2000*W750*H1100</w:t>
            </w:r>
          </w:p>
        </w:tc>
        <w:tc>
          <w:tcPr>
            <w:tcW w:w="925" w:type="dxa"/>
            <w:noWrap/>
            <w:vAlign w:val="center"/>
          </w:tcPr>
          <w:p w14:paraId="00EAD3CC">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2</w:t>
            </w:r>
          </w:p>
        </w:tc>
        <w:tc>
          <w:tcPr>
            <w:tcW w:w="953" w:type="dxa"/>
            <w:noWrap/>
            <w:vAlign w:val="center"/>
          </w:tcPr>
          <w:p w14:paraId="00AA682A">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118BB1CC">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noWrap/>
            <w:vAlign w:val="center"/>
          </w:tcPr>
          <w:p w14:paraId="642DE387">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1053" w:type="dxa"/>
            <w:noWrap/>
            <w:vAlign w:val="center"/>
          </w:tcPr>
          <w:p w14:paraId="3BD50407">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noWrap/>
            <w:vAlign w:val="center"/>
          </w:tcPr>
          <w:p w14:paraId="108670AB">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二期建设</w:t>
            </w:r>
          </w:p>
        </w:tc>
      </w:tr>
      <w:tr w14:paraId="6E2E2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2EBA0944">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3AF9F646">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沥水槽</w:t>
            </w:r>
          </w:p>
        </w:tc>
        <w:tc>
          <w:tcPr>
            <w:tcW w:w="2564" w:type="dxa"/>
            <w:noWrap/>
            <w:vAlign w:val="center"/>
          </w:tcPr>
          <w:p w14:paraId="1A2E9810">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L2000*W750*H1100</w:t>
            </w:r>
          </w:p>
        </w:tc>
        <w:tc>
          <w:tcPr>
            <w:tcW w:w="925" w:type="dxa"/>
            <w:noWrap/>
            <w:vAlign w:val="center"/>
          </w:tcPr>
          <w:p w14:paraId="5A3D8DDA">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2</w:t>
            </w:r>
          </w:p>
        </w:tc>
        <w:tc>
          <w:tcPr>
            <w:tcW w:w="953" w:type="dxa"/>
            <w:noWrap/>
            <w:vAlign w:val="center"/>
          </w:tcPr>
          <w:p w14:paraId="5E2272A4">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700EE95C">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noWrap/>
            <w:vAlign w:val="center"/>
          </w:tcPr>
          <w:p w14:paraId="19523EFC">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1053" w:type="dxa"/>
            <w:noWrap/>
            <w:vAlign w:val="center"/>
          </w:tcPr>
          <w:p w14:paraId="1F09D055">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noWrap/>
            <w:vAlign w:val="center"/>
          </w:tcPr>
          <w:p w14:paraId="062693D0">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二期建设</w:t>
            </w:r>
          </w:p>
        </w:tc>
      </w:tr>
      <w:tr w14:paraId="1789B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76136A91">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60301609">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烘干槽</w:t>
            </w:r>
          </w:p>
        </w:tc>
        <w:tc>
          <w:tcPr>
            <w:tcW w:w="2564" w:type="dxa"/>
            <w:noWrap/>
            <w:vAlign w:val="center"/>
          </w:tcPr>
          <w:p w14:paraId="09821A77">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L2000*W900*H1100</w:t>
            </w:r>
          </w:p>
        </w:tc>
        <w:tc>
          <w:tcPr>
            <w:tcW w:w="925" w:type="dxa"/>
            <w:noWrap/>
            <w:vAlign w:val="center"/>
          </w:tcPr>
          <w:p w14:paraId="788F304C">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4</w:t>
            </w:r>
          </w:p>
        </w:tc>
        <w:tc>
          <w:tcPr>
            <w:tcW w:w="953" w:type="dxa"/>
            <w:noWrap/>
            <w:vAlign w:val="center"/>
          </w:tcPr>
          <w:p w14:paraId="4E001E71">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07961757">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noWrap/>
            <w:vAlign w:val="center"/>
          </w:tcPr>
          <w:p w14:paraId="2E5244D7">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1053" w:type="dxa"/>
            <w:noWrap/>
            <w:vAlign w:val="center"/>
          </w:tcPr>
          <w:p w14:paraId="1BFDFBAE">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noWrap/>
            <w:vAlign w:val="center"/>
          </w:tcPr>
          <w:p w14:paraId="7DA8D97C">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二期建设</w:t>
            </w:r>
          </w:p>
        </w:tc>
      </w:tr>
      <w:tr w14:paraId="010AB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1CDE4995">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2613B9ED">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网带式烘干炉</w:t>
            </w:r>
          </w:p>
        </w:tc>
        <w:tc>
          <w:tcPr>
            <w:tcW w:w="2564" w:type="dxa"/>
            <w:noWrap/>
            <w:vAlign w:val="center"/>
          </w:tcPr>
          <w:p w14:paraId="5491DDE5">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L8000*W1500</w:t>
            </w:r>
          </w:p>
        </w:tc>
        <w:tc>
          <w:tcPr>
            <w:tcW w:w="925" w:type="dxa"/>
            <w:noWrap/>
            <w:vAlign w:val="center"/>
          </w:tcPr>
          <w:p w14:paraId="365D1BBA">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1</w:t>
            </w:r>
          </w:p>
        </w:tc>
        <w:tc>
          <w:tcPr>
            <w:tcW w:w="953" w:type="dxa"/>
            <w:noWrap/>
            <w:vAlign w:val="center"/>
          </w:tcPr>
          <w:p w14:paraId="3340322A">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0248C34D">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noWrap/>
            <w:vAlign w:val="center"/>
          </w:tcPr>
          <w:p w14:paraId="697AE0E3">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1053" w:type="dxa"/>
            <w:noWrap/>
            <w:vAlign w:val="center"/>
          </w:tcPr>
          <w:p w14:paraId="47D075AA">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noWrap/>
            <w:vAlign w:val="center"/>
          </w:tcPr>
          <w:p w14:paraId="7154B6B2">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二期建设</w:t>
            </w:r>
          </w:p>
        </w:tc>
      </w:tr>
      <w:tr w14:paraId="31793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098B2E9E">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62A4A78A">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晾干槽</w:t>
            </w:r>
          </w:p>
        </w:tc>
        <w:tc>
          <w:tcPr>
            <w:tcW w:w="2564" w:type="dxa"/>
            <w:noWrap/>
            <w:vAlign w:val="center"/>
          </w:tcPr>
          <w:p w14:paraId="6228813D">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L2000*W750*H1100</w:t>
            </w:r>
          </w:p>
        </w:tc>
        <w:tc>
          <w:tcPr>
            <w:tcW w:w="925" w:type="dxa"/>
            <w:noWrap/>
            <w:vAlign w:val="center"/>
          </w:tcPr>
          <w:p w14:paraId="52DAB21F">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1</w:t>
            </w:r>
          </w:p>
        </w:tc>
        <w:tc>
          <w:tcPr>
            <w:tcW w:w="953" w:type="dxa"/>
            <w:noWrap/>
            <w:vAlign w:val="center"/>
          </w:tcPr>
          <w:p w14:paraId="26C31D2C">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0307DFD8">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noWrap/>
            <w:vAlign w:val="center"/>
          </w:tcPr>
          <w:p w14:paraId="68322FB3">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1053" w:type="dxa"/>
            <w:noWrap/>
            <w:vAlign w:val="center"/>
          </w:tcPr>
          <w:p w14:paraId="3E789D17">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noWrap/>
            <w:vAlign w:val="center"/>
          </w:tcPr>
          <w:p w14:paraId="72937F2A">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二期建设</w:t>
            </w:r>
          </w:p>
        </w:tc>
      </w:tr>
      <w:tr w14:paraId="72D38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4F02DB28">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2238" w:type="dxa"/>
            <w:gridSpan w:val="2"/>
            <w:noWrap/>
            <w:vAlign w:val="center"/>
          </w:tcPr>
          <w:p w14:paraId="3B68CE9D">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滚筒</w:t>
            </w:r>
          </w:p>
        </w:tc>
        <w:tc>
          <w:tcPr>
            <w:tcW w:w="2564" w:type="dxa"/>
            <w:noWrap/>
            <w:vAlign w:val="center"/>
          </w:tcPr>
          <w:p w14:paraId="1BA0CFD8">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长1800mm×内径450mm</w:t>
            </w:r>
          </w:p>
        </w:tc>
        <w:tc>
          <w:tcPr>
            <w:tcW w:w="925" w:type="dxa"/>
            <w:noWrap/>
            <w:vAlign w:val="center"/>
          </w:tcPr>
          <w:p w14:paraId="3D89BD4A">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30</w:t>
            </w:r>
          </w:p>
        </w:tc>
        <w:tc>
          <w:tcPr>
            <w:tcW w:w="953" w:type="dxa"/>
            <w:noWrap/>
            <w:vAlign w:val="center"/>
          </w:tcPr>
          <w:p w14:paraId="3CBBFDDE">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1A93ACFF">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noWrap/>
            <w:vAlign w:val="center"/>
          </w:tcPr>
          <w:p w14:paraId="79509C20">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1053" w:type="dxa"/>
            <w:noWrap/>
            <w:vAlign w:val="center"/>
          </w:tcPr>
          <w:p w14:paraId="02BC4DD3">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noWrap/>
            <w:vAlign w:val="center"/>
          </w:tcPr>
          <w:p w14:paraId="751DA8F9">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二期建设</w:t>
            </w:r>
          </w:p>
        </w:tc>
      </w:tr>
      <w:tr w14:paraId="4CD82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restart"/>
            <w:vAlign w:val="center"/>
          </w:tcPr>
          <w:p w14:paraId="2834B2CC">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退镀线</w:t>
            </w:r>
          </w:p>
        </w:tc>
        <w:tc>
          <w:tcPr>
            <w:tcW w:w="598" w:type="dxa"/>
            <w:vMerge w:val="restart"/>
            <w:noWrap/>
            <w:vAlign w:val="center"/>
          </w:tcPr>
          <w:p w14:paraId="0238D257">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退锌</w:t>
            </w:r>
          </w:p>
        </w:tc>
        <w:tc>
          <w:tcPr>
            <w:tcW w:w="1640" w:type="dxa"/>
            <w:noWrap/>
            <w:vAlign w:val="center"/>
          </w:tcPr>
          <w:p w14:paraId="0A9D7E12">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脱脂槽</w:t>
            </w:r>
          </w:p>
        </w:tc>
        <w:tc>
          <w:tcPr>
            <w:tcW w:w="2564" w:type="dxa"/>
            <w:noWrap/>
            <w:vAlign w:val="center"/>
          </w:tcPr>
          <w:p w14:paraId="6A3CB1BE">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925" w:type="dxa"/>
            <w:noWrap/>
            <w:vAlign w:val="center"/>
          </w:tcPr>
          <w:p w14:paraId="16697613">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953" w:type="dxa"/>
            <w:noWrap/>
            <w:vAlign w:val="center"/>
          </w:tcPr>
          <w:p w14:paraId="5D7532AC">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71BEEA52">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L2800*W600*H1200</w:t>
            </w:r>
          </w:p>
        </w:tc>
        <w:tc>
          <w:tcPr>
            <w:tcW w:w="765" w:type="dxa"/>
            <w:noWrap/>
            <w:vAlign w:val="center"/>
          </w:tcPr>
          <w:p w14:paraId="49F26EA2">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1</w:t>
            </w:r>
          </w:p>
        </w:tc>
        <w:tc>
          <w:tcPr>
            <w:tcW w:w="1053" w:type="dxa"/>
            <w:noWrap/>
            <w:vAlign w:val="center"/>
          </w:tcPr>
          <w:p w14:paraId="1F5F6316">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2.016</w:t>
            </w:r>
          </w:p>
        </w:tc>
        <w:tc>
          <w:tcPr>
            <w:tcW w:w="2547" w:type="dxa"/>
            <w:noWrap/>
            <w:vAlign w:val="center"/>
          </w:tcPr>
          <w:p w14:paraId="1633491A">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总容积增大</w:t>
            </w:r>
          </w:p>
        </w:tc>
      </w:tr>
      <w:tr w14:paraId="0C78E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6FCBD66D">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598" w:type="dxa"/>
            <w:vMerge w:val="continue"/>
            <w:noWrap/>
            <w:vAlign w:val="center"/>
          </w:tcPr>
          <w:p w14:paraId="3340CC37">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1640" w:type="dxa"/>
            <w:vMerge w:val="restart"/>
            <w:noWrap/>
            <w:vAlign w:val="center"/>
          </w:tcPr>
          <w:p w14:paraId="188382F4">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退镀槽</w:t>
            </w:r>
          </w:p>
        </w:tc>
        <w:tc>
          <w:tcPr>
            <w:tcW w:w="2564" w:type="dxa"/>
            <w:vMerge w:val="restart"/>
            <w:noWrap/>
            <w:vAlign w:val="center"/>
          </w:tcPr>
          <w:p w14:paraId="57010B46">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L4000*W1000*H1400</w:t>
            </w:r>
          </w:p>
        </w:tc>
        <w:tc>
          <w:tcPr>
            <w:tcW w:w="925" w:type="dxa"/>
            <w:vMerge w:val="restart"/>
            <w:noWrap/>
            <w:vAlign w:val="center"/>
          </w:tcPr>
          <w:p w14:paraId="636B67FA">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1</w:t>
            </w:r>
          </w:p>
        </w:tc>
        <w:tc>
          <w:tcPr>
            <w:tcW w:w="953" w:type="dxa"/>
            <w:vMerge w:val="restart"/>
            <w:noWrap/>
            <w:vAlign w:val="center"/>
          </w:tcPr>
          <w:p w14:paraId="135E4E7F">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5.6</w:t>
            </w:r>
          </w:p>
        </w:tc>
        <w:tc>
          <w:tcPr>
            <w:tcW w:w="2215" w:type="dxa"/>
            <w:noWrap/>
            <w:vAlign w:val="center"/>
          </w:tcPr>
          <w:p w14:paraId="27D9AC8F">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L2800*W600*H1200</w:t>
            </w:r>
          </w:p>
        </w:tc>
        <w:tc>
          <w:tcPr>
            <w:tcW w:w="765" w:type="dxa"/>
            <w:noWrap/>
            <w:vAlign w:val="center"/>
          </w:tcPr>
          <w:p w14:paraId="384A6E4C">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2</w:t>
            </w:r>
          </w:p>
        </w:tc>
        <w:tc>
          <w:tcPr>
            <w:tcW w:w="1053" w:type="dxa"/>
            <w:noWrap/>
            <w:vAlign w:val="center"/>
          </w:tcPr>
          <w:p w14:paraId="5D3B1159">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2.016</w:t>
            </w:r>
          </w:p>
        </w:tc>
        <w:tc>
          <w:tcPr>
            <w:tcW w:w="2547" w:type="dxa"/>
            <w:vMerge w:val="restart"/>
            <w:noWrap/>
            <w:vAlign w:val="center"/>
          </w:tcPr>
          <w:p w14:paraId="656BDB0A">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i w:val="0"/>
                <w:iCs w:val="0"/>
                <w:color w:val="auto"/>
                <w:kern w:val="0"/>
                <w:sz w:val="21"/>
                <w:szCs w:val="21"/>
                <w:u w:val="none"/>
                <w:lang w:val="en-US" w:eastAsia="zh-CN" w:bidi="ar"/>
              </w:rPr>
              <w:t>总容积增大</w:t>
            </w:r>
          </w:p>
        </w:tc>
      </w:tr>
      <w:tr w14:paraId="73C3C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5E3DE9ED">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598" w:type="dxa"/>
            <w:vMerge w:val="continue"/>
            <w:noWrap/>
            <w:vAlign w:val="center"/>
          </w:tcPr>
          <w:p w14:paraId="302DA47D">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1640" w:type="dxa"/>
            <w:vMerge w:val="continue"/>
            <w:vAlign w:val="center"/>
          </w:tcPr>
          <w:p w14:paraId="15662904">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p>
        </w:tc>
        <w:tc>
          <w:tcPr>
            <w:tcW w:w="2564" w:type="dxa"/>
            <w:vMerge w:val="continue"/>
            <w:noWrap/>
            <w:vAlign w:val="center"/>
          </w:tcPr>
          <w:p w14:paraId="6815AD38">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p>
        </w:tc>
        <w:tc>
          <w:tcPr>
            <w:tcW w:w="925" w:type="dxa"/>
            <w:vMerge w:val="continue"/>
            <w:noWrap/>
            <w:vAlign w:val="center"/>
          </w:tcPr>
          <w:p w14:paraId="508B02A9">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p>
        </w:tc>
        <w:tc>
          <w:tcPr>
            <w:tcW w:w="953" w:type="dxa"/>
            <w:vMerge w:val="continue"/>
            <w:noWrap/>
            <w:vAlign w:val="center"/>
          </w:tcPr>
          <w:p w14:paraId="26E120AD">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p>
        </w:tc>
        <w:tc>
          <w:tcPr>
            <w:tcW w:w="2215" w:type="dxa"/>
            <w:noWrap/>
            <w:vAlign w:val="center"/>
          </w:tcPr>
          <w:p w14:paraId="3E20A77C">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L1000*W700*H1000</w:t>
            </w:r>
          </w:p>
        </w:tc>
        <w:tc>
          <w:tcPr>
            <w:tcW w:w="765" w:type="dxa"/>
            <w:noWrap/>
            <w:vAlign w:val="center"/>
          </w:tcPr>
          <w:p w14:paraId="7BE85536">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1</w:t>
            </w:r>
          </w:p>
        </w:tc>
        <w:tc>
          <w:tcPr>
            <w:tcW w:w="1053" w:type="dxa"/>
            <w:noWrap/>
            <w:vAlign w:val="center"/>
          </w:tcPr>
          <w:p w14:paraId="2B91BD7B">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0.7</w:t>
            </w:r>
          </w:p>
        </w:tc>
        <w:tc>
          <w:tcPr>
            <w:tcW w:w="2547" w:type="dxa"/>
            <w:vMerge w:val="continue"/>
            <w:noWrap/>
            <w:vAlign w:val="center"/>
          </w:tcPr>
          <w:p w14:paraId="07F12FC7">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p>
        </w:tc>
      </w:tr>
      <w:tr w14:paraId="39C4F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08AF8B8E">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598" w:type="dxa"/>
            <w:vMerge w:val="continue"/>
            <w:noWrap/>
            <w:vAlign w:val="center"/>
          </w:tcPr>
          <w:p w14:paraId="37FFA1B6">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1640" w:type="dxa"/>
            <w:vMerge w:val="continue"/>
            <w:vAlign w:val="center"/>
          </w:tcPr>
          <w:p w14:paraId="306BD509">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p>
        </w:tc>
        <w:tc>
          <w:tcPr>
            <w:tcW w:w="2564" w:type="dxa"/>
            <w:vMerge w:val="continue"/>
            <w:noWrap/>
            <w:vAlign w:val="center"/>
          </w:tcPr>
          <w:p w14:paraId="274DDA21">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925" w:type="dxa"/>
            <w:vMerge w:val="continue"/>
            <w:noWrap/>
            <w:vAlign w:val="center"/>
          </w:tcPr>
          <w:p w14:paraId="159AE06E">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953" w:type="dxa"/>
            <w:vMerge w:val="continue"/>
            <w:noWrap/>
            <w:vAlign w:val="center"/>
          </w:tcPr>
          <w:p w14:paraId="71B3027E">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p>
        </w:tc>
        <w:tc>
          <w:tcPr>
            <w:tcW w:w="2215" w:type="dxa"/>
            <w:noWrap/>
            <w:vAlign w:val="center"/>
          </w:tcPr>
          <w:p w14:paraId="727200D8">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L3000*W700*H1500</w:t>
            </w:r>
          </w:p>
        </w:tc>
        <w:tc>
          <w:tcPr>
            <w:tcW w:w="765" w:type="dxa"/>
            <w:noWrap/>
            <w:vAlign w:val="center"/>
          </w:tcPr>
          <w:p w14:paraId="3FA12AD4">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1</w:t>
            </w:r>
          </w:p>
        </w:tc>
        <w:tc>
          <w:tcPr>
            <w:tcW w:w="1053" w:type="dxa"/>
            <w:noWrap/>
            <w:vAlign w:val="center"/>
          </w:tcPr>
          <w:p w14:paraId="4130926C">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3.15</w:t>
            </w:r>
          </w:p>
        </w:tc>
        <w:tc>
          <w:tcPr>
            <w:tcW w:w="2547" w:type="dxa"/>
            <w:vMerge w:val="continue"/>
            <w:noWrap/>
            <w:vAlign w:val="center"/>
          </w:tcPr>
          <w:p w14:paraId="443536F5">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r>
      <w:tr w14:paraId="7A124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blHeader/>
        </w:trPr>
        <w:tc>
          <w:tcPr>
            <w:tcW w:w="719" w:type="dxa"/>
            <w:vMerge w:val="continue"/>
            <w:vAlign w:val="center"/>
          </w:tcPr>
          <w:p w14:paraId="61072374">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598" w:type="dxa"/>
            <w:vMerge w:val="continue"/>
            <w:noWrap/>
            <w:vAlign w:val="center"/>
          </w:tcPr>
          <w:p w14:paraId="18E6FA55">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1640" w:type="dxa"/>
            <w:vMerge w:val="continue"/>
            <w:vAlign w:val="center"/>
          </w:tcPr>
          <w:p w14:paraId="267BEC85">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p>
        </w:tc>
        <w:tc>
          <w:tcPr>
            <w:tcW w:w="2564" w:type="dxa"/>
            <w:vMerge w:val="continue"/>
            <w:noWrap/>
            <w:vAlign w:val="center"/>
          </w:tcPr>
          <w:p w14:paraId="6C19D2FB">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925" w:type="dxa"/>
            <w:vMerge w:val="continue"/>
            <w:noWrap/>
            <w:vAlign w:val="center"/>
          </w:tcPr>
          <w:p w14:paraId="06E9D302">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953" w:type="dxa"/>
            <w:vMerge w:val="continue"/>
            <w:noWrap/>
            <w:vAlign w:val="center"/>
          </w:tcPr>
          <w:p w14:paraId="20CBEDF9">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p>
        </w:tc>
        <w:tc>
          <w:tcPr>
            <w:tcW w:w="2215" w:type="dxa"/>
            <w:noWrap/>
            <w:vAlign w:val="center"/>
          </w:tcPr>
          <w:p w14:paraId="510022B7">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L1000*W1000*H2500</w:t>
            </w:r>
          </w:p>
        </w:tc>
        <w:tc>
          <w:tcPr>
            <w:tcW w:w="765" w:type="dxa"/>
            <w:noWrap/>
            <w:vAlign w:val="center"/>
          </w:tcPr>
          <w:p w14:paraId="392B4441">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1</w:t>
            </w:r>
          </w:p>
        </w:tc>
        <w:tc>
          <w:tcPr>
            <w:tcW w:w="1053" w:type="dxa"/>
            <w:noWrap/>
            <w:vAlign w:val="center"/>
          </w:tcPr>
          <w:p w14:paraId="003E7EF3">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2.5</w:t>
            </w:r>
          </w:p>
        </w:tc>
        <w:tc>
          <w:tcPr>
            <w:tcW w:w="2547" w:type="dxa"/>
            <w:vMerge w:val="continue"/>
            <w:noWrap/>
            <w:vAlign w:val="center"/>
          </w:tcPr>
          <w:p w14:paraId="0B69A7ED">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r>
      <w:tr w14:paraId="2E29C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3CC37F89">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598" w:type="dxa"/>
            <w:vMerge w:val="continue"/>
            <w:noWrap/>
            <w:vAlign w:val="center"/>
          </w:tcPr>
          <w:p w14:paraId="7F0FD785">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1640" w:type="dxa"/>
            <w:vAlign w:val="center"/>
          </w:tcPr>
          <w:p w14:paraId="59BAC8F6">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水洗槽</w:t>
            </w:r>
          </w:p>
        </w:tc>
        <w:tc>
          <w:tcPr>
            <w:tcW w:w="2564" w:type="dxa"/>
            <w:noWrap/>
            <w:vAlign w:val="center"/>
          </w:tcPr>
          <w:p w14:paraId="7A7B36E8">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L4000*W800*H1400</w:t>
            </w:r>
          </w:p>
        </w:tc>
        <w:tc>
          <w:tcPr>
            <w:tcW w:w="925" w:type="dxa"/>
            <w:noWrap/>
            <w:vAlign w:val="center"/>
          </w:tcPr>
          <w:p w14:paraId="7D0EBFAB">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2</w:t>
            </w:r>
          </w:p>
        </w:tc>
        <w:tc>
          <w:tcPr>
            <w:tcW w:w="953" w:type="dxa"/>
            <w:noWrap/>
            <w:vAlign w:val="center"/>
          </w:tcPr>
          <w:p w14:paraId="03C19DF5">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4.48</w:t>
            </w:r>
          </w:p>
        </w:tc>
        <w:tc>
          <w:tcPr>
            <w:tcW w:w="2215" w:type="dxa"/>
            <w:noWrap/>
            <w:vAlign w:val="center"/>
          </w:tcPr>
          <w:p w14:paraId="30628FBB">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L2800*W600*H1200</w:t>
            </w:r>
          </w:p>
        </w:tc>
        <w:tc>
          <w:tcPr>
            <w:tcW w:w="765" w:type="dxa"/>
            <w:noWrap/>
            <w:vAlign w:val="center"/>
          </w:tcPr>
          <w:p w14:paraId="44C5C8CE">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2</w:t>
            </w:r>
          </w:p>
        </w:tc>
        <w:tc>
          <w:tcPr>
            <w:tcW w:w="1053" w:type="dxa"/>
            <w:noWrap/>
            <w:vAlign w:val="center"/>
          </w:tcPr>
          <w:p w14:paraId="69E6470F">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2.016</w:t>
            </w:r>
          </w:p>
        </w:tc>
        <w:tc>
          <w:tcPr>
            <w:tcW w:w="2547" w:type="dxa"/>
            <w:noWrap/>
            <w:vAlign w:val="center"/>
          </w:tcPr>
          <w:p w14:paraId="47281CDB">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总容积减小</w:t>
            </w:r>
          </w:p>
        </w:tc>
      </w:tr>
      <w:tr w14:paraId="39765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1F99B8B5">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598" w:type="dxa"/>
            <w:vMerge w:val="restart"/>
            <w:noWrap/>
            <w:vAlign w:val="center"/>
          </w:tcPr>
          <w:p w14:paraId="7D77F850">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退镍</w:t>
            </w:r>
          </w:p>
        </w:tc>
        <w:tc>
          <w:tcPr>
            <w:tcW w:w="1640" w:type="dxa"/>
            <w:vAlign w:val="center"/>
          </w:tcPr>
          <w:p w14:paraId="49C75119">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退镀槽</w:t>
            </w:r>
          </w:p>
        </w:tc>
        <w:tc>
          <w:tcPr>
            <w:tcW w:w="2564" w:type="dxa"/>
            <w:noWrap/>
            <w:vAlign w:val="center"/>
          </w:tcPr>
          <w:p w14:paraId="7F0AC606">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L1800*W900*H1000</w:t>
            </w:r>
          </w:p>
        </w:tc>
        <w:tc>
          <w:tcPr>
            <w:tcW w:w="925" w:type="dxa"/>
            <w:noWrap/>
            <w:vAlign w:val="center"/>
          </w:tcPr>
          <w:p w14:paraId="7521D619">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1</w:t>
            </w:r>
          </w:p>
        </w:tc>
        <w:tc>
          <w:tcPr>
            <w:tcW w:w="953" w:type="dxa"/>
            <w:noWrap/>
            <w:vAlign w:val="center"/>
          </w:tcPr>
          <w:p w14:paraId="490C3F81">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384DCE07">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noWrap/>
            <w:vAlign w:val="center"/>
          </w:tcPr>
          <w:p w14:paraId="0EB40909">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w:t>
            </w:r>
          </w:p>
        </w:tc>
        <w:tc>
          <w:tcPr>
            <w:tcW w:w="1053" w:type="dxa"/>
            <w:noWrap/>
            <w:vAlign w:val="center"/>
          </w:tcPr>
          <w:p w14:paraId="6C55B3B3">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w:t>
            </w:r>
          </w:p>
        </w:tc>
        <w:tc>
          <w:tcPr>
            <w:tcW w:w="2547" w:type="dxa"/>
            <w:noWrap/>
            <w:vAlign w:val="center"/>
          </w:tcPr>
          <w:p w14:paraId="2DCC95BE">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二期建设</w:t>
            </w:r>
          </w:p>
        </w:tc>
      </w:tr>
      <w:tr w14:paraId="29608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Merge w:val="continue"/>
            <w:vAlign w:val="center"/>
          </w:tcPr>
          <w:p w14:paraId="5082D728">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598" w:type="dxa"/>
            <w:vMerge w:val="continue"/>
            <w:noWrap/>
            <w:vAlign w:val="center"/>
          </w:tcPr>
          <w:p w14:paraId="7D0A9B2A">
            <w:pPr>
              <w:widowControl w:val="0"/>
              <w:adjustRightInd/>
              <w:snapToGrid/>
              <w:spacing w:line="240" w:lineRule="auto"/>
              <w:ind w:firstLine="0" w:firstLineChars="0"/>
              <w:jc w:val="center"/>
              <w:rPr>
                <w:rFonts w:hint="default" w:ascii="Times New Roman" w:hAnsi="Times New Roman" w:eastAsia="宋体" w:cs="Times New Roman"/>
                <w:color w:val="auto"/>
                <w:kern w:val="2"/>
                <w:sz w:val="21"/>
                <w:szCs w:val="21"/>
              </w:rPr>
            </w:pPr>
          </w:p>
        </w:tc>
        <w:tc>
          <w:tcPr>
            <w:tcW w:w="1640" w:type="dxa"/>
            <w:vAlign w:val="center"/>
          </w:tcPr>
          <w:p w14:paraId="1153ACFD">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水洗槽</w:t>
            </w:r>
          </w:p>
        </w:tc>
        <w:tc>
          <w:tcPr>
            <w:tcW w:w="2564" w:type="dxa"/>
            <w:noWrap/>
            <w:vAlign w:val="center"/>
          </w:tcPr>
          <w:p w14:paraId="2C57D216">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L900*W500*H500</w:t>
            </w:r>
          </w:p>
        </w:tc>
        <w:tc>
          <w:tcPr>
            <w:tcW w:w="925" w:type="dxa"/>
            <w:noWrap/>
            <w:vAlign w:val="center"/>
          </w:tcPr>
          <w:p w14:paraId="0B5F5EBD">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2</w:t>
            </w:r>
          </w:p>
        </w:tc>
        <w:tc>
          <w:tcPr>
            <w:tcW w:w="953" w:type="dxa"/>
            <w:noWrap/>
            <w:vAlign w:val="center"/>
          </w:tcPr>
          <w:p w14:paraId="079FDE4A">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127142EF">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765" w:type="dxa"/>
            <w:noWrap/>
            <w:vAlign w:val="center"/>
          </w:tcPr>
          <w:p w14:paraId="69971124">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1053" w:type="dxa"/>
            <w:noWrap/>
            <w:vAlign w:val="center"/>
          </w:tcPr>
          <w:p w14:paraId="4DA8D57D">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noWrap/>
            <w:vAlign w:val="center"/>
          </w:tcPr>
          <w:p w14:paraId="43E5E180">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二期建设</w:t>
            </w:r>
          </w:p>
        </w:tc>
      </w:tr>
      <w:tr w14:paraId="758C3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719" w:type="dxa"/>
            <w:vAlign w:val="center"/>
          </w:tcPr>
          <w:p w14:paraId="71C47A4F">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辅助设备</w:t>
            </w:r>
          </w:p>
        </w:tc>
        <w:tc>
          <w:tcPr>
            <w:tcW w:w="2238" w:type="dxa"/>
            <w:gridSpan w:val="2"/>
            <w:noWrap/>
            <w:vAlign w:val="center"/>
          </w:tcPr>
          <w:p w14:paraId="662666A0">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纯水制备</w:t>
            </w:r>
          </w:p>
        </w:tc>
        <w:tc>
          <w:tcPr>
            <w:tcW w:w="2564" w:type="dxa"/>
            <w:noWrap/>
            <w:vAlign w:val="center"/>
          </w:tcPr>
          <w:p w14:paraId="4B1C3FEC">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8t/h</w:t>
            </w:r>
          </w:p>
        </w:tc>
        <w:tc>
          <w:tcPr>
            <w:tcW w:w="925" w:type="dxa"/>
            <w:noWrap/>
            <w:vAlign w:val="center"/>
          </w:tcPr>
          <w:p w14:paraId="22578212">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1</w:t>
            </w:r>
          </w:p>
        </w:tc>
        <w:tc>
          <w:tcPr>
            <w:tcW w:w="953" w:type="dxa"/>
            <w:noWrap/>
            <w:vAlign w:val="center"/>
          </w:tcPr>
          <w:p w14:paraId="7869EB64">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w:t>
            </w:r>
          </w:p>
        </w:tc>
        <w:tc>
          <w:tcPr>
            <w:tcW w:w="2215" w:type="dxa"/>
            <w:noWrap/>
            <w:vAlign w:val="center"/>
          </w:tcPr>
          <w:p w14:paraId="4ACE9C8D">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1t/h</w:t>
            </w:r>
          </w:p>
        </w:tc>
        <w:tc>
          <w:tcPr>
            <w:tcW w:w="765" w:type="dxa"/>
            <w:noWrap/>
            <w:vAlign w:val="center"/>
          </w:tcPr>
          <w:p w14:paraId="2C86635D">
            <w:pPr>
              <w:widowControl/>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lang w:eastAsia="zh-CN"/>
              </w:rPr>
            </w:pPr>
            <w:r>
              <w:rPr>
                <w:rFonts w:hint="eastAsia" w:ascii="Times New Roman" w:hAnsi="Times New Roman" w:eastAsia="宋体" w:cs="Times New Roman"/>
                <w:color w:val="auto"/>
                <w:kern w:val="0"/>
                <w:sz w:val="21"/>
                <w:szCs w:val="21"/>
                <w:lang w:val="en-US" w:eastAsia="zh-CN" w:bidi="ar"/>
              </w:rPr>
              <w:t>3</w:t>
            </w:r>
          </w:p>
        </w:tc>
        <w:tc>
          <w:tcPr>
            <w:tcW w:w="1053" w:type="dxa"/>
            <w:noWrap/>
            <w:vAlign w:val="center"/>
          </w:tcPr>
          <w:p w14:paraId="2B6CACB6">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w:t>
            </w:r>
          </w:p>
        </w:tc>
        <w:tc>
          <w:tcPr>
            <w:tcW w:w="2547" w:type="dxa"/>
            <w:vAlign w:val="center"/>
          </w:tcPr>
          <w:p w14:paraId="12B565A4">
            <w:pPr>
              <w:widowControl/>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bidi="ar"/>
              </w:rPr>
              <w:t>制备能力减小，数量增加</w:t>
            </w:r>
          </w:p>
        </w:tc>
      </w:tr>
    </w:tbl>
    <w:p w14:paraId="4E41CB70">
      <w:pPr>
        <w:ind w:firstLine="482"/>
        <w:rPr>
          <w:rFonts w:cs="Times New Roman"/>
          <w:b/>
          <w:bCs/>
          <w:color w:val="auto"/>
        </w:rPr>
        <w:sectPr>
          <w:pgSz w:w="16838" w:h="11906" w:orient="landscape"/>
          <w:pgMar w:top="1417" w:right="1417" w:bottom="1417" w:left="1417" w:header="851" w:footer="992" w:gutter="0"/>
          <w:cols w:space="425" w:num="1"/>
          <w:docGrid w:type="lines" w:linePitch="326" w:charSpace="0"/>
        </w:sectPr>
      </w:pPr>
    </w:p>
    <w:p w14:paraId="560A2F45">
      <w:pPr>
        <w:ind w:firstLine="482"/>
        <w:rPr>
          <w:rFonts w:cs="Times New Roman"/>
          <w:b/>
          <w:bCs/>
          <w:color w:val="auto"/>
        </w:rPr>
      </w:pPr>
      <w:r>
        <w:rPr>
          <w:rFonts w:cs="Times New Roman"/>
          <w:b/>
          <w:bCs/>
          <w:color w:val="auto"/>
        </w:rPr>
        <w:t>设备变动情况分析：</w:t>
      </w:r>
    </w:p>
    <w:p w14:paraId="359F9A6F">
      <w:pPr>
        <w:widowControl w:val="0"/>
        <w:adjustRightInd w:val="0"/>
        <w:snapToGrid w:val="0"/>
        <w:spacing w:line="480" w:lineRule="exact"/>
        <w:ind w:firstLine="480" w:firstLineChars="200"/>
        <w:jc w:val="both"/>
        <w:rPr>
          <w:rFonts w:ascii="Times New Roman" w:hAnsi="Times New Roman" w:eastAsia="宋体" w:cs="Times New Roman"/>
          <w:color w:val="auto"/>
          <w:kern w:val="2"/>
          <w:sz w:val="24"/>
          <w:szCs w:val="24"/>
        </w:rPr>
      </w:pPr>
      <w:r>
        <w:rPr>
          <w:rFonts w:ascii="Times New Roman" w:hAnsi="Times New Roman" w:eastAsia="宋体" w:cs="Times New Roman"/>
          <w:color w:val="auto"/>
          <w:kern w:val="2"/>
          <w:sz w:val="24"/>
          <w:szCs w:val="24"/>
        </w:rPr>
        <w:t>①</w:t>
      </w:r>
      <w:r>
        <w:rPr>
          <w:rFonts w:hint="eastAsia" w:ascii="Times New Roman" w:hAnsi="Times New Roman" w:eastAsia="宋体" w:cs="Times New Roman"/>
          <w:color w:val="auto"/>
          <w:kern w:val="2"/>
          <w:sz w:val="24"/>
          <w:szCs w:val="24"/>
        </w:rPr>
        <w:t>本项目</w:t>
      </w:r>
      <w:r>
        <w:rPr>
          <w:rFonts w:hint="eastAsia" w:cs="Times New Roman"/>
          <w:color w:val="auto"/>
          <w:kern w:val="2"/>
          <w:sz w:val="24"/>
          <w:szCs w:val="24"/>
          <w:lang w:eastAsia="zh-CN"/>
        </w:rPr>
        <w:t>（</w:t>
      </w:r>
      <w:r>
        <w:rPr>
          <w:rFonts w:hint="eastAsia" w:cs="Times New Roman"/>
          <w:color w:val="auto"/>
          <w:kern w:val="2"/>
          <w:sz w:val="24"/>
          <w:szCs w:val="24"/>
          <w:lang w:val="en-US" w:eastAsia="zh-CN"/>
        </w:rPr>
        <w:t>一期</w:t>
      </w:r>
      <w:r>
        <w:rPr>
          <w:rFonts w:hint="eastAsia" w:cs="Times New Roman"/>
          <w:color w:val="auto"/>
          <w:kern w:val="2"/>
          <w:sz w:val="24"/>
          <w:szCs w:val="24"/>
          <w:lang w:eastAsia="zh-CN"/>
        </w:rPr>
        <w:t>）</w:t>
      </w:r>
      <w:r>
        <w:rPr>
          <w:rFonts w:hint="eastAsia" w:ascii="Times New Roman" w:hAnsi="Times New Roman" w:eastAsia="宋体" w:cs="Times New Roman"/>
          <w:color w:val="auto"/>
          <w:kern w:val="2"/>
          <w:sz w:val="24"/>
          <w:szCs w:val="24"/>
        </w:rPr>
        <w:t>电镀槽规格和数量变动。</w:t>
      </w:r>
      <w:r>
        <w:rPr>
          <w:rFonts w:hint="eastAsia" w:cs="Times New Roman"/>
          <w:color w:val="auto"/>
          <w:kern w:val="2"/>
          <w:sz w:val="24"/>
          <w:szCs w:val="24"/>
          <w:lang w:val="en-US" w:eastAsia="zh-CN"/>
        </w:rPr>
        <w:t>其中</w:t>
      </w:r>
      <w:r>
        <w:rPr>
          <w:rFonts w:hint="eastAsia" w:ascii="Times New Roman" w:hAnsi="Times New Roman" w:eastAsia="宋体" w:cs="Times New Roman"/>
          <w:color w:val="auto"/>
          <w:kern w:val="2"/>
          <w:sz w:val="24"/>
          <w:szCs w:val="24"/>
        </w:rPr>
        <w:t>主要决定产能的设备为电镀槽。</w:t>
      </w:r>
    </w:p>
    <w:p w14:paraId="5FDD2B0E">
      <w:pPr>
        <w:widowControl w:val="0"/>
        <w:adjustRightInd w:val="0"/>
        <w:snapToGrid w:val="0"/>
        <w:spacing w:line="480" w:lineRule="exact"/>
        <w:ind w:firstLine="480" w:firstLineChars="200"/>
        <w:jc w:val="both"/>
        <w:rPr>
          <w:rFonts w:ascii="Times New Roman" w:hAnsi="Times New Roman" w:eastAsia="宋体" w:cs="Times New Roman"/>
          <w:color w:val="auto"/>
          <w:kern w:val="2"/>
          <w:sz w:val="24"/>
          <w:szCs w:val="24"/>
          <w:vertAlign w:val="superscript"/>
        </w:rPr>
      </w:pPr>
      <w:r>
        <w:rPr>
          <w:rFonts w:ascii="Times New Roman" w:hAnsi="Times New Roman" w:eastAsia="宋体" w:cs="Times New Roman"/>
          <w:color w:val="auto"/>
          <w:kern w:val="2"/>
          <w:sz w:val="24"/>
          <w:szCs w:val="24"/>
        </w:rPr>
        <w:t>汽车配件挂镀锌工序生产线原环评批复中主镀槽容积为4000mm×1000mm×1400mm=5.6m</w:t>
      </w:r>
      <w:r>
        <w:rPr>
          <w:rFonts w:ascii="Times New Roman" w:hAnsi="Times New Roman" w:eastAsia="宋体" w:cs="Times New Roman"/>
          <w:color w:val="auto"/>
          <w:kern w:val="2"/>
          <w:sz w:val="24"/>
          <w:szCs w:val="24"/>
          <w:vertAlign w:val="superscript"/>
        </w:rPr>
        <w:t>3</w:t>
      </w:r>
      <w:r>
        <w:rPr>
          <w:rFonts w:ascii="Times New Roman" w:hAnsi="Times New Roman" w:eastAsia="宋体" w:cs="Times New Roman"/>
          <w:color w:val="auto"/>
          <w:kern w:val="2"/>
          <w:sz w:val="24"/>
          <w:szCs w:val="24"/>
        </w:rPr>
        <w:t>，镀槽数量为16个，则主镀槽总容积为89.6m</w:t>
      </w:r>
      <w:r>
        <w:rPr>
          <w:rFonts w:ascii="Times New Roman" w:hAnsi="Times New Roman" w:eastAsia="宋体" w:cs="Times New Roman"/>
          <w:color w:val="auto"/>
          <w:kern w:val="2"/>
          <w:sz w:val="24"/>
          <w:szCs w:val="24"/>
          <w:vertAlign w:val="superscript"/>
        </w:rPr>
        <w:t>3</w:t>
      </w:r>
      <w:r>
        <w:rPr>
          <w:rFonts w:ascii="Times New Roman" w:hAnsi="Times New Roman" w:eastAsia="宋体" w:cs="Times New Roman"/>
          <w:color w:val="auto"/>
          <w:kern w:val="2"/>
          <w:sz w:val="24"/>
          <w:szCs w:val="24"/>
        </w:rPr>
        <w:t>；实际建设中主镀槽容积为4200mm×1000mm×1700mm=7.14m</w:t>
      </w:r>
      <w:r>
        <w:rPr>
          <w:rFonts w:ascii="Times New Roman" w:hAnsi="Times New Roman" w:eastAsia="宋体" w:cs="Times New Roman"/>
          <w:color w:val="auto"/>
          <w:kern w:val="2"/>
          <w:sz w:val="24"/>
          <w:szCs w:val="24"/>
          <w:vertAlign w:val="superscript"/>
        </w:rPr>
        <w:t>3</w:t>
      </w:r>
      <w:r>
        <w:rPr>
          <w:rFonts w:ascii="Times New Roman" w:hAnsi="Times New Roman" w:eastAsia="宋体" w:cs="Times New Roman"/>
          <w:color w:val="auto"/>
          <w:kern w:val="2"/>
          <w:sz w:val="24"/>
          <w:szCs w:val="24"/>
        </w:rPr>
        <w:t>，镀槽数量为5个，则主镀槽总容积为35.7m</w:t>
      </w:r>
      <w:r>
        <w:rPr>
          <w:rFonts w:ascii="Times New Roman" w:hAnsi="Times New Roman" w:eastAsia="宋体" w:cs="Times New Roman"/>
          <w:color w:val="auto"/>
          <w:kern w:val="2"/>
          <w:sz w:val="24"/>
          <w:szCs w:val="24"/>
          <w:vertAlign w:val="superscript"/>
        </w:rPr>
        <w:t>3</w:t>
      </w:r>
      <w:r>
        <w:rPr>
          <w:rFonts w:hint="eastAsia" w:ascii="Times New Roman" w:hAnsi="Times New Roman" w:eastAsia="宋体" w:cs="Times New Roman"/>
          <w:color w:val="auto"/>
          <w:kern w:val="2"/>
          <w:sz w:val="24"/>
          <w:szCs w:val="24"/>
        </w:rPr>
        <w:t>。主镀槽总容积减小</w:t>
      </w:r>
      <w:r>
        <w:rPr>
          <w:rFonts w:hint="eastAsia" w:ascii="Times New Roman" w:hAnsi="Times New Roman" w:eastAsia="宋体" w:cs="Times New Roman"/>
          <w:color w:val="auto"/>
          <w:kern w:val="2"/>
          <w:sz w:val="24"/>
          <w:szCs w:val="24"/>
          <w:lang w:eastAsia="zh-CN"/>
        </w:rPr>
        <w:t>。</w:t>
      </w:r>
    </w:p>
    <w:p w14:paraId="3F7789FF">
      <w:pPr>
        <w:widowControl w:val="0"/>
        <w:adjustRightInd w:val="0"/>
        <w:snapToGrid w:val="0"/>
        <w:spacing w:line="480" w:lineRule="exact"/>
        <w:ind w:firstLine="480" w:firstLineChars="200"/>
        <w:jc w:val="both"/>
        <w:rPr>
          <w:rFonts w:hint="eastAsia" w:ascii="Times New Roman" w:hAnsi="Times New Roman" w:eastAsia="宋体" w:cs="Times New Roman"/>
          <w:color w:val="auto"/>
          <w:kern w:val="2"/>
          <w:sz w:val="24"/>
          <w:szCs w:val="24"/>
          <w:lang w:eastAsia="zh-CN"/>
        </w:rPr>
      </w:pPr>
      <w:r>
        <w:rPr>
          <w:rFonts w:ascii="Times New Roman" w:hAnsi="Times New Roman" w:eastAsia="宋体" w:cs="Times New Roman"/>
          <w:color w:val="auto"/>
          <w:kern w:val="2"/>
          <w:sz w:val="24"/>
          <w:szCs w:val="24"/>
        </w:rPr>
        <w:t>钢带1#镀镍线原环评批复中主镀槽容积为1800mm×900 mm×1000 mm =1.62m</w:t>
      </w:r>
      <w:r>
        <w:rPr>
          <w:rFonts w:ascii="Times New Roman" w:hAnsi="Times New Roman" w:eastAsia="宋体" w:cs="Times New Roman"/>
          <w:color w:val="auto"/>
          <w:kern w:val="2"/>
          <w:sz w:val="24"/>
          <w:szCs w:val="24"/>
          <w:vertAlign w:val="superscript"/>
        </w:rPr>
        <w:t>3</w:t>
      </w:r>
      <w:r>
        <w:rPr>
          <w:rFonts w:ascii="Times New Roman" w:hAnsi="Times New Roman" w:eastAsia="宋体" w:cs="Times New Roman"/>
          <w:color w:val="auto"/>
          <w:kern w:val="2"/>
          <w:sz w:val="24"/>
          <w:szCs w:val="24"/>
        </w:rPr>
        <w:t>，镀槽数量为2个，则主镀槽总容积为3.24m</w:t>
      </w:r>
      <w:r>
        <w:rPr>
          <w:rFonts w:ascii="Times New Roman" w:hAnsi="Times New Roman" w:eastAsia="宋体" w:cs="Times New Roman"/>
          <w:color w:val="auto"/>
          <w:kern w:val="2"/>
          <w:sz w:val="24"/>
          <w:szCs w:val="24"/>
          <w:vertAlign w:val="superscript"/>
        </w:rPr>
        <w:t>3</w:t>
      </w:r>
      <w:r>
        <w:rPr>
          <w:rFonts w:ascii="Times New Roman" w:hAnsi="Times New Roman" w:eastAsia="宋体" w:cs="Times New Roman"/>
          <w:color w:val="auto"/>
          <w:kern w:val="2"/>
          <w:sz w:val="24"/>
          <w:szCs w:val="24"/>
        </w:rPr>
        <w:t>；实际建设中主镀槽容积为3850mm×800mm×1000mm=3.08m</w:t>
      </w:r>
      <w:r>
        <w:rPr>
          <w:rFonts w:ascii="Times New Roman" w:hAnsi="Times New Roman" w:eastAsia="宋体" w:cs="Times New Roman"/>
          <w:color w:val="auto"/>
          <w:kern w:val="2"/>
          <w:sz w:val="24"/>
          <w:szCs w:val="24"/>
          <w:vertAlign w:val="superscript"/>
        </w:rPr>
        <w:t>3</w:t>
      </w:r>
      <w:r>
        <w:rPr>
          <w:rFonts w:ascii="Times New Roman" w:hAnsi="Times New Roman" w:eastAsia="宋体" w:cs="Times New Roman"/>
          <w:color w:val="auto"/>
          <w:kern w:val="2"/>
          <w:sz w:val="24"/>
          <w:szCs w:val="24"/>
        </w:rPr>
        <w:t>，镀槽数量为1个，则主镀槽总容积为3.08m</w:t>
      </w:r>
      <w:r>
        <w:rPr>
          <w:rFonts w:ascii="Times New Roman" w:hAnsi="Times New Roman" w:eastAsia="宋体" w:cs="Times New Roman"/>
          <w:color w:val="auto"/>
          <w:kern w:val="2"/>
          <w:sz w:val="24"/>
          <w:szCs w:val="24"/>
          <w:vertAlign w:val="superscript"/>
        </w:rPr>
        <w:t>3</w:t>
      </w:r>
      <w:r>
        <w:rPr>
          <w:rFonts w:hint="eastAsia" w:ascii="Times New Roman" w:hAnsi="Times New Roman" w:eastAsia="宋体" w:cs="Times New Roman"/>
          <w:color w:val="auto"/>
          <w:kern w:val="2"/>
          <w:sz w:val="24"/>
          <w:szCs w:val="24"/>
        </w:rPr>
        <w:t>。主镀槽总容积减小</w:t>
      </w:r>
      <w:r>
        <w:rPr>
          <w:rFonts w:hint="eastAsia" w:ascii="Times New Roman" w:hAnsi="Times New Roman" w:eastAsia="宋体" w:cs="Times New Roman"/>
          <w:color w:val="auto"/>
          <w:kern w:val="2"/>
          <w:sz w:val="24"/>
          <w:szCs w:val="24"/>
          <w:lang w:eastAsia="zh-CN"/>
        </w:rPr>
        <w:t>。</w:t>
      </w:r>
    </w:p>
    <w:p w14:paraId="38127F2B">
      <w:pPr>
        <w:widowControl w:val="0"/>
        <w:adjustRightInd w:val="0"/>
        <w:snapToGrid w:val="0"/>
        <w:spacing w:line="480" w:lineRule="exact"/>
        <w:ind w:firstLine="480" w:firstLineChars="200"/>
        <w:jc w:val="both"/>
        <w:rPr>
          <w:rFonts w:hint="eastAsia" w:ascii="Times New Roman" w:hAnsi="Times New Roman" w:eastAsia="宋体" w:cs="Times New Roman"/>
          <w:color w:val="auto"/>
          <w:kern w:val="2"/>
          <w:sz w:val="24"/>
          <w:szCs w:val="24"/>
          <w:lang w:eastAsia="zh-CN"/>
        </w:rPr>
      </w:pPr>
      <w:r>
        <w:rPr>
          <w:rFonts w:ascii="Times New Roman" w:hAnsi="Times New Roman" w:eastAsia="宋体" w:cs="Times New Roman"/>
          <w:color w:val="auto"/>
          <w:kern w:val="2"/>
          <w:sz w:val="24"/>
          <w:szCs w:val="24"/>
        </w:rPr>
        <w:t>钢带2#镀镍线原环评批复中主镀槽容积为1800mm×900 mm×1000 mm =1.62m</w:t>
      </w:r>
      <w:r>
        <w:rPr>
          <w:rFonts w:ascii="Times New Roman" w:hAnsi="Times New Roman" w:eastAsia="宋体" w:cs="Times New Roman"/>
          <w:color w:val="auto"/>
          <w:kern w:val="2"/>
          <w:sz w:val="24"/>
          <w:szCs w:val="24"/>
          <w:vertAlign w:val="superscript"/>
        </w:rPr>
        <w:t>3</w:t>
      </w:r>
      <w:r>
        <w:rPr>
          <w:rFonts w:ascii="Times New Roman" w:hAnsi="Times New Roman" w:eastAsia="宋体" w:cs="Times New Roman"/>
          <w:color w:val="auto"/>
          <w:kern w:val="2"/>
          <w:sz w:val="24"/>
          <w:szCs w:val="24"/>
        </w:rPr>
        <w:t>，镀槽数量为2个，则主镀槽总容积为3.24m</w:t>
      </w:r>
      <w:r>
        <w:rPr>
          <w:rFonts w:ascii="Times New Roman" w:hAnsi="Times New Roman" w:eastAsia="宋体" w:cs="Times New Roman"/>
          <w:color w:val="auto"/>
          <w:kern w:val="2"/>
          <w:sz w:val="24"/>
          <w:szCs w:val="24"/>
          <w:vertAlign w:val="superscript"/>
        </w:rPr>
        <w:t>3</w:t>
      </w:r>
      <w:r>
        <w:rPr>
          <w:rFonts w:ascii="Times New Roman" w:hAnsi="Times New Roman" w:eastAsia="宋体" w:cs="Times New Roman"/>
          <w:color w:val="auto"/>
          <w:kern w:val="2"/>
          <w:sz w:val="24"/>
          <w:szCs w:val="24"/>
        </w:rPr>
        <w:t>；实际建设中主镀槽容积为3000mm×800mm×1000mm=2.4m</w:t>
      </w:r>
      <w:r>
        <w:rPr>
          <w:rFonts w:ascii="Times New Roman" w:hAnsi="Times New Roman" w:eastAsia="宋体" w:cs="Times New Roman"/>
          <w:color w:val="auto"/>
          <w:kern w:val="2"/>
          <w:sz w:val="24"/>
          <w:szCs w:val="24"/>
          <w:vertAlign w:val="superscript"/>
        </w:rPr>
        <w:t>3</w:t>
      </w:r>
      <w:r>
        <w:rPr>
          <w:rFonts w:ascii="Times New Roman" w:hAnsi="Times New Roman" w:eastAsia="宋体" w:cs="Times New Roman"/>
          <w:color w:val="auto"/>
          <w:kern w:val="2"/>
          <w:sz w:val="24"/>
          <w:szCs w:val="24"/>
        </w:rPr>
        <w:t>，镀槽数量为1个，则主镀槽总容积为2.4m</w:t>
      </w:r>
      <w:r>
        <w:rPr>
          <w:rFonts w:ascii="Times New Roman" w:hAnsi="Times New Roman" w:eastAsia="宋体" w:cs="Times New Roman"/>
          <w:color w:val="auto"/>
          <w:kern w:val="2"/>
          <w:sz w:val="24"/>
          <w:szCs w:val="24"/>
          <w:vertAlign w:val="superscript"/>
        </w:rPr>
        <w:t>3</w:t>
      </w:r>
      <w:r>
        <w:rPr>
          <w:rFonts w:ascii="Times New Roman" w:hAnsi="Times New Roman" w:eastAsia="宋体" w:cs="Times New Roman"/>
          <w:color w:val="auto"/>
          <w:kern w:val="2"/>
          <w:sz w:val="24"/>
          <w:szCs w:val="24"/>
        </w:rPr>
        <w:t>。</w:t>
      </w:r>
      <w:r>
        <w:rPr>
          <w:rFonts w:hint="eastAsia" w:ascii="Times New Roman" w:hAnsi="Times New Roman" w:eastAsia="宋体" w:cs="Times New Roman"/>
          <w:color w:val="auto"/>
          <w:kern w:val="2"/>
          <w:sz w:val="24"/>
          <w:szCs w:val="24"/>
        </w:rPr>
        <w:t>主镀槽总容积减小</w:t>
      </w:r>
      <w:r>
        <w:rPr>
          <w:rFonts w:hint="eastAsia" w:ascii="Times New Roman" w:hAnsi="Times New Roman" w:eastAsia="宋体" w:cs="Times New Roman"/>
          <w:color w:val="auto"/>
          <w:kern w:val="2"/>
          <w:sz w:val="24"/>
          <w:szCs w:val="24"/>
          <w:lang w:eastAsia="zh-CN"/>
        </w:rPr>
        <w:t>。</w:t>
      </w:r>
    </w:p>
    <w:p w14:paraId="769EBBA6">
      <w:pPr>
        <w:widowControl w:val="0"/>
        <w:adjustRightInd w:val="0"/>
        <w:snapToGrid w:val="0"/>
        <w:spacing w:line="480" w:lineRule="exact"/>
        <w:ind w:firstLine="480" w:firstLineChars="200"/>
        <w:jc w:val="both"/>
        <w:rPr>
          <w:rFonts w:hint="eastAsia" w:ascii="Times New Roman" w:hAnsi="Times New Roman" w:eastAsia="宋体" w:cs="Times New Roman"/>
          <w:color w:val="auto"/>
          <w:kern w:val="2"/>
          <w:sz w:val="24"/>
          <w:szCs w:val="24"/>
          <w:lang w:eastAsia="zh-CN"/>
        </w:rPr>
      </w:pPr>
      <w:r>
        <w:rPr>
          <w:rFonts w:ascii="Times New Roman" w:hAnsi="Times New Roman" w:eastAsia="宋体" w:cs="Times New Roman"/>
          <w:color w:val="auto"/>
          <w:kern w:val="2"/>
          <w:sz w:val="24"/>
          <w:szCs w:val="24"/>
        </w:rPr>
        <w:t>钢带</w:t>
      </w:r>
      <w:r>
        <w:rPr>
          <w:rFonts w:hint="eastAsia" w:ascii="Times New Roman" w:hAnsi="Times New Roman" w:eastAsia="宋体" w:cs="Times New Roman"/>
          <w:color w:val="auto"/>
          <w:kern w:val="2"/>
          <w:sz w:val="24"/>
          <w:szCs w:val="24"/>
          <w:lang w:val="en-US" w:eastAsia="zh-CN"/>
        </w:rPr>
        <w:t>3</w:t>
      </w:r>
      <w:r>
        <w:rPr>
          <w:rFonts w:ascii="Times New Roman" w:hAnsi="Times New Roman" w:eastAsia="宋体" w:cs="Times New Roman"/>
          <w:color w:val="auto"/>
          <w:kern w:val="2"/>
          <w:sz w:val="24"/>
          <w:szCs w:val="24"/>
        </w:rPr>
        <w:t>#镀镍线原环评批复中主镀槽容积为</w:t>
      </w:r>
      <w:r>
        <w:rPr>
          <w:rFonts w:hint="eastAsia" w:ascii="Times New Roman" w:hAnsi="Times New Roman" w:eastAsia="宋体" w:cs="Times New Roman"/>
          <w:color w:val="auto"/>
          <w:kern w:val="2"/>
          <w:sz w:val="24"/>
          <w:szCs w:val="24"/>
          <w:lang w:val="en-US" w:eastAsia="zh-CN"/>
        </w:rPr>
        <w:t>2300</w:t>
      </w:r>
      <w:r>
        <w:rPr>
          <w:rFonts w:ascii="Times New Roman" w:hAnsi="Times New Roman" w:eastAsia="宋体" w:cs="Times New Roman"/>
          <w:color w:val="auto"/>
          <w:kern w:val="2"/>
          <w:sz w:val="24"/>
          <w:szCs w:val="24"/>
        </w:rPr>
        <w:t>mm×</w:t>
      </w:r>
      <w:r>
        <w:rPr>
          <w:rFonts w:hint="eastAsia" w:ascii="Times New Roman" w:hAnsi="Times New Roman" w:eastAsia="宋体" w:cs="Times New Roman"/>
          <w:color w:val="auto"/>
          <w:kern w:val="2"/>
          <w:sz w:val="24"/>
          <w:szCs w:val="24"/>
          <w:lang w:val="en-US" w:eastAsia="zh-CN"/>
        </w:rPr>
        <w:t>1100</w:t>
      </w:r>
      <w:r>
        <w:rPr>
          <w:rFonts w:ascii="Times New Roman" w:hAnsi="Times New Roman" w:eastAsia="宋体" w:cs="Times New Roman"/>
          <w:color w:val="auto"/>
          <w:kern w:val="2"/>
          <w:sz w:val="24"/>
          <w:szCs w:val="24"/>
        </w:rPr>
        <w:t xml:space="preserve"> mm×</w:t>
      </w:r>
      <w:r>
        <w:rPr>
          <w:rFonts w:hint="eastAsia" w:ascii="Times New Roman" w:hAnsi="Times New Roman" w:eastAsia="宋体" w:cs="Times New Roman"/>
          <w:color w:val="auto"/>
          <w:kern w:val="2"/>
          <w:sz w:val="24"/>
          <w:szCs w:val="24"/>
          <w:lang w:val="en-US" w:eastAsia="zh-CN"/>
        </w:rPr>
        <w:t>12</w:t>
      </w:r>
      <w:r>
        <w:rPr>
          <w:rFonts w:ascii="Times New Roman" w:hAnsi="Times New Roman" w:eastAsia="宋体" w:cs="Times New Roman"/>
          <w:color w:val="auto"/>
          <w:kern w:val="2"/>
          <w:sz w:val="24"/>
          <w:szCs w:val="24"/>
        </w:rPr>
        <w:t>00 mm =</w:t>
      </w:r>
      <w:r>
        <w:rPr>
          <w:rFonts w:hint="eastAsia" w:ascii="Times New Roman" w:hAnsi="Times New Roman" w:eastAsia="宋体" w:cs="Times New Roman"/>
          <w:color w:val="auto"/>
          <w:kern w:val="2"/>
          <w:sz w:val="24"/>
          <w:szCs w:val="24"/>
          <w:lang w:val="en-US" w:eastAsia="zh-CN"/>
        </w:rPr>
        <w:t>3.036</w:t>
      </w:r>
      <w:r>
        <w:rPr>
          <w:rFonts w:ascii="Times New Roman" w:hAnsi="Times New Roman" w:eastAsia="宋体" w:cs="Times New Roman"/>
          <w:color w:val="auto"/>
          <w:kern w:val="2"/>
          <w:sz w:val="24"/>
          <w:szCs w:val="24"/>
        </w:rPr>
        <w:t>m</w:t>
      </w:r>
      <w:r>
        <w:rPr>
          <w:rFonts w:ascii="Times New Roman" w:hAnsi="Times New Roman" w:eastAsia="宋体" w:cs="Times New Roman"/>
          <w:color w:val="auto"/>
          <w:kern w:val="2"/>
          <w:sz w:val="24"/>
          <w:szCs w:val="24"/>
          <w:vertAlign w:val="superscript"/>
        </w:rPr>
        <w:t>3</w:t>
      </w:r>
      <w:r>
        <w:rPr>
          <w:rFonts w:ascii="Times New Roman" w:hAnsi="Times New Roman" w:eastAsia="宋体" w:cs="Times New Roman"/>
          <w:color w:val="auto"/>
          <w:kern w:val="2"/>
          <w:sz w:val="24"/>
          <w:szCs w:val="24"/>
        </w:rPr>
        <w:t>，镀槽数量为2个，则主镀槽总容积为</w:t>
      </w:r>
      <w:r>
        <w:rPr>
          <w:rFonts w:hint="eastAsia" w:ascii="Times New Roman" w:hAnsi="Times New Roman" w:eastAsia="宋体" w:cs="Times New Roman"/>
          <w:color w:val="auto"/>
          <w:kern w:val="2"/>
          <w:sz w:val="24"/>
          <w:szCs w:val="24"/>
          <w:lang w:val="en-US" w:eastAsia="zh-CN"/>
        </w:rPr>
        <w:t>6.072</w:t>
      </w:r>
      <w:r>
        <w:rPr>
          <w:rFonts w:ascii="Times New Roman" w:hAnsi="Times New Roman" w:eastAsia="宋体" w:cs="Times New Roman"/>
          <w:color w:val="auto"/>
          <w:kern w:val="2"/>
          <w:sz w:val="24"/>
          <w:szCs w:val="24"/>
        </w:rPr>
        <w:t>m</w:t>
      </w:r>
      <w:r>
        <w:rPr>
          <w:rFonts w:ascii="Times New Roman" w:hAnsi="Times New Roman" w:eastAsia="宋体" w:cs="Times New Roman"/>
          <w:color w:val="auto"/>
          <w:kern w:val="2"/>
          <w:sz w:val="24"/>
          <w:szCs w:val="24"/>
          <w:vertAlign w:val="superscript"/>
        </w:rPr>
        <w:t>3</w:t>
      </w:r>
      <w:r>
        <w:rPr>
          <w:rFonts w:ascii="Times New Roman" w:hAnsi="Times New Roman" w:eastAsia="宋体" w:cs="Times New Roman"/>
          <w:color w:val="auto"/>
          <w:kern w:val="2"/>
          <w:sz w:val="24"/>
          <w:szCs w:val="24"/>
        </w:rPr>
        <w:t>；实际建设中主镀槽容积为</w:t>
      </w:r>
      <w:r>
        <w:rPr>
          <w:rFonts w:hint="eastAsia" w:ascii="Times New Roman" w:hAnsi="Times New Roman" w:eastAsia="宋体" w:cs="Times New Roman"/>
          <w:color w:val="auto"/>
          <w:kern w:val="2"/>
          <w:sz w:val="24"/>
          <w:szCs w:val="24"/>
          <w:lang w:val="en-US" w:eastAsia="zh-CN"/>
        </w:rPr>
        <w:t>2</w:t>
      </w:r>
      <w:r>
        <w:rPr>
          <w:rFonts w:ascii="Times New Roman" w:hAnsi="Times New Roman" w:eastAsia="宋体" w:cs="Times New Roman"/>
          <w:color w:val="auto"/>
          <w:kern w:val="2"/>
          <w:sz w:val="24"/>
          <w:szCs w:val="24"/>
        </w:rPr>
        <w:t>000mm×</w:t>
      </w:r>
      <w:r>
        <w:rPr>
          <w:rFonts w:hint="eastAsia" w:ascii="Times New Roman" w:hAnsi="Times New Roman" w:eastAsia="宋体" w:cs="Times New Roman"/>
          <w:color w:val="auto"/>
          <w:kern w:val="2"/>
          <w:sz w:val="24"/>
          <w:szCs w:val="24"/>
          <w:lang w:val="en-US" w:eastAsia="zh-CN"/>
        </w:rPr>
        <w:t>5</w:t>
      </w:r>
      <w:r>
        <w:rPr>
          <w:rFonts w:ascii="Times New Roman" w:hAnsi="Times New Roman" w:eastAsia="宋体" w:cs="Times New Roman"/>
          <w:color w:val="auto"/>
          <w:kern w:val="2"/>
          <w:sz w:val="24"/>
          <w:szCs w:val="24"/>
        </w:rPr>
        <w:t>00mm×</w:t>
      </w:r>
      <w:r>
        <w:rPr>
          <w:rFonts w:hint="eastAsia" w:ascii="Times New Roman" w:hAnsi="Times New Roman" w:eastAsia="宋体" w:cs="Times New Roman"/>
          <w:color w:val="auto"/>
          <w:kern w:val="2"/>
          <w:sz w:val="24"/>
          <w:szCs w:val="24"/>
          <w:lang w:val="en-US" w:eastAsia="zh-CN"/>
        </w:rPr>
        <w:t>5</w:t>
      </w:r>
      <w:r>
        <w:rPr>
          <w:rFonts w:ascii="Times New Roman" w:hAnsi="Times New Roman" w:eastAsia="宋体" w:cs="Times New Roman"/>
          <w:color w:val="auto"/>
          <w:kern w:val="2"/>
          <w:sz w:val="24"/>
          <w:szCs w:val="24"/>
        </w:rPr>
        <w:t>00mm=</w:t>
      </w:r>
      <w:r>
        <w:rPr>
          <w:rFonts w:hint="eastAsia" w:ascii="Times New Roman" w:hAnsi="Times New Roman" w:eastAsia="宋体" w:cs="Times New Roman"/>
          <w:color w:val="auto"/>
          <w:kern w:val="2"/>
          <w:sz w:val="24"/>
          <w:szCs w:val="24"/>
          <w:lang w:val="en-US" w:eastAsia="zh-CN"/>
        </w:rPr>
        <w:t>0.5</w:t>
      </w:r>
      <w:r>
        <w:rPr>
          <w:rFonts w:ascii="Times New Roman" w:hAnsi="Times New Roman" w:eastAsia="宋体" w:cs="Times New Roman"/>
          <w:color w:val="auto"/>
          <w:kern w:val="2"/>
          <w:sz w:val="24"/>
          <w:szCs w:val="24"/>
        </w:rPr>
        <w:t>m</w:t>
      </w:r>
      <w:r>
        <w:rPr>
          <w:rFonts w:ascii="Times New Roman" w:hAnsi="Times New Roman" w:eastAsia="宋体" w:cs="Times New Roman"/>
          <w:color w:val="auto"/>
          <w:kern w:val="2"/>
          <w:sz w:val="24"/>
          <w:szCs w:val="24"/>
          <w:vertAlign w:val="superscript"/>
        </w:rPr>
        <w:t>3</w:t>
      </w:r>
      <w:r>
        <w:rPr>
          <w:rFonts w:ascii="Times New Roman" w:hAnsi="Times New Roman" w:eastAsia="宋体" w:cs="Times New Roman"/>
          <w:color w:val="auto"/>
          <w:kern w:val="2"/>
          <w:sz w:val="24"/>
          <w:szCs w:val="24"/>
        </w:rPr>
        <w:t>，镀槽数量为</w:t>
      </w:r>
      <w:r>
        <w:rPr>
          <w:rFonts w:hint="eastAsia" w:ascii="Times New Roman" w:hAnsi="Times New Roman" w:eastAsia="宋体" w:cs="Times New Roman"/>
          <w:color w:val="auto"/>
          <w:kern w:val="2"/>
          <w:sz w:val="24"/>
          <w:szCs w:val="24"/>
          <w:lang w:val="en-US" w:eastAsia="zh-CN"/>
        </w:rPr>
        <w:t>7</w:t>
      </w:r>
      <w:r>
        <w:rPr>
          <w:rFonts w:ascii="Times New Roman" w:hAnsi="Times New Roman" w:eastAsia="宋体" w:cs="Times New Roman"/>
          <w:color w:val="auto"/>
          <w:kern w:val="2"/>
          <w:sz w:val="24"/>
          <w:szCs w:val="24"/>
        </w:rPr>
        <w:t>个，则主镀槽总容积为</w:t>
      </w:r>
      <w:r>
        <w:rPr>
          <w:rFonts w:hint="eastAsia" w:ascii="Times New Roman" w:hAnsi="Times New Roman" w:eastAsia="宋体" w:cs="Times New Roman"/>
          <w:color w:val="auto"/>
          <w:kern w:val="2"/>
          <w:sz w:val="24"/>
          <w:szCs w:val="24"/>
          <w:lang w:val="en-US" w:eastAsia="zh-CN"/>
        </w:rPr>
        <w:t>3.5</w:t>
      </w:r>
      <w:r>
        <w:rPr>
          <w:rFonts w:ascii="Times New Roman" w:hAnsi="Times New Roman" w:eastAsia="宋体" w:cs="Times New Roman"/>
          <w:color w:val="auto"/>
          <w:kern w:val="2"/>
          <w:sz w:val="24"/>
          <w:szCs w:val="24"/>
        </w:rPr>
        <w:t>m</w:t>
      </w:r>
      <w:r>
        <w:rPr>
          <w:rFonts w:ascii="Times New Roman" w:hAnsi="Times New Roman" w:eastAsia="宋体" w:cs="Times New Roman"/>
          <w:color w:val="auto"/>
          <w:kern w:val="2"/>
          <w:sz w:val="24"/>
          <w:szCs w:val="24"/>
          <w:vertAlign w:val="superscript"/>
        </w:rPr>
        <w:t>3</w:t>
      </w:r>
      <w:r>
        <w:rPr>
          <w:rFonts w:ascii="Times New Roman" w:hAnsi="Times New Roman" w:eastAsia="宋体" w:cs="Times New Roman"/>
          <w:color w:val="auto"/>
          <w:kern w:val="2"/>
          <w:sz w:val="24"/>
          <w:szCs w:val="24"/>
        </w:rPr>
        <w:t>。</w:t>
      </w:r>
      <w:r>
        <w:rPr>
          <w:rFonts w:hint="eastAsia" w:ascii="Times New Roman" w:hAnsi="Times New Roman" w:eastAsia="宋体" w:cs="Times New Roman"/>
          <w:color w:val="auto"/>
          <w:kern w:val="2"/>
          <w:sz w:val="24"/>
          <w:szCs w:val="24"/>
        </w:rPr>
        <w:t>主镀槽总容积减小</w:t>
      </w:r>
      <w:r>
        <w:rPr>
          <w:rFonts w:hint="eastAsia" w:ascii="Times New Roman" w:hAnsi="Times New Roman" w:eastAsia="宋体" w:cs="Times New Roman"/>
          <w:color w:val="auto"/>
          <w:kern w:val="2"/>
          <w:sz w:val="24"/>
          <w:szCs w:val="24"/>
          <w:lang w:eastAsia="zh-CN"/>
        </w:rPr>
        <w:t>。</w:t>
      </w:r>
    </w:p>
    <w:p w14:paraId="56F78501">
      <w:pPr>
        <w:widowControl w:val="0"/>
        <w:adjustRightInd w:val="0"/>
        <w:snapToGrid w:val="0"/>
        <w:spacing w:line="480" w:lineRule="exact"/>
        <w:ind w:firstLine="480" w:firstLineChars="200"/>
        <w:jc w:val="both"/>
        <w:rPr>
          <w:rFonts w:ascii="Times New Roman" w:hAnsi="Times New Roman" w:eastAsia="宋体" w:cs="Times New Roman"/>
          <w:b w:val="0"/>
          <w:bCs w:val="0"/>
          <w:color w:val="auto"/>
          <w:kern w:val="2"/>
          <w:sz w:val="24"/>
          <w:szCs w:val="24"/>
          <w:u w:val="none"/>
        </w:rPr>
      </w:pPr>
      <w:r>
        <w:rPr>
          <w:rFonts w:ascii="Times New Roman" w:hAnsi="Times New Roman" w:eastAsia="宋体" w:cs="Times New Roman"/>
          <w:b w:val="0"/>
          <w:bCs w:val="0"/>
          <w:color w:val="auto"/>
          <w:kern w:val="2"/>
          <w:sz w:val="24"/>
          <w:szCs w:val="24"/>
          <w:u w:val="none"/>
        </w:rPr>
        <w:t>对照《关于印发制浆造纸等十四个行业建设项目重大变动清单的通知》（环办环评[2018]6号）中《电镀建设项目重大变动清单》（试行），其规模中要求为：“1、主镀槽规格增大或数量增加导致电镀生产能力增大30%及以上”的属于重大变动。</w:t>
      </w:r>
    </w:p>
    <w:p w14:paraId="74C2FAD1">
      <w:pPr>
        <w:widowControl w:val="0"/>
        <w:adjustRightInd w:val="0"/>
        <w:snapToGrid w:val="0"/>
        <w:spacing w:line="480" w:lineRule="exact"/>
        <w:ind w:firstLine="480" w:firstLineChars="200"/>
        <w:jc w:val="both"/>
        <w:rPr>
          <w:rFonts w:hint="eastAsia" w:ascii="Times New Roman" w:hAnsi="Times New Roman" w:eastAsia="宋体" w:cs="Times New Roman"/>
          <w:color w:val="auto"/>
          <w:kern w:val="2"/>
          <w:sz w:val="24"/>
          <w:szCs w:val="24"/>
        </w:rPr>
      </w:pPr>
      <w:r>
        <w:rPr>
          <w:rFonts w:hint="eastAsia" w:ascii="Times New Roman" w:hAnsi="Times New Roman" w:eastAsia="宋体" w:cs="Times New Roman"/>
          <w:color w:val="auto"/>
          <w:kern w:val="2"/>
          <w:sz w:val="24"/>
          <w:szCs w:val="24"/>
        </w:rPr>
        <w:t>本项目</w:t>
      </w:r>
      <w:r>
        <w:rPr>
          <w:rFonts w:hint="eastAsia" w:cs="Times New Roman"/>
          <w:color w:val="auto"/>
          <w:kern w:val="2"/>
          <w:sz w:val="24"/>
          <w:szCs w:val="24"/>
          <w:lang w:eastAsia="zh-CN"/>
        </w:rPr>
        <w:t>（</w:t>
      </w:r>
      <w:r>
        <w:rPr>
          <w:rFonts w:hint="eastAsia" w:cs="Times New Roman"/>
          <w:color w:val="auto"/>
          <w:kern w:val="2"/>
          <w:sz w:val="24"/>
          <w:szCs w:val="24"/>
          <w:lang w:val="en-US" w:eastAsia="zh-CN"/>
        </w:rPr>
        <w:t>一期</w:t>
      </w:r>
      <w:r>
        <w:rPr>
          <w:rFonts w:hint="eastAsia" w:cs="Times New Roman"/>
          <w:color w:val="auto"/>
          <w:kern w:val="2"/>
          <w:sz w:val="24"/>
          <w:szCs w:val="24"/>
          <w:lang w:eastAsia="zh-CN"/>
        </w:rPr>
        <w:t>）</w:t>
      </w:r>
      <w:r>
        <w:rPr>
          <w:rFonts w:hint="eastAsia" w:ascii="Times New Roman" w:hAnsi="Times New Roman" w:eastAsia="宋体" w:cs="Times New Roman"/>
          <w:color w:val="auto"/>
          <w:kern w:val="2"/>
          <w:sz w:val="24"/>
          <w:szCs w:val="24"/>
        </w:rPr>
        <w:t>实际建设中</w:t>
      </w:r>
      <w:r>
        <w:rPr>
          <w:rFonts w:ascii="Times New Roman" w:hAnsi="Times New Roman" w:eastAsia="宋体" w:cs="Times New Roman"/>
          <w:color w:val="auto"/>
          <w:kern w:val="2"/>
          <w:sz w:val="24"/>
          <w:szCs w:val="24"/>
        </w:rPr>
        <w:t>，汽车配件挂镀锌工序生产线中主镀槽单槽容积增加，数量减少，</w:t>
      </w:r>
      <w:r>
        <w:rPr>
          <w:rFonts w:hint="eastAsia" w:ascii="Times New Roman" w:hAnsi="Times New Roman" w:eastAsia="宋体" w:cs="Times New Roman"/>
          <w:color w:val="auto"/>
          <w:kern w:val="2"/>
          <w:sz w:val="24"/>
          <w:szCs w:val="24"/>
        </w:rPr>
        <w:t>主镀槽总容积减小，</w:t>
      </w:r>
      <w:r>
        <w:rPr>
          <w:rFonts w:ascii="Times New Roman" w:hAnsi="Times New Roman" w:eastAsia="宋体" w:cs="Times New Roman"/>
          <w:color w:val="auto"/>
          <w:kern w:val="2"/>
          <w:sz w:val="24"/>
          <w:szCs w:val="24"/>
        </w:rPr>
        <w:t>其电镀能力</w:t>
      </w:r>
      <w:r>
        <w:rPr>
          <w:rFonts w:hint="eastAsia" w:ascii="Times New Roman" w:hAnsi="Times New Roman" w:eastAsia="宋体" w:cs="Times New Roman"/>
          <w:color w:val="auto"/>
          <w:kern w:val="2"/>
          <w:sz w:val="24"/>
          <w:szCs w:val="24"/>
          <w:lang w:val="en-US" w:eastAsia="zh-CN"/>
        </w:rPr>
        <w:t>减小，根据前文分析可知，实际建设电镀生产能力满足汽车配件8000吨/年的产能要求</w:t>
      </w:r>
      <w:r>
        <w:rPr>
          <w:rFonts w:hint="eastAsia" w:ascii="Times New Roman" w:hAnsi="Times New Roman" w:eastAsia="宋体" w:cs="Times New Roman"/>
          <w:color w:val="auto"/>
          <w:kern w:val="2"/>
          <w:sz w:val="24"/>
          <w:szCs w:val="24"/>
        </w:rPr>
        <w:t>。</w:t>
      </w:r>
      <w:r>
        <w:rPr>
          <w:rFonts w:ascii="Times New Roman" w:hAnsi="Times New Roman" w:eastAsia="宋体" w:cs="Times New Roman"/>
          <w:color w:val="auto"/>
          <w:kern w:val="2"/>
          <w:sz w:val="24"/>
          <w:szCs w:val="24"/>
        </w:rPr>
        <w:t>钢带1#镀镍线中主镀槽单槽容积增加，数量减小，</w:t>
      </w:r>
      <w:r>
        <w:rPr>
          <w:rFonts w:hint="eastAsia" w:ascii="Times New Roman" w:hAnsi="Times New Roman" w:eastAsia="宋体" w:cs="Times New Roman"/>
          <w:color w:val="auto"/>
          <w:kern w:val="2"/>
          <w:sz w:val="24"/>
          <w:szCs w:val="24"/>
        </w:rPr>
        <w:t>主镀槽总容积减小，</w:t>
      </w:r>
      <w:r>
        <w:rPr>
          <w:rFonts w:ascii="Times New Roman" w:hAnsi="Times New Roman" w:eastAsia="宋体" w:cs="Times New Roman"/>
          <w:color w:val="auto"/>
          <w:kern w:val="2"/>
          <w:sz w:val="24"/>
          <w:szCs w:val="24"/>
        </w:rPr>
        <w:t>其电镀能力不增加</w:t>
      </w:r>
      <w:r>
        <w:rPr>
          <w:rFonts w:hint="eastAsia" w:ascii="Times New Roman" w:hAnsi="Times New Roman" w:eastAsia="宋体" w:cs="Times New Roman"/>
          <w:color w:val="auto"/>
          <w:kern w:val="2"/>
          <w:sz w:val="24"/>
          <w:szCs w:val="24"/>
        </w:rPr>
        <w:t>。</w:t>
      </w:r>
      <w:r>
        <w:rPr>
          <w:rFonts w:ascii="Times New Roman" w:hAnsi="Times New Roman" w:eastAsia="宋体" w:cs="Times New Roman"/>
          <w:color w:val="auto"/>
          <w:kern w:val="2"/>
          <w:sz w:val="24"/>
          <w:szCs w:val="24"/>
        </w:rPr>
        <w:t>钢带2#镀镍线中主镀槽单槽容积增加，数量减小，</w:t>
      </w:r>
      <w:r>
        <w:rPr>
          <w:rFonts w:hint="eastAsia" w:ascii="Times New Roman" w:hAnsi="Times New Roman" w:eastAsia="宋体" w:cs="Times New Roman"/>
          <w:color w:val="auto"/>
          <w:kern w:val="2"/>
          <w:sz w:val="24"/>
          <w:szCs w:val="24"/>
        </w:rPr>
        <w:t>主镀槽总容积减小，</w:t>
      </w:r>
      <w:r>
        <w:rPr>
          <w:rFonts w:ascii="Times New Roman" w:hAnsi="Times New Roman" w:eastAsia="宋体" w:cs="Times New Roman"/>
          <w:color w:val="auto"/>
          <w:kern w:val="2"/>
          <w:sz w:val="24"/>
          <w:szCs w:val="24"/>
        </w:rPr>
        <w:t>其电镀能力不增加</w:t>
      </w:r>
      <w:r>
        <w:rPr>
          <w:rFonts w:hint="eastAsia" w:ascii="Times New Roman" w:hAnsi="Times New Roman" w:eastAsia="宋体" w:cs="Times New Roman"/>
          <w:color w:val="auto"/>
          <w:kern w:val="2"/>
          <w:sz w:val="24"/>
          <w:szCs w:val="24"/>
        </w:rPr>
        <w:t>。</w:t>
      </w:r>
      <w:r>
        <w:rPr>
          <w:rFonts w:ascii="Times New Roman" w:hAnsi="Times New Roman" w:eastAsia="宋体" w:cs="Times New Roman"/>
          <w:color w:val="auto"/>
          <w:kern w:val="2"/>
          <w:sz w:val="24"/>
          <w:szCs w:val="24"/>
        </w:rPr>
        <w:t>钢带</w:t>
      </w:r>
      <w:r>
        <w:rPr>
          <w:rFonts w:hint="eastAsia" w:ascii="Times New Roman" w:hAnsi="Times New Roman" w:eastAsia="宋体" w:cs="Times New Roman"/>
          <w:color w:val="auto"/>
          <w:kern w:val="2"/>
          <w:sz w:val="24"/>
          <w:szCs w:val="24"/>
          <w:lang w:val="en-US" w:eastAsia="zh-CN"/>
        </w:rPr>
        <w:t>3</w:t>
      </w:r>
      <w:r>
        <w:rPr>
          <w:rFonts w:ascii="Times New Roman" w:hAnsi="Times New Roman" w:eastAsia="宋体" w:cs="Times New Roman"/>
          <w:color w:val="auto"/>
          <w:kern w:val="2"/>
          <w:sz w:val="24"/>
          <w:szCs w:val="24"/>
        </w:rPr>
        <w:t>#镀镍线中主镀槽单槽容积</w:t>
      </w:r>
      <w:r>
        <w:rPr>
          <w:rFonts w:hint="eastAsia" w:ascii="Times New Roman" w:hAnsi="Times New Roman" w:eastAsia="宋体" w:cs="Times New Roman"/>
          <w:color w:val="auto"/>
          <w:kern w:val="2"/>
          <w:sz w:val="24"/>
          <w:szCs w:val="24"/>
          <w:lang w:val="en-US" w:eastAsia="zh-CN"/>
        </w:rPr>
        <w:t>减小</w:t>
      </w:r>
      <w:r>
        <w:rPr>
          <w:rFonts w:ascii="Times New Roman" w:hAnsi="Times New Roman" w:eastAsia="宋体" w:cs="Times New Roman"/>
          <w:color w:val="auto"/>
          <w:kern w:val="2"/>
          <w:sz w:val="24"/>
          <w:szCs w:val="24"/>
        </w:rPr>
        <w:t>，数量</w:t>
      </w:r>
      <w:r>
        <w:rPr>
          <w:rFonts w:hint="eastAsia" w:ascii="Times New Roman" w:hAnsi="Times New Roman" w:eastAsia="宋体" w:cs="Times New Roman"/>
          <w:color w:val="auto"/>
          <w:kern w:val="2"/>
          <w:sz w:val="24"/>
          <w:szCs w:val="24"/>
          <w:lang w:val="en-US" w:eastAsia="zh-CN"/>
        </w:rPr>
        <w:t>增加</w:t>
      </w:r>
      <w:r>
        <w:rPr>
          <w:rFonts w:ascii="Times New Roman" w:hAnsi="Times New Roman" w:eastAsia="宋体" w:cs="Times New Roman"/>
          <w:color w:val="auto"/>
          <w:kern w:val="2"/>
          <w:sz w:val="24"/>
          <w:szCs w:val="24"/>
        </w:rPr>
        <w:t>，</w:t>
      </w:r>
      <w:r>
        <w:rPr>
          <w:rFonts w:hint="eastAsia" w:ascii="Times New Roman" w:hAnsi="Times New Roman" w:eastAsia="宋体" w:cs="Times New Roman"/>
          <w:color w:val="auto"/>
          <w:kern w:val="2"/>
          <w:sz w:val="24"/>
          <w:szCs w:val="24"/>
        </w:rPr>
        <w:t>主镀槽总容积减小，</w:t>
      </w:r>
      <w:r>
        <w:rPr>
          <w:rFonts w:ascii="Times New Roman" w:hAnsi="Times New Roman" w:eastAsia="宋体" w:cs="Times New Roman"/>
          <w:color w:val="auto"/>
          <w:kern w:val="2"/>
          <w:sz w:val="24"/>
          <w:szCs w:val="24"/>
        </w:rPr>
        <w:t>其电镀能力不增加</w:t>
      </w:r>
      <w:r>
        <w:rPr>
          <w:rFonts w:hint="eastAsia" w:ascii="Times New Roman" w:hAnsi="Times New Roman" w:eastAsia="宋体" w:cs="Times New Roman"/>
          <w:color w:val="auto"/>
          <w:kern w:val="2"/>
          <w:sz w:val="24"/>
          <w:szCs w:val="24"/>
        </w:rPr>
        <w:t>。</w:t>
      </w:r>
    </w:p>
    <w:p w14:paraId="098FBF38">
      <w:pPr>
        <w:widowControl w:val="0"/>
        <w:adjustRightInd w:val="0"/>
        <w:snapToGrid w:val="0"/>
        <w:spacing w:line="480" w:lineRule="exact"/>
        <w:ind w:firstLine="480" w:firstLineChars="200"/>
        <w:jc w:val="both"/>
        <w:rPr>
          <w:rFonts w:ascii="Times New Roman" w:hAnsi="Times New Roman" w:eastAsia="宋体" w:cs="Times New Roman"/>
          <w:color w:val="auto"/>
          <w:kern w:val="2"/>
          <w:sz w:val="24"/>
          <w:szCs w:val="24"/>
        </w:rPr>
      </w:pPr>
      <w:r>
        <w:rPr>
          <w:rFonts w:hint="eastAsia" w:ascii="Times New Roman" w:hAnsi="Times New Roman" w:eastAsia="宋体" w:cs="Times New Roman"/>
          <w:color w:val="auto"/>
          <w:kern w:val="2"/>
          <w:sz w:val="24"/>
          <w:szCs w:val="24"/>
        </w:rPr>
        <w:t>故上述变动情况不会导致第</w:t>
      </w:r>
      <w:r>
        <w:rPr>
          <w:rFonts w:ascii="Times New Roman" w:hAnsi="Times New Roman" w:eastAsia="宋体" w:cs="Times New Roman"/>
          <w:color w:val="auto"/>
          <w:kern w:val="2"/>
          <w:sz w:val="24"/>
          <w:szCs w:val="24"/>
        </w:rPr>
        <w:t>1</w:t>
      </w:r>
      <w:r>
        <w:rPr>
          <w:rFonts w:hint="eastAsia" w:ascii="Times New Roman" w:hAnsi="Times New Roman" w:eastAsia="宋体" w:cs="Times New Roman"/>
          <w:color w:val="auto"/>
          <w:kern w:val="2"/>
          <w:sz w:val="24"/>
          <w:szCs w:val="24"/>
        </w:rPr>
        <w:t>条所列情形，因此不属于重大变动。</w:t>
      </w:r>
    </w:p>
    <w:p w14:paraId="6AB35943">
      <w:pPr>
        <w:spacing w:line="480" w:lineRule="exact"/>
        <w:ind w:firstLine="480"/>
        <w:jc w:val="both"/>
        <w:rPr>
          <w:rFonts w:cs="Times New Roman"/>
          <w:color w:val="FF0000"/>
          <w:szCs w:val="24"/>
        </w:rPr>
      </w:pPr>
      <w:r>
        <w:rPr>
          <w:rFonts w:ascii="Times New Roman" w:hAnsi="Times New Roman" w:eastAsia="宋体" w:cs="Times New Roman"/>
          <w:color w:val="auto"/>
          <w:kern w:val="2"/>
          <w:sz w:val="24"/>
          <w:szCs w:val="24"/>
        </w:rPr>
        <w:t>②</w:t>
      </w:r>
      <w:r>
        <w:rPr>
          <w:rFonts w:hint="eastAsia" w:ascii="Times New Roman" w:hAnsi="Times New Roman" w:eastAsia="宋体" w:cs="Times New Roman"/>
          <w:color w:val="auto"/>
          <w:kern w:val="2"/>
          <w:sz w:val="24"/>
          <w:szCs w:val="24"/>
        </w:rPr>
        <w:t>其他槽体规格和数量变动。</w:t>
      </w:r>
      <w:r>
        <w:rPr>
          <w:rFonts w:hint="eastAsia" w:cs="Times New Roman"/>
          <w:color w:val="auto"/>
          <w:kern w:val="2"/>
          <w:sz w:val="24"/>
          <w:szCs w:val="24"/>
          <w:lang w:eastAsia="zh-CN"/>
        </w:rPr>
        <w:t>本项目（一期）</w:t>
      </w:r>
      <w:r>
        <w:rPr>
          <w:rFonts w:hint="eastAsia" w:ascii="Times New Roman" w:hAnsi="Times New Roman" w:eastAsia="宋体" w:cs="Times New Roman"/>
          <w:color w:val="auto"/>
          <w:kern w:val="2"/>
          <w:sz w:val="24"/>
          <w:szCs w:val="24"/>
        </w:rPr>
        <w:t>建设项目（</w:t>
      </w:r>
      <w:r>
        <w:rPr>
          <w:rFonts w:ascii="Times New Roman" w:hAnsi="Times New Roman" w:eastAsia="宋体" w:cs="Times New Roman"/>
          <w:color w:val="auto"/>
          <w:kern w:val="2"/>
          <w:sz w:val="24"/>
          <w:szCs w:val="24"/>
        </w:rPr>
        <w:t>汽车配件挂镀锌工序生产线</w:t>
      </w:r>
      <w:r>
        <w:rPr>
          <w:rFonts w:hint="eastAsia" w:ascii="Times New Roman" w:hAnsi="Times New Roman" w:eastAsia="宋体" w:cs="Times New Roman"/>
          <w:color w:val="auto"/>
          <w:kern w:val="2"/>
          <w:sz w:val="24"/>
          <w:szCs w:val="24"/>
        </w:rPr>
        <w:t>、</w:t>
      </w:r>
      <w:r>
        <w:rPr>
          <w:rFonts w:ascii="Times New Roman" w:hAnsi="Times New Roman" w:eastAsia="宋体" w:cs="Times New Roman"/>
          <w:color w:val="auto"/>
          <w:kern w:val="2"/>
          <w:sz w:val="24"/>
          <w:szCs w:val="24"/>
        </w:rPr>
        <w:t>钢带</w:t>
      </w:r>
      <w:r>
        <w:rPr>
          <w:rFonts w:hint="eastAsia" w:ascii="Times New Roman" w:hAnsi="Times New Roman" w:eastAsia="宋体" w:cs="Times New Roman"/>
          <w:color w:val="auto"/>
          <w:kern w:val="2"/>
          <w:sz w:val="24"/>
          <w:szCs w:val="24"/>
        </w:rPr>
        <w:t>1#</w:t>
      </w:r>
      <w:r>
        <w:rPr>
          <w:rFonts w:ascii="Times New Roman" w:hAnsi="Times New Roman" w:eastAsia="宋体" w:cs="Times New Roman"/>
          <w:color w:val="auto"/>
          <w:kern w:val="2"/>
          <w:sz w:val="24"/>
          <w:szCs w:val="24"/>
        </w:rPr>
        <w:t>2#</w:t>
      </w:r>
      <w:r>
        <w:rPr>
          <w:rFonts w:hint="eastAsia" w:ascii="Times New Roman" w:hAnsi="Times New Roman" w:eastAsia="宋体" w:cs="Times New Roman"/>
          <w:color w:val="auto"/>
          <w:kern w:val="2"/>
          <w:sz w:val="24"/>
          <w:szCs w:val="24"/>
          <w:lang w:val="en-US" w:eastAsia="zh-CN"/>
        </w:rPr>
        <w:t>3#</w:t>
      </w:r>
      <w:r>
        <w:rPr>
          <w:rFonts w:ascii="Times New Roman" w:hAnsi="Times New Roman" w:eastAsia="宋体" w:cs="Times New Roman"/>
          <w:color w:val="auto"/>
          <w:kern w:val="2"/>
          <w:sz w:val="24"/>
          <w:szCs w:val="24"/>
        </w:rPr>
        <w:t>镀镍线</w:t>
      </w:r>
      <w:r>
        <w:rPr>
          <w:rFonts w:hint="eastAsia" w:ascii="Times New Roman" w:hAnsi="Times New Roman" w:eastAsia="宋体" w:cs="Times New Roman"/>
          <w:color w:val="auto"/>
          <w:kern w:val="2"/>
          <w:sz w:val="24"/>
          <w:szCs w:val="24"/>
        </w:rPr>
        <w:t>、退镀锌线）除决定产能的主镀槽变动外，其他槽体（如化学除油槽、水洗槽、活化槽、酸洗槽及退镀线槽体等）</w:t>
      </w:r>
      <w:r>
        <w:rPr>
          <w:rFonts w:hint="eastAsia" w:ascii="Times New Roman" w:hAnsi="Times New Roman" w:eastAsia="宋体" w:cs="Times New Roman"/>
          <w:color w:val="auto"/>
          <w:kern w:val="2"/>
          <w:sz w:val="24"/>
          <w:szCs w:val="24"/>
          <w:lang w:val="en-US" w:eastAsia="zh-CN"/>
        </w:rPr>
        <w:t>的变动</w:t>
      </w:r>
      <w:r>
        <w:rPr>
          <w:rFonts w:hint="eastAsia" w:ascii="Times New Roman" w:hAnsi="Times New Roman" w:eastAsia="宋体" w:cs="Times New Roman"/>
          <w:color w:val="auto"/>
          <w:kern w:val="2"/>
          <w:sz w:val="24"/>
          <w:szCs w:val="24"/>
        </w:rPr>
        <w:t>不属于重大变动。</w:t>
      </w:r>
    </w:p>
    <w:p w14:paraId="20C68A53">
      <w:pPr>
        <w:pStyle w:val="3"/>
        <w:spacing w:before="163" w:after="163"/>
        <w:ind w:firstLine="643"/>
        <w:rPr>
          <w:rFonts w:cs="Times New Roman"/>
          <w:color w:val="auto"/>
        </w:rPr>
      </w:pPr>
      <w:bookmarkStart w:id="9" w:name="_Toc172712289"/>
      <w:r>
        <w:rPr>
          <w:rFonts w:cs="Times New Roman"/>
          <w:color w:val="auto"/>
        </w:rPr>
        <w:t>3.5</w:t>
      </w:r>
      <w:r>
        <w:rPr>
          <w:rFonts w:hint="eastAsia" w:cs="Times New Roman"/>
          <w:color w:val="auto"/>
        </w:rPr>
        <w:t>水源</w:t>
      </w:r>
      <w:r>
        <w:rPr>
          <w:rFonts w:cs="Times New Roman"/>
          <w:color w:val="auto"/>
        </w:rPr>
        <w:t>及水平衡</w:t>
      </w:r>
      <w:bookmarkEnd w:id="9"/>
    </w:p>
    <w:p w14:paraId="2C1B8D9A">
      <w:pPr>
        <w:ind w:firstLine="480"/>
        <w:jc w:val="both"/>
        <w:rPr>
          <w:color w:val="auto"/>
        </w:rPr>
      </w:pPr>
      <w:r>
        <w:rPr>
          <w:rFonts w:hint="eastAsia"/>
          <w:color w:val="auto"/>
        </w:rPr>
        <w:t>本项目分期建设，</w:t>
      </w:r>
      <w:r>
        <w:rPr>
          <w:rFonts w:hint="eastAsia"/>
          <w:color w:val="auto"/>
          <w:lang w:val="en-US" w:eastAsia="zh-CN"/>
        </w:rPr>
        <w:t>本次一期项目仅涉及镀锌线、退锌线及钢带线，</w:t>
      </w:r>
      <w:r>
        <w:rPr>
          <w:rFonts w:hint="eastAsia"/>
          <w:color w:val="auto"/>
        </w:rPr>
        <w:t>实际建设用水环节与原环评批复</w:t>
      </w:r>
      <w:r>
        <w:rPr>
          <w:rFonts w:hint="eastAsia"/>
          <w:color w:val="auto"/>
          <w:lang w:val="en-US" w:eastAsia="zh-CN"/>
        </w:rPr>
        <w:t>减少</w:t>
      </w:r>
      <w:r>
        <w:rPr>
          <w:rFonts w:hint="eastAsia"/>
          <w:color w:val="auto"/>
        </w:rPr>
        <w:t>，排水环节</w:t>
      </w:r>
      <w:r>
        <w:rPr>
          <w:rFonts w:hint="eastAsia"/>
          <w:color w:val="auto"/>
          <w:lang w:val="en-US" w:eastAsia="zh-CN"/>
        </w:rPr>
        <w:t>减少</w:t>
      </w:r>
      <w:r>
        <w:rPr>
          <w:rFonts w:hint="eastAsia"/>
          <w:color w:val="auto"/>
        </w:rPr>
        <w:t>，总用水量发生变动。</w:t>
      </w:r>
    </w:p>
    <w:p w14:paraId="2248EC70">
      <w:pPr>
        <w:ind w:firstLine="480"/>
        <w:jc w:val="both"/>
        <w:rPr>
          <w:color w:val="auto"/>
        </w:rPr>
      </w:pPr>
      <w:r>
        <w:rPr>
          <w:rFonts w:hint="eastAsia"/>
          <w:color w:val="auto"/>
        </w:rPr>
        <w:t>原环评批复中</w:t>
      </w:r>
      <w:r>
        <w:rPr>
          <w:rFonts w:hint="eastAsia"/>
          <w:color w:val="auto"/>
          <w:lang w:val="en-US" w:eastAsia="zh-CN"/>
        </w:rPr>
        <w:t>镀锌线钝化废槽液、钝化后水洗废水及退锌线退镀后水洗废水、脱脂废水、水洗废水和酸雾吸收塔</w:t>
      </w:r>
      <w:r>
        <w:rPr>
          <w:rFonts w:hint="eastAsia"/>
          <w:color w:val="auto"/>
        </w:rPr>
        <w:t>废水进入</w:t>
      </w:r>
      <w:r>
        <w:rPr>
          <w:rFonts w:hint="eastAsia"/>
          <w:color w:val="auto"/>
          <w:lang w:val="en-US" w:eastAsia="zh-CN"/>
        </w:rPr>
        <w:t>1套新建的含铬废水处理设施处理后回用</w:t>
      </w:r>
      <w:r>
        <w:rPr>
          <w:rFonts w:hint="eastAsia"/>
          <w:color w:val="auto"/>
          <w:lang w:eastAsia="zh-CN"/>
        </w:rPr>
        <w:t>；</w:t>
      </w:r>
      <w:r>
        <w:rPr>
          <w:rFonts w:hint="eastAsia"/>
          <w:color w:val="auto"/>
        </w:rPr>
        <w:t>企业实际建设</w:t>
      </w:r>
      <w:r>
        <w:rPr>
          <w:rFonts w:hint="eastAsia"/>
          <w:color w:val="auto"/>
          <w:lang w:val="en-US" w:eastAsia="zh-CN"/>
        </w:rPr>
        <w:t>中依托现有1套含铬废水处理设施处理后回用</w:t>
      </w:r>
      <w:r>
        <w:rPr>
          <w:rFonts w:hint="eastAsia"/>
          <w:color w:val="auto"/>
          <w:lang w:eastAsia="zh-CN"/>
        </w:rPr>
        <w:t>。</w:t>
      </w:r>
      <w:r>
        <w:rPr>
          <w:rFonts w:hint="eastAsia"/>
          <w:color w:val="auto"/>
        </w:rPr>
        <w:t>原环评批复中</w:t>
      </w:r>
      <w:r>
        <w:rPr>
          <w:rFonts w:hint="eastAsia"/>
          <w:color w:val="auto"/>
          <w:lang w:val="en-US" w:eastAsia="zh-CN"/>
        </w:rPr>
        <w:t>钢带线镀镍后水洗</w:t>
      </w:r>
      <w:r>
        <w:rPr>
          <w:rFonts w:hint="eastAsia"/>
          <w:color w:val="auto"/>
        </w:rPr>
        <w:t>废水进入</w:t>
      </w:r>
      <w:r>
        <w:rPr>
          <w:rFonts w:hint="eastAsia"/>
          <w:color w:val="auto"/>
          <w:lang w:val="en-US" w:eastAsia="zh-CN"/>
        </w:rPr>
        <w:t>1套新建的含镍废水处理设施处理后回用</w:t>
      </w:r>
      <w:r>
        <w:rPr>
          <w:rFonts w:hint="eastAsia"/>
          <w:color w:val="auto"/>
          <w:lang w:eastAsia="zh-CN"/>
        </w:rPr>
        <w:t>；</w:t>
      </w:r>
      <w:r>
        <w:rPr>
          <w:rFonts w:hint="eastAsia"/>
          <w:color w:val="auto"/>
        </w:rPr>
        <w:t>企业实际建设</w:t>
      </w:r>
      <w:r>
        <w:rPr>
          <w:rFonts w:hint="eastAsia"/>
          <w:color w:val="auto"/>
          <w:lang w:val="en-US" w:eastAsia="zh-CN"/>
        </w:rPr>
        <w:t>中依托现有1套含镍废水处理设施处理后回用</w:t>
      </w:r>
      <w:r>
        <w:rPr>
          <w:rFonts w:hint="eastAsia"/>
          <w:color w:val="auto"/>
        </w:rPr>
        <w:t>。</w:t>
      </w:r>
    </w:p>
    <w:p w14:paraId="014C336D">
      <w:pPr>
        <w:ind w:firstLine="480"/>
        <w:jc w:val="both"/>
        <w:rPr>
          <w:rFonts w:cs="Times New Roman"/>
          <w:color w:val="auto"/>
          <w:szCs w:val="24"/>
        </w:rPr>
      </w:pPr>
      <w:r>
        <w:rPr>
          <w:rFonts w:cs="Times New Roman"/>
          <w:color w:val="auto"/>
          <w:szCs w:val="24"/>
        </w:rPr>
        <w:t>对照《关于印发制浆造纸等十四个行业建设项目重大变动清单的通知》（环办环评[2018]6号）中《电镀建设项目重大变动清单》，其环境保护措施中要求为：“5</w:t>
      </w:r>
      <w:r>
        <w:rPr>
          <w:rFonts w:hint="eastAsia" w:cs="Times New Roman"/>
          <w:color w:val="auto"/>
          <w:szCs w:val="24"/>
        </w:rPr>
        <w:t>、</w:t>
      </w:r>
      <w:r>
        <w:rPr>
          <w:rFonts w:cs="Times New Roman"/>
          <w:color w:val="auto"/>
          <w:szCs w:val="24"/>
        </w:rPr>
        <w:t>废水、废气处理工艺变化，导致新增污染物或污染物排放量增加（废气无组织排放改为有组织排放除外）”</w:t>
      </w:r>
      <w:r>
        <w:rPr>
          <w:rFonts w:hint="eastAsia" w:cs="Times New Roman"/>
          <w:color w:val="auto"/>
          <w:szCs w:val="24"/>
        </w:rPr>
        <w:t>，本项目</w:t>
      </w:r>
      <w:r>
        <w:rPr>
          <w:rFonts w:cs="Times New Roman"/>
          <w:color w:val="auto"/>
        </w:rPr>
        <w:t>含铬废水处理系统、含镍废水处理系统</w:t>
      </w:r>
      <w:r>
        <w:rPr>
          <w:rFonts w:hint="eastAsia" w:cs="Times New Roman"/>
          <w:color w:val="auto"/>
          <w:lang w:eastAsia="zh-CN"/>
        </w:rPr>
        <w:t>、</w:t>
      </w:r>
      <w:r>
        <w:rPr>
          <w:rFonts w:hint="eastAsia" w:cs="Times New Roman"/>
          <w:color w:val="auto"/>
          <w:lang w:val="en-US" w:eastAsia="zh-CN"/>
        </w:rPr>
        <w:t>含高COD废水处理系统</w:t>
      </w:r>
      <w:r>
        <w:rPr>
          <w:rFonts w:cs="Times New Roman"/>
          <w:color w:val="auto"/>
        </w:rPr>
        <w:t>废水处理后回用于生产不外排，因此本项目实际排水情况少于环评批复排水量</w:t>
      </w:r>
      <w:r>
        <w:rPr>
          <w:rFonts w:hint="eastAsia" w:cs="Times New Roman"/>
          <w:color w:val="auto"/>
        </w:rPr>
        <w:t>，污染物排放量减少且该变动不涉及产能，</w:t>
      </w:r>
      <w:r>
        <w:rPr>
          <w:rFonts w:hint="eastAsia" w:cs="Times New Roman"/>
          <w:color w:val="auto"/>
          <w:szCs w:val="24"/>
        </w:rPr>
        <w:t>故该变动情况不会导致第5条所列情形，不属于重大变动，能够满足验收要求。</w:t>
      </w:r>
    </w:p>
    <w:p w14:paraId="7CBD944F">
      <w:pPr>
        <w:ind w:firstLine="480"/>
        <w:jc w:val="both"/>
        <w:rPr>
          <w:rFonts w:cs="Times New Roman"/>
          <w:color w:val="auto"/>
          <w:szCs w:val="24"/>
        </w:rPr>
      </w:pPr>
      <w:r>
        <w:rPr>
          <w:rFonts w:cs="Times New Roman"/>
          <w:color w:val="auto"/>
        </w:rPr>
        <w:t>原环评批复水平衡与实际建设水平衡见</w:t>
      </w:r>
      <w:r>
        <w:rPr>
          <w:rFonts w:hint="eastAsia" w:cs="Times New Roman"/>
          <w:color w:val="auto"/>
          <w:lang w:val="en-US" w:eastAsia="zh-CN"/>
        </w:rPr>
        <w:t>下</w:t>
      </w:r>
      <w:r>
        <w:rPr>
          <w:rFonts w:cs="Times New Roman"/>
          <w:color w:val="auto"/>
        </w:rPr>
        <w:t>图。</w:t>
      </w:r>
    </w:p>
    <w:p w14:paraId="2E5A6472">
      <w:pPr>
        <w:ind w:firstLine="480"/>
        <w:rPr>
          <w:rFonts w:cs="Times New Roman"/>
          <w:color w:val="FF0000"/>
          <w:szCs w:val="24"/>
        </w:rPr>
      </w:pPr>
    </w:p>
    <w:p w14:paraId="1E579EAC">
      <w:pPr>
        <w:ind w:firstLine="480"/>
        <w:rPr>
          <w:color w:val="FF0000"/>
        </w:rPr>
      </w:pPr>
    </w:p>
    <w:p w14:paraId="73420241">
      <w:pPr>
        <w:ind w:firstLine="480"/>
        <w:rPr>
          <w:color w:val="FF0000"/>
        </w:rPr>
        <w:sectPr>
          <w:pgSz w:w="11906" w:h="16838"/>
          <w:pgMar w:top="1417" w:right="1417" w:bottom="1417" w:left="1417" w:header="851" w:footer="992" w:gutter="0"/>
          <w:cols w:space="425" w:num="1"/>
          <w:docGrid w:type="lines" w:linePitch="326" w:charSpace="0"/>
        </w:sectPr>
      </w:pPr>
    </w:p>
    <w:p w14:paraId="6F73F0B3">
      <w:pPr>
        <w:spacing w:line="240" w:lineRule="auto"/>
        <w:ind w:firstLine="0" w:firstLineChars="0"/>
        <w:jc w:val="center"/>
        <w:rPr>
          <w:color w:val="FF0000"/>
        </w:rPr>
      </w:pPr>
      <w:r>
        <w:drawing>
          <wp:inline distT="0" distB="0" distL="114300" distR="114300">
            <wp:extent cx="5633085" cy="7923530"/>
            <wp:effectExtent l="0" t="0" r="5715" b="1270"/>
            <wp:docPr id="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3"/>
                    <pic:cNvPicPr>
                      <a:picLocks noChangeAspect="1"/>
                    </pic:cNvPicPr>
                  </pic:nvPicPr>
                  <pic:blipFill>
                    <a:blip r:embed="rId21"/>
                    <a:stretch>
                      <a:fillRect/>
                    </a:stretch>
                  </pic:blipFill>
                  <pic:spPr>
                    <a:xfrm>
                      <a:off x="0" y="0"/>
                      <a:ext cx="5633085" cy="7923530"/>
                    </a:xfrm>
                    <a:prstGeom prst="rect">
                      <a:avLst/>
                    </a:prstGeom>
                    <a:noFill/>
                    <a:ln>
                      <a:noFill/>
                    </a:ln>
                  </pic:spPr>
                </pic:pic>
              </a:graphicData>
            </a:graphic>
          </wp:inline>
        </w:drawing>
      </w:r>
    </w:p>
    <w:p w14:paraId="4DE5E376">
      <w:pPr>
        <w:spacing w:line="360" w:lineRule="auto"/>
        <w:ind w:firstLine="0" w:firstLineChars="0"/>
        <w:jc w:val="center"/>
        <w:rPr>
          <w:rFonts w:cs="Times New Roman"/>
          <w:b/>
          <w:bCs/>
          <w:color w:val="auto"/>
        </w:rPr>
      </w:pPr>
      <w:r>
        <w:rPr>
          <w:rFonts w:cs="Times New Roman"/>
          <w:b/>
          <w:bCs/>
          <w:color w:val="auto"/>
          <w:szCs w:val="24"/>
        </w:rPr>
        <w:t>图3-</w:t>
      </w:r>
      <w:r>
        <w:rPr>
          <w:rFonts w:hint="eastAsia" w:cs="Times New Roman"/>
          <w:b/>
          <w:bCs/>
          <w:color w:val="auto"/>
          <w:szCs w:val="24"/>
        </w:rPr>
        <w:t xml:space="preserve">2  </w:t>
      </w:r>
      <w:r>
        <w:rPr>
          <w:rFonts w:cs="Times New Roman"/>
          <w:b/>
          <w:bCs/>
          <w:color w:val="auto"/>
          <w:szCs w:val="24"/>
        </w:rPr>
        <w:t xml:space="preserve">  </w:t>
      </w:r>
      <w:r>
        <w:rPr>
          <w:rFonts w:hint="eastAsia" w:cs="Times New Roman"/>
          <w:b/>
          <w:bCs/>
          <w:color w:val="auto"/>
          <w:szCs w:val="24"/>
        </w:rPr>
        <w:t>原</w:t>
      </w:r>
      <w:r>
        <w:rPr>
          <w:rFonts w:hint="eastAsia" w:cs="Times New Roman"/>
          <w:b/>
          <w:bCs/>
          <w:color w:val="auto"/>
        </w:rPr>
        <w:t>环评批复</w:t>
      </w:r>
      <w:r>
        <w:rPr>
          <w:rFonts w:cs="Times New Roman"/>
          <w:b/>
          <w:bCs/>
          <w:color w:val="auto"/>
        </w:rPr>
        <w:t>水平衡图</w:t>
      </w:r>
      <w:r>
        <w:rPr>
          <w:rFonts w:hint="eastAsia" w:cs="Times New Roman"/>
          <w:b/>
          <w:bCs/>
          <w:color w:val="auto"/>
        </w:rPr>
        <w:t xml:space="preserve"> </w:t>
      </w:r>
      <w:r>
        <w:rPr>
          <w:rFonts w:cs="Times New Roman"/>
          <w:b/>
          <w:bCs/>
          <w:color w:val="auto"/>
        </w:rPr>
        <w:t xml:space="preserve">                     </w:t>
      </w:r>
      <w:r>
        <w:rPr>
          <w:rFonts w:hint="eastAsia" w:cs="Times New Roman"/>
          <w:b/>
          <w:bCs/>
          <w:color w:val="auto"/>
        </w:rPr>
        <w:t>单位：m</w:t>
      </w:r>
      <w:r>
        <w:rPr>
          <w:rFonts w:cs="Times New Roman"/>
          <w:b/>
          <w:bCs/>
          <w:color w:val="auto"/>
          <w:vertAlign w:val="superscript"/>
        </w:rPr>
        <w:t>3</w:t>
      </w:r>
      <w:r>
        <w:rPr>
          <w:rFonts w:cs="Times New Roman"/>
          <w:b/>
          <w:bCs/>
          <w:color w:val="auto"/>
        </w:rPr>
        <w:t>/d</w:t>
      </w:r>
    </w:p>
    <w:p w14:paraId="41B11850">
      <w:pPr>
        <w:spacing w:line="240" w:lineRule="auto"/>
        <w:ind w:firstLine="0" w:firstLineChars="0"/>
        <w:jc w:val="center"/>
        <w:rPr>
          <w:rFonts w:cs="Times New Roman"/>
          <w:b/>
          <w:bCs/>
          <w:color w:val="auto"/>
        </w:rPr>
      </w:pPr>
      <w:r>
        <w:rPr>
          <w:rFonts w:ascii="宋体" w:hAnsi="宋体" w:eastAsia="宋体" w:cs="宋体"/>
          <w:sz w:val="24"/>
          <w:szCs w:val="24"/>
        </w:rPr>
        <w:drawing>
          <wp:inline distT="0" distB="0" distL="114300" distR="114300">
            <wp:extent cx="5986145" cy="5752465"/>
            <wp:effectExtent l="0" t="0" r="14605" b="635"/>
            <wp:docPr id="9" name="图片 1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3" descr="IMG_256"/>
                    <pic:cNvPicPr>
                      <a:picLocks noChangeAspect="1"/>
                    </pic:cNvPicPr>
                  </pic:nvPicPr>
                  <pic:blipFill>
                    <a:blip r:embed="rId22"/>
                    <a:stretch>
                      <a:fillRect/>
                    </a:stretch>
                  </pic:blipFill>
                  <pic:spPr>
                    <a:xfrm>
                      <a:off x="0" y="0"/>
                      <a:ext cx="5986145" cy="5752465"/>
                    </a:xfrm>
                    <a:prstGeom prst="rect">
                      <a:avLst/>
                    </a:prstGeom>
                    <a:noFill/>
                    <a:ln w="9525">
                      <a:noFill/>
                    </a:ln>
                  </pic:spPr>
                </pic:pic>
              </a:graphicData>
            </a:graphic>
          </wp:inline>
        </w:drawing>
      </w:r>
      <w:r>
        <w:rPr>
          <w:rFonts w:cs="Times New Roman"/>
          <w:b/>
          <w:bCs/>
          <w:color w:val="auto"/>
          <w:szCs w:val="24"/>
        </w:rPr>
        <w:t>图3-</w:t>
      </w:r>
      <w:r>
        <w:rPr>
          <w:rFonts w:hint="eastAsia" w:cs="Times New Roman"/>
          <w:b/>
          <w:bCs/>
          <w:color w:val="auto"/>
          <w:szCs w:val="24"/>
        </w:rPr>
        <w:t xml:space="preserve">3  </w:t>
      </w:r>
      <w:r>
        <w:rPr>
          <w:rFonts w:cs="Times New Roman"/>
          <w:b/>
          <w:bCs/>
          <w:color w:val="auto"/>
          <w:szCs w:val="24"/>
        </w:rPr>
        <w:t xml:space="preserve">  项目</w:t>
      </w:r>
      <w:r>
        <w:rPr>
          <w:rFonts w:cs="Times New Roman"/>
          <w:b/>
          <w:bCs/>
          <w:color w:val="auto"/>
        </w:rPr>
        <w:t>实际</w:t>
      </w:r>
      <w:r>
        <w:rPr>
          <w:rFonts w:hint="eastAsia" w:cs="Times New Roman"/>
          <w:b/>
          <w:bCs/>
          <w:color w:val="auto"/>
        </w:rPr>
        <w:t>建设</w:t>
      </w:r>
      <w:r>
        <w:rPr>
          <w:rFonts w:cs="Times New Roman"/>
          <w:b/>
          <w:bCs/>
          <w:color w:val="auto"/>
        </w:rPr>
        <w:t>水平衡图</w:t>
      </w:r>
      <w:r>
        <w:rPr>
          <w:rFonts w:hint="eastAsia" w:cs="Times New Roman"/>
          <w:b/>
          <w:bCs/>
          <w:color w:val="auto"/>
        </w:rPr>
        <w:t xml:space="preserve"> </w:t>
      </w:r>
      <w:r>
        <w:rPr>
          <w:rFonts w:cs="Times New Roman"/>
          <w:b/>
          <w:bCs/>
          <w:color w:val="auto"/>
        </w:rPr>
        <w:t xml:space="preserve">                 </w:t>
      </w:r>
      <w:r>
        <w:rPr>
          <w:rFonts w:hint="eastAsia" w:cs="Times New Roman"/>
          <w:b/>
          <w:bCs/>
          <w:color w:val="auto"/>
        </w:rPr>
        <w:t>单位：m</w:t>
      </w:r>
      <w:r>
        <w:rPr>
          <w:rFonts w:cs="Times New Roman"/>
          <w:b/>
          <w:bCs/>
          <w:color w:val="auto"/>
          <w:vertAlign w:val="superscript"/>
        </w:rPr>
        <w:t>3</w:t>
      </w:r>
      <w:r>
        <w:rPr>
          <w:rFonts w:cs="Times New Roman"/>
          <w:b/>
          <w:bCs/>
          <w:color w:val="auto"/>
        </w:rPr>
        <w:t>/d</w:t>
      </w:r>
    </w:p>
    <w:p w14:paraId="41FE92DF">
      <w:pPr>
        <w:pStyle w:val="3"/>
        <w:spacing w:before="163" w:after="163"/>
        <w:ind w:firstLine="643"/>
        <w:rPr>
          <w:rFonts w:cs="Times New Roman"/>
          <w:color w:val="auto"/>
        </w:rPr>
      </w:pPr>
      <w:bookmarkStart w:id="10" w:name="_Toc172712290"/>
      <w:r>
        <w:rPr>
          <w:rFonts w:cs="Times New Roman"/>
          <w:color w:val="auto"/>
        </w:rPr>
        <w:t>3.6生产工艺</w:t>
      </w:r>
      <w:bookmarkEnd w:id="10"/>
    </w:p>
    <w:p w14:paraId="53760CE4">
      <w:pPr>
        <w:ind w:firstLine="480"/>
        <w:rPr>
          <w:rFonts w:hint="eastAsia"/>
          <w:color w:val="auto"/>
        </w:rPr>
      </w:pPr>
      <w:r>
        <w:rPr>
          <w:rFonts w:hint="eastAsia"/>
          <w:color w:val="auto"/>
        </w:rPr>
        <w:t>本项目分期建设，一期</w:t>
      </w:r>
      <w:r>
        <w:rPr>
          <w:rFonts w:hint="eastAsia"/>
          <w:color w:val="auto"/>
          <w:lang w:val="en-US" w:eastAsia="zh-CN"/>
        </w:rPr>
        <w:t>项目</w:t>
      </w:r>
      <w:r>
        <w:rPr>
          <w:rFonts w:hint="eastAsia"/>
          <w:color w:val="auto"/>
        </w:rPr>
        <w:t>仅建设</w:t>
      </w:r>
      <w:r>
        <w:rPr>
          <w:rFonts w:hint="eastAsia"/>
          <w:color w:val="auto"/>
          <w:lang w:val="en-US" w:eastAsia="zh-CN"/>
        </w:rPr>
        <w:t>1条汽车配件生产线和3</w:t>
      </w:r>
      <w:r>
        <w:rPr>
          <w:rFonts w:hint="eastAsia"/>
          <w:color w:val="auto"/>
        </w:rPr>
        <w:t>条</w:t>
      </w:r>
      <w:r>
        <w:rPr>
          <w:rFonts w:hint="eastAsia"/>
          <w:color w:val="auto"/>
          <w:lang w:val="en-US" w:eastAsia="zh-CN"/>
        </w:rPr>
        <w:t>钢带</w:t>
      </w:r>
      <w:r>
        <w:rPr>
          <w:rFonts w:hint="eastAsia"/>
          <w:color w:val="auto"/>
        </w:rPr>
        <w:t>生产线，因此本次仅对</w:t>
      </w:r>
      <w:r>
        <w:rPr>
          <w:rFonts w:hint="eastAsia"/>
          <w:color w:val="FF0000"/>
          <w:lang w:val="en-US" w:eastAsia="zh-CN"/>
        </w:rPr>
        <w:t>一期项目建设内容</w:t>
      </w:r>
      <w:r>
        <w:rPr>
          <w:rFonts w:hint="eastAsia"/>
          <w:color w:val="auto"/>
        </w:rPr>
        <w:t>进行描述，待其他生产线建设完成后再进行验收。</w:t>
      </w:r>
    </w:p>
    <w:p w14:paraId="063786AC">
      <w:pPr>
        <w:ind w:firstLine="480"/>
        <w:rPr>
          <w:rFonts w:hint="eastAsia" w:ascii="Times New Roman" w:hAnsi="Times New Roman" w:eastAsia="宋体"/>
          <w:b/>
          <w:bCs/>
          <w:color w:val="auto"/>
          <w:lang w:val="en-US" w:eastAsia="zh-CN"/>
        </w:rPr>
      </w:pPr>
      <w:r>
        <w:rPr>
          <w:rFonts w:hint="eastAsia" w:ascii="Times New Roman" w:hAnsi="Times New Roman" w:eastAsia="宋体"/>
          <w:b/>
          <w:bCs/>
          <w:color w:val="auto"/>
          <w:lang w:val="en-US" w:eastAsia="zh-CN"/>
        </w:rPr>
        <w:t>1、汽车配件生产工艺</w:t>
      </w:r>
    </w:p>
    <w:p w14:paraId="4DC433C5">
      <w:pPr>
        <w:widowControl w:val="0"/>
        <w:adjustRightInd/>
        <w:snapToGrid/>
        <w:spacing w:line="520" w:lineRule="exact"/>
        <w:ind w:firstLine="480" w:firstLineChars="200"/>
        <w:jc w:val="both"/>
        <w:rPr>
          <w:rFonts w:ascii="Times New Roman" w:hAnsi="Times New Roman" w:eastAsia="宋体" w:cs="Times New Roman"/>
          <w:color w:val="auto"/>
          <w:kern w:val="2"/>
          <w:sz w:val="24"/>
          <w:szCs w:val="24"/>
        </w:rPr>
      </w:pPr>
      <w:r>
        <w:rPr>
          <w:rFonts w:hint="eastAsia" w:ascii="Times New Roman" w:hAnsi="Times New Roman" w:eastAsia="宋体" w:cs="Times New Roman"/>
          <w:color w:val="auto"/>
          <w:kern w:val="2"/>
          <w:sz w:val="24"/>
          <w:szCs w:val="24"/>
        </w:rPr>
        <w:t>经核实，本次排污许可申报汽车配件生产工艺与环评批复一致。</w:t>
      </w:r>
    </w:p>
    <w:p w14:paraId="57D62D5E">
      <w:pPr>
        <w:ind w:firstLine="480"/>
        <w:rPr>
          <w:rFonts w:hint="eastAsia" w:ascii="Times New Roman" w:hAnsi="Times New Roman" w:eastAsia="宋体"/>
          <w:b/>
          <w:bCs/>
          <w:color w:val="auto"/>
          <w:lang w:val="en-US" w:eastAsia="zh-CN"/>
        </w:rPr>
      </w:pPr>
      <w:r>
        <w:rPr>
          <w:rFonts w:hint="eastAsia" w:ascii="Times New Roman" w:hAnsi="Times New Roman" w:eastAsia="宋体"/>
          <w:b/>
          <w:bCs/>
          <w:color w:val="auto"/>
          <w:lang w:val="en-US" w:eastAsia="zh-CN"/>
        </w:rPr>
        <w:t>2、1#和2#钢带生产工艺</w:t>
      </w:r>
    </w:p>
    <w:p w14:paraId="0F81E10E">
      <w:pPr>
        <w:widowControl w:val="0"/>
        <w:adjustRightInd/>
        <w:snapToGrid/>
        <w:spacing w:line="520" w:lineRule="exact"/>
        <w:ind w:firstLine="480" w:firstLineChars="200"/>
        <w:jc w:val="both"/>
        <w:rPr>
          <w:rFonts w:hint="eastAsia" w:ascii="Times New Roman" w:hAnsi="Times New Roman" w:eastAsia="宋体" w:cs="Times New Roman"/>
          <w:color w:val="auto"/>
          <w:kern w:val="2"/>
          <w:sz w:val="24"/>
          <w:szCs w:val="24"/>
        </w:rPr>
      </w:pPr>
      <w:r>
        <w:rPr>
          <w:rFonts w:hint="eastAsia" w:ascii="Times New Roman" w:hAnsi="Times New Roman" w:eastAsia="宋体" w:cs="Times New Roman"/>
          <w:color w:val="auto"/>
          <w:kern w:val="2"/>
          <w:sz w:val="24"/>
          <w:szCs w:val="24"/>
        </w:rPr>
        <w:t>经核实，本次排污许可申报</w:t>
      </w:r>
      <w:r>
        <w:rPr>
          <w:rFonts w:hint="eastAsia" w:ascii="Times New Roman" w:hAnsi="Times New Roman" w:eastAsia="宋体" w:cs="Times New Roman"/>
          <w:color w:val="auto"/>
          <w:kern w:val="2"/>
          <w:sz w:val="24"/>
          <w:szCs w:val="24"/>
          <w:lang w:val="en-US" w:eastAsia="zh-CN"/>
        </w:rPr>
        <w:t>1#2#</w:t>
      </w:r>
      <w:r>
        <w:rPr>
          <w:rFonts w:hint="eastAsia" w:ascii="Times New Roman" w:hAnsi="Times New Roman" w:eastAsia="宋体" w:cs="Times New Roman"/>
          <w:color w:val="auto"/>
          <w:kern w:val="2"/>
          <w:sz w:val="24"/>
          <w:szCs w:val="24"/>
        </w:rPr>
        <w:t>钢带生产工艺与环评批复一致。</w:t>
      </w:r>
    </w:p>
    <w:p w14:paraId="04EFAA07">
      <w:pPr>
        <w:ind w:firstLine="480"/>
        <w:rPr>
          <w:rFonts w:hint="eastAsia" w:ascii="Times New Roman" w:hAnsi="Times New Roman" w:eastAsia="宋体"/>
          <w:b/>
          <w:bCs/>
          <w:color w:val="auto"/>
          <w:lang w:val="en-US" w:eastAsia="zh-CN"/>
        </w:rPr>
      </w:pPr>
      <w:r>
        <w:rPr>
          <w:rFonts w:hint="eastAsia" w:ascii="Times New Roman" w:hAnsi="Times New Roman" w:eastAsia="宋体"/>
          <w:b/>
          <w:bCs/>
          <w:color w:val="auto"/>
          <w:lang w:val="en-US" w:eastAsia="zh-CN"/>
        </w:rPr>
        <w:t>3、3#钢带生产工艺</w:t>
      </w:r>
    </w:p>
    <w:p w14:paraId="49ED2006">
      <w:pPr>
        <w:widowControl w:val="0"/>
        <w:adjustRightInd/>
        <w:snapToGrid/>
        <w:spacing w:line="520" w:lineRule="exact"/>
        <w:ind w:firstLine="480" w:firstLineChars="200"/>
        <w:jc w:val="both"/>
        <w:rPr>
          <w:rFonts w:hint="eastAsia" w:ascii="Times New Roman" w:hAnsi="Times New Roman" w:eastAsia="宋体" w:cs="Times New Roman"/>
          <w:color w:val="auto"/>
          <w:kern w:val="2"/>
          <w:sz w:val="24"/>
          <w:szCs w:val="24"/>
        </w:rPr>
      </w:pPr>
      <w:r>
        <w:rPr>
          <w:rFonts w:hint="eastAsia" w:ascii="Times New Roman" w:hAnsi="Times New Roman" w:eastAsia="宋体" w:cs="Times New Roman"/>
          <w:color w:val="auto"/>
          <w:kern w:val="2"/>
          <w:sz w:val="24"/>
          <w:szCs w:val="24"/>
          <w:lang w:eastAsia="zh-CN"/>
        </w:rPr>
        <w:t>（</w:t>
      </w:r>
      <w:r>
        <w:rPr>
          <w:rFonts w:hint="eastAsia" w:ascii="Times New Roman" w:hAnsi="Times New Roman" w:eastAsia="宋体" w:cs="Times New Roman"/>
          <w:color w:val="auto"/>
          <w:kern w:val="2"/>
          <w:sz w:val="24"/>
          <w:szCs w:val="24"/>
        </w:rPr>
        <w:t>1</w:t>
      </w:r>
      <w:r>
        <w:rPr>
          <w:rFonts w:hint="eastAsia" w:ascii="Times New Roman" w:hAnsi="Times New Roman" w:eastAsia="宋体" w:cs="Times New Roman"/>
          <w:color w:val="auto"/>
          <w:kern w:val="2"/>
          <w:sz w:val="24"/>
          <w:szCs w:val="24"/>
          <w:lang w:eastAsia="zh-CN"/>
        </w:rPr>
        <w:t>）</w:t>
      </w:r>
      <w:r>
        <w:rPr>
          <w:rFonts w:hint="eastAsia" w:ascii="Times New Roman" w:hAnsi="Times New Roman" w:eastAsia="宋体" w:cs="Times New Roman"/>
          <w:color w:val="auto"/>
          <w:kern w:val="2"/>
          <w:sz w:val="24"/>
          <w:szCs w:val="24"/>
        </w:rPr>
        <w:t>环评中生产工艺</w:t>
      </w:r>
    </w:p>
    <w:p w14:paraId="09D40515">
      <w:pPr>
        <w:widowControl w:val="0"/>
        <w:adjustRightInd/>
        <w:snapToGrid/>
        <w:spacing w:line="240" w:lineRule="auto"/>
        <w:ind w:firstLine="420" w:firstLineChars="200"/>
        <w:jc w:val="center"/>
        <w:rPr>
          <w:rFonts w:hint="eastAsia" w:ascii="等线" w:hAnsi="等线" w:eastAsia="等线" w:cs="Times New Roman"/>
          <w:color w:val="auto"/>
          <w:kern w:val="2"/>
          <w:sz w:val="21"/>
        </w:rPr>
      </w:pPr>
      <w:r>
        <w:rPr>
          <w:rFonts w:hint="eastAsia" w:ascii="等线" w:hAnsi="等线" w:eastAsia="等线" w:cs="Times New Roman"/>
          <w:color w:val="auto"/>
          <w:kern w:val="2"/>
          <w:sz w:val="21"/>
        </w:rPr>
        <w:object>
          <v:shape id="_x0000_i1025" o:spt="75" type="#_x0000_t75" style="height:283.1pt;width:409.45pt;" o:ole="t" filled="f" o:preferrelative="t" stroked="f" coordsize="21600,21600">
            <v:path/>
            <v:fill on="f" focussize="0,0"/>
            <v:stroke on="f"/>
            <v:imagedata r:id="rId24" o:title=""/>
            <o:lock v:ext="edit" aspectratio="t"/>
            <w10:wrap type="none"/>
            <w10:anchorlock/>
          </v:shape>
          <o:OLEObject Type="Embed" ProgID="Visio.Drawing.11" ShapeID="_x0000_i1025" DrawAspect="Content" ObjectID="_1468075725" r:id="rId23">
            <o:LockedField>false</o:LockedField>
          </o:OLEObject>
        </w:object>
      </w:r>
    </w:p>
    <w:p w14:paraId="46835A5F">
      <w:pPr>
        <w:widowControl w:val="0"/>
        <w:adjustRightInd/>
        <w:snapToGrid/>
        <w:spacing w:line="240" w:lineRule="auto"/>
        <w:ind w:firstLine="482" w:firstLineChars="200"/>
        <w:jc w:val="center"/>
        <w:rPr>
          <w:rFonts w:hint="eastAsia" w:ascii="Times New Roman" w:hAnsi="Times New Roman" w:eastAsia="宋体" w:cs="Times New Roman"/>
          <w:b/>
          <w:bCs/>
          <w:color w:val="auto"/>
          <w:szCs w:val="24"/>
          <w:lang w:val="en-US" w:eastAsia="zh-CN"/>
        </w:rPr>
      </w:pPr>
      <w:r>
        <w:rPr>
          <w:rFonts w:hint="eastAsia" w:ascii="Times New Roman" w:hAnsi="Times New Roman" w:eastAsia="宋体" w:cs="Times New Roman"/>
          <w:b/>
          <w:bCs/>
          <w:color w:val="auto"/>
          <w:szCs w:val="24"/>
          <w:lang w:val="en-US" w:eastAsia="zh-CN"/>
        </w:rPr>
        <w:t>图1  环评中一期项目3#钢带镀镍工艺流程及产污环节图</w:t>
      </w:r>
    </w:p>
    <w:p w14:paraId="4134C279">
      <w:pPr>
        <w:widowControl w:val="0"/>
        <w:adjustRightInd/>
        <w:snapToGrid/>
        <w:spacing w:line="520" w:lineRule="exact"/>
        <w:ind w:firstLine="480" w:firstLineChars="200"/>
        <w:jc w:val="both"/>
        <w:rPr>
          <w:rFonts w:hint="eastAsia" w:ascii="Times New Roman" w:hAnsi="Times New Roman" w:eastAsia="宋体" w:cs="Times New Roman"/>
          <w:color w:val="auto"/>
          <w:kern w:val="2"/>
          <w:sz w:val="24"/>
          <w:szCs w:val="24"/>
          <w:lang w:val="en-US" w:eastAsia="zh-CN"/>
        </w:rPr>
      </w:pPr>
      <w:r>
        <w:rPr>
          <w:rFonts w:hint="eastAsia" w:ascii="Times New Roman" w:hAnsi="Times New Roman" w:eastAsia="宋体" w:cs="Times New Roman"/>
          <w:color w:val="auto"/>
          <w:kern w:val="2"/>
          <w:sz w:val="24"/>
          <w:szCs w:val="24"/>
          <w:lang w:val="en-US" w:eastAsia="zh-CN"/>
        </w:rPr>
        <w:t>1）冲压：将外购的卷状普通钢带经叉车转运至料架，人工牵引钢带至冲床，根据产品型号要求冲压形成电池金属连接骨架，然后收料成卷。冲压过程中采用循环冷却水降温，冲压时机械产生的温度不高，该过程中不会产生废气，冲压冷却水定期排放。</w:t>
      </w:r>
    </w:p>
    <w:p w14:paraId="33367340">
      <w:pPr>
        <w:widowControl w:val="0"/>
        <w:adjustRightInd/>
        <w:snapToGrid/>
        <w:spacing w:line="520" w:lineRule="exact"/>
        <w:ind w:firstLine="480" w:firstLineChars="200"/>
        <w:jc w:val="both"/>
        <w:rPr>
          <w:rFonts w:hint="eastAsia" w:ascii="Times New Roman" w:hAnsi="Times New Roman" w:eastAsia="宋体" w:cs="Times New Roman"/>
          <w:color w:val="auto"/>
          <w:kern w:val="2"/>
          <w:sz w:val="24"/>
          <w:szCs w:val="24"/>
          <w:lang w:val="en-US" w:eastAsia="zh-CN"/>
        </w:rPr>
      </w:pPr>
      <w:r>
        <w:rPr>
          <w:rFonts w:hint="eastAsia" w:ascii="Times New Roman" w:hAnsi="Times New Roman" w:eastAsia="宋体" w:cs="Times New Roman"/>
          <w:color w:val="auto"/>
          <w:kern w:val="2"/>
          <w:sz w:val="24"/>
          <w:szCs w:val="24"/>
          <w:lang w:val="en-US" w:eastAsia="zh-CN"/>
        </w:rPr>
        <w:t>产污环节分析：该工序会产生固废、噪声、废水，固废主要为废拉伸油、废边角料，冲压冷却水定期在厂区总排口排放。</w:t>
      </w:r>
    </w:p>
    <w:p w14:paraId="43EB2517">
      <w:pPr>
        <w:widowControl w:val="0"/>
        <w:adjustRightInd/>
        <w:snapToGrid/>
        <w:spacing w:line="520" w:lineRule="exact"/>
        <w:ind w:firstLine="480" w:firstLineChars="200"/>
        <w:jc w:val="both"/>
        <w:rPr>
          <w:rFonts w:hint="eastAsia" w:ascii="Times New Roman" w:hAnsi="Times New Roman" w:eastAsia="宋体" w:cs="Times New Roman"/>
          <w:color w:val="auto"/>
          <w:kern w:val="2"/>
          <w:sz w:val="24"/>
          <w:szCs w:val="24"/>
          <w:lang w:val="en-US" w:eastAsia="zh-CN"/>
        </w:rPr>
      </w:pPr>
      <w:r>
        <w:rPr>
          <w:rFonts w:hint="eastAsia" w:ascii="Times New Roman" w:hAnsi="Times New Roman" w:eastAsia="宋体" w:cs="Times New Roman"/>
          <w:color w:val="auto"/>
          <w:kern w:val="2"/>
          <w:sz w:val="24"/>
          <w:szCs w:val="24"/>
          <w:lang w:val="en-US" w:eastAsia="zh-CN"/>
        </w:rPr>
        <w:t>2）电镀生产线</w:t>
      </w:r>
    </w:p>
    <w:p w14:paraId="74EBCD8B">
      <w:pPr>
        <w:widowControl w:val="0"/>
        <w:adjustRightInd/>
        <w:snapToGrid/>
        <w:spacing w:line="520" w:lineRule="exact"/>
        <w:ind w:firstLine="480" w:firstLineChars="200"/>
        <w:jc w:val="both"/>
        <w:rPr>
          <w:rFonts w:hint="eastAsia" w:ascii="Times New Roman" w:hAnsi="Times New Roman" w:eastAsia="宋体" w:cs="Times New Roman"/>
          <w:color w:val="auto"/>
          <w:kern w:val="2"/>
          <w:sz w:val="24"/>
          <w:szCs w:val="24"/>
          <w:lang w:val="en-US" w:eastAsia="zh-CN"/>
        </w:rPr>
      </w:pPr>
      <w:r>
        <w:rPr>
          <w:rFonts w:hint="eastAsia" w:ascii="Times New Roman" w:hAnsi="Times New Roman" w:eastAsia="宋体" w:cs="Times New Roman"/>
          <w:color w:val="auto"/>
          <w:kern w:val="2"/>
          <w:sz w:val="24"/>
          <w:szCs w:val="24"/>
          <w:lang w:val="en-US" w:eastAsia="zh-CN"/>
        </w:rPr>
        <w:t>本项目采用自动化电镀生产线，仅在生产开始前及结束后，需人工将</w:t>
      </w:r>
      <w:bookmarkStart w:id="11" w:name="OLE_LINK240"/>
      <w:r>
        <w:rPr>
          <w:rFonts w:hint="eastAsia" w:ascii="Times New Roman" w:hAnsi="Times New Roman" w:eastAsia="宋体" w:cs="Times New Roman"/>
          <w:color w:val="auto"/>
          <w:kern w:val="2"/>
          <w:sz w:val="24"/>
          <w:szCs w:val="24"/>
          <w:lang w:val="en-US" w:eastAsia="zh-CN"/>
        </w:rPr>
        <w:t>钢带</w:t>
      </w:r>
      <w:bookmarkEnd w:id="11"/>
      <w:r>
        <w:rPr>
          <w:rFonts w:hint="eastAsia" w:ascii="Times New Roman" w:hAnsi="Times New Roman" w:eastAsia="宋体" w:cs="Times New Roman"/>
          <w:color w:val="auto"/>
          <w:kern w:val="2"/>
          <w:sz w:val="24"/>
          <w:szCs w:val="24"/>
          <w:lang w:val="en-US" w:eastAsia="zh-CN"/>
        </w:rPr>
        <w:t>置于轧辊上或从轧辊上将钢带剪断。通过自动化控制系统预先设置停留时间，通过轧辊及传动系统使钢带在各槽体间内移动，进而达到连续自动化生产的目的。</w:t>
      </w:r>
    </w:p>
    <w:p w14:paraId="79BBB793">
      <w:pPr>
        <w:widowControl w:val="0"/>
        <w:adjustRightInd/>
        <w:snapToGrid/>
        <w:spacing w:line="520" w:lineRule="exact"/>
        <w:ind w:firstLine="480" w:firstLineChars="200"/>
        <w:jc w:val="both"/>
        <w:rPr>
          <w:rFonts w:hint="eastAsia" w:ascii="Times New Roman" w:hAnsi="Times New Roman" w:eastAsia="宋体" w:cs="Times New Roman"/>
          <w:color w:val="auto"/>
          <w:kern w:val="2"/>
          <w:sz w:val="24"/>
          <w:szCs w:val="24"/>
          <w:lang w:val="en-US" w:eastAsia="zh-CN"/>
        </w:rPr>
      </w:pPr>
      <w:r>
        <w:rPr>
          <w:rFonts w:hint="default" w:ascii="Times New Roman" w:hAnsi="Times New Roman" w:eastAsia="宋体" w:cs="Times New Roman"/>
          <w:color w:val="auto"/>
          <w:kern w:val="2"/>
          <w:sz w:val="24"/>
          <w:szCs w:val="24"/>
          <w:lang w:val="en-US" w:eastAsia="zh-CN"/>
        </w:rPr>
        <w:t>①</w:t>
      </w:r>
      <w:r>
        <w:rPr>
          <w:rFonts w:hint="eastAsia" w:ascii="Times New Roman" w:hAnsi="Times New Roman" w:eastAsia="宋体" w:cs="Times New Roman"/>
          <w:color w:val="auto"/>
          <w:kern w:val="2"/>
          <w:sz w:val="24"/>
          <w:szCs w:val="24"/>
          <w:lang w:val="en-US" w:eastAsia="zh-CN"/>
        </w:rPr>
        <w:t>化学除油、四级逆流水洗：将冲压后的卷状钢带放置于料架上，由上下轮传动牵引并置于化学除油槽内。除油槽内化学无磷除油粉与自来水按照1:20比例配制而成的碱性除油液，配比为，浓度为30g/L，操控温度控制在50~55℃左右（采用电加热），除油时间为3~10分钟。除油槽液定期更换，更换周期为3个月。</w:t>
      </w:r>
    </w:p>
    <w:p w14:paraId="15C9C631">
      <w:pPr>
        <w:widowControl w:val="0"/>
        <w:adjustRightInd/>
        <w:snapToGrid/>
        <w:spacing w:line="520" w:lineRule="exact"/>
        <w:ind w:firstLine="480" w:firstLineChars="200"/>
        <w:jc w:val="both"/>
        <w:rPr>
          <w:rFonts w:hint="eastAsia" w:ascii="Times New Roman" w:hAnsi="Times New Roman" w:eastAsia="宋体" w:cs="Times New Roman"/>
          <w:color w:val="auto"/>
          <w:kern w:val="2"/>
          <w:sz w:val="24"/>
          <w:szCs w:val="24"/>
          <w:lang w:val="en-US" w:eastAsia="zh-CN"/>
        </w:rPr>
      </w:pPr>
      <w:r>
        <w:rPr>
          <w:rFonts w:hint="eastAsia" w:ascii="Times New Roman" w:hAnsi="Times New Roman" w:eastAsia="宋体" w:cs="Times New Roman"/>
          <w:color w:val="auto"/>
          <w:kern w:val="2"/>
          <w:sz w:val="24"/>
          <w:szCs w:val="24"/>
          <w:lang w:val="en-US" w:eastAsia="zh-CN"/>
        </w:rPr>
        <w:t>化学除油后对钢带进行四级逆流水洗，由四级的清洗槽串联组成，在四级槽内进水，从一级槽内槽头连续溢流排放，其水流方向与钢带清洗方向相反。为保证清洗效果，四个水洗槽的水定期更换，更换周期为2个月。</w:t>
      </w:r>
    </w:p>
    <w:p w14:paraId="26C87BC1">
      <w:pPr>
        <w:widowControl w:val="0"/>
        <w:adjustRightInd/>
        <w:snapToGrid/>
        <w:spacing w:line="520" w:lineRule="exact"/>
        <w:ind w:firstLine="480" w:firstLineChars="200"/>
        <w:jc w:val="both"/>
        <w:rPr>
          <w:rFonts w:hint="eastAsia" w:ascii="Times New Roman" w:hAnsi="Times New Roman" w:eastAsia="宋体" w:cs="Times New Roman"/>
          <w:color w:val="auto"/>
          <w:kern w:val="2"/>
          <w:sz w:val="24"/>
          <w:szCs w:val="24"/>
          <w:lang w:val="en-US" w:eastAsia="zh-CN"/>
        </w:rPr>
      </w:pPr>
      <w:r>
        <w:rPr>
          <w:rFonts w:hint="eastAsia" w:ascii="Times New Roman" w:hAnsi="Times New Roman" w:eastAsia="宋体" w:cs="Times New Roman"/>
          <w:color w:val="auto"/>
          <w:kern w:val="2"/>
          <w:sz w:val="24"/>
          <w:szCs w:val="24"/>
          <w:lang w:val="en-US" w:eastAsia="zh-CN"/>
        </w:rPr>
        <w:t>产污环节分析：该工序会产生废水、固废。废水主要为除油槽液、水洗废水，经独立管道送含油废水设施预处理后排入综合废水处理设施处理。固废主要为废油渣，属于危险废物，危废暂存间暂存后交由有资质单位安全处置。</w:t>
      </w:r>
    </w:p>
    <w:p w14:paraId="63D9BABC">
      <w:pPr>
        <w:widowControl w:val="0"/>
        <w:adjustRightInd/>
        <w:snapToGrid/>
        <w:spacing w:line="520" w:lineRule="exact"/>
        <w:ind w:firstLine="480" w:firstLineChars="200"/>
        <w:jc w:val="both"/>
        <w:rPr>
          <w:rFonts w:hint="eastAsia" w:ascii="Times New Roman" w:hAnsi="Times New Roman" w:eastAsia="宋体" w:cs="Times New Roman"/>
          <w:color w:val="auto"/>
          <w:kern w:val="2"/>
          <w:sz w:val="24"/>
          <w:szCs w:val="24"/>
          <w:lang w:val="en-US" w:eastAsia="zh-CN"/>
        </w:rPr>
      </w:pPr>
      <w:r>
        <w:rPr>
          <w:rFonts w:hint="default" w:ascii="Times New Roman" w:hAnsi="Times New Roman" w:eastAsia="宋体" w:cs="Times New Roman"/>
          <w:color w:val="auto"/>
          <w:kern w:val="2"/>
          <w:sz w:val="24"/>
          <w:szCs w:val="24"/>
          <w:lang w:val="en-US" w:eastAsia="zh-CN"/>
        </w:rPr>
        <w:t>②</w:t>
      </w:r>
      <w:r>
        <w:rPr>
          <w:rFonts w:hint="eastAsia" w:ascii="Times New Roman" w:hAnsi="Times New Roman" w:eastAsia="宋体" w:cs="Times New Roman"/>
          <w:color w:val="auto"/>
          <w:kern w:val="2"/>
          <w:sz w:val="24"/>
          <w:szCs w:val="24"/>
          <w:lang w:val="en-US" w:eastAsia="zh-CN"/>
        </w:rPr>
        <w:t>活化、水洗：除油后的钢带牵引至活化槽进行酸洗，去除钢带表面的氧化皮等杂质。活化槽溶液配置采用专门的封闭调配间进行配置，采用自动加药装置向槽体中自动补充槽液。活化液为14%的硫酸，温度为25℃，活化时间为3-5min。活化槽液定期更换，更换周期为2个月。活化后的工件至水洗槽，采用自来水进行清洗，水洗槽内的水定期更换，更换周期为1个月。</w:t>
      </w:r>
    </w:p>
    <w:p w14:paraId="31D894BD">
      <w:pPr>
        <w:widowControl w:val="0"/>
        <w:adjustRightInd/>
        <w:snapToGrid/>
        <w:spacing w:line="520" w:lineRule="exact"/>
        <w:ind w:firstLine="480" w:firstLineChars="200"/>
        <w:jc w:val="both"/>
        <w:rPr>
          <w:rFonts w:hint="eastAsia" w:ascii="Times New Roman" w:hAnsi="Times New Roman" w:eastAsia="宋体" w:cs="Times New Roman"/>
          <w:color w:val="auto"/>
          <w:kern w:val="2"/>
          <w:sz w:val="24"/>
          <w:szCs w:val="24"/>
          <w:lang w:val="en-US" w:eastAsia="zh-CN"/>
        </w:rPr>
      </w:pPr>
      <w:r>
        <w:rPr>
          <w:rFonts w:hint="eastAsia" w:ascii="Times New Roman" w:hAnsi="Times New Roman" w:eastAsia="宋体" w:cs="Times New Roman"/>
          <w:color w:val="auto"/>
          <w:kern w:val="2"/>
          <w:sz w:val="24"/>
          <w:szCs w:val="24"/>
          <w:lang w:val="en-US" w:eastAsia="zh-CN"/>
        </w:rPr>
        <w:t>产污环节分析：该工序会产生废气、废水、固废。废气主要为生产线酸雾及调配间酸雾，生产线酸雾采用槽边抽风装置收集，调配间内采用密闭抽风装置收集，收集后的酸雾统一进入两级酸雾吸收塔处理后经15m排气筒排放。废水为活化槽槽液、水洗废水，废水独立管道送往综合污水处理站处理。</w:t>
      </w:r>
    </w:p>
    <w:p w14:paraId="708EC6D7">
      <w:pPr>
        <w:widowControl w:val="0"/>
        <w:adjustRightInd/>
        <w:snapToGrid/>
        <w:spacing w:line="520" w:lineRule="exact"/>
        <w:ind w:firstLine="480" w:firstLineChars="200"/>
        <w:jc w:val="both"/>
        <w:rPr>
          <w:rFonts w:hint="eastAsia" w:ascii="Times New Roman" w:hAnsi="Times New Roman" w:eastAsia="宋体" w:cs="Times New Roman"/>
          <w:color w:val="auto"/>
          <w:kern w:val="2"/>
          <w:sz w:val="24"/>
          <w:szCs w:val="24"/>
          <w:lang w:val="en-US" w:eastAsia="zh-CN"/>
        </w:rPr>
      </w:pPr>
      <w:r>
        <w:rPr>
          <w:rFonts w:hint="default" w:ascii="Times New Roman" w:hAnsi="Times New Roman" w:eastAsia="宋体" w:cs="Times New Roman"/>
          <w:color w:val="auto"/>
          <w:kern w:val="2"/>
          <w:sz w:val="24"/>
          <w:szCs w:val="24"/>
          <w:lang w:val="en-US" w:eastAsia="zh-CN"/>
        </w:rPr>
        <w:t>③</w:t>
      </w:r>
      <w:r>
        <w:rPr>
          <w:rFonts w:hint="eastAsia" w:ascii="Times New Roman" w:hAnsi="Times New Roman" w:eastAsia="宋体" w:cs="Times New Roman"/>
          <w:color w:val="auto"/>
          <w:kern w:val="2"/>
          <w:sz w:val="24"/>
          <w:szCs w:val="24"/>
          <w:lang w:val="en-US" w:eastAsia="zh-CN"/>
        </w:rPr>
        <w:t>镀镍、二级回收、四级逆流水洗：活化后的钢带进入电镀槽进行镀镍，本项目采用连续镀方式进行镀镍，钢带需一次镀镍即可。</w:t>
      </w:r>
    </w:p>
    <w:p w14:paraId="34AC3831">
      <w:pPr>
        <w:widowControl w:val="0"/>
        <w:adjustRightInd/>
        <w:snapToGrid/>
        <w:spacing w:line="520" w:lineRule="exact"/>
        <w:ind w:firstLine="480" w:firstLineChars="200"/>
        <w:jc w:val="both"/>
        <w:rPr>
          <w:rFonts w:hint="eastAsia" w:ascii="Times New Roman" w:hAnsi="Times New Roman" w:eastAsia="宋体" w:cs="Times New Roman"/>
          <w:color w:val="auto"/>
          <w:kern w:val="2"/>
          <w:sz w:val="24"/>
          <w:szCs w:val="24"/>
          <w:lang w:val="en-US" w:eastAsia="zh-CN"/>
        </w:rPr>
      </w:pPr>
      <w:r>
        <w:rPr>
          <w:rFonts w:hint="eastAsia" w:ascii="Times New Roman" w:hAnsi="Times New Roman" w:eastAsia="宋体" w:cs="Times New Roman"/>
          <w:color w:val="auto"/>
          <w:kern w:val="2"/>
          <w:sz w:val="24"/>
          <w:szCs w:val="24"/>
          <w:lang w:val="en-US" w:eastAsia="zh-CN"/>
        </w:rPr>
        <w:t>项目镀槽溶液成分为：pH4.8-5.2、主盐硫酸镍（200~220g/L）、导电盐氯化镍（45~60g/L）、pH缓冲剂硼酸（45~50g/L）。硫酸镍、氯化镍、硼酸需定时添加，镀镍工序操控温度为为50-55℃（采用电加热）。</w:t>
      </w:r>
    </w:p>
    <w:p w14:paraId="2935B01A">
      <w:pPr>
        <w:widowControl w:val="0"/>
        <w:adjustRightInd/>
        <w:snapToGrid/>
        <w:spacing w:line="520" w:lineRule="exact"/>
        <w:ind w:firstLine="480" w:firstLineChars="200"/>
        <w:jc w:val="both"/>
        <w:rPr>
          <w:rFonts w:hint="eastAsia" w:ascii="Times New Roman" w:hAnsi="Times New Roman" w:eastAsia="宋体" w:cs="Times New Roman"/>
          <w:color w:val="auto"/>
          <w:kern w:val="2"/>
          <w:sz w:val="24"/>
          <w:szCs w:val="24"/>
          <w:lang w:val="en-US" w:eastAsia="zh-CN"/>
        </w:rPr>
      </w:pPr>
      <w:r>
        <w:rPr>
          <w:rFonts w:hint="eastAsia" w:ascii="Times New Roman" w:hAnsi="Times New Roman" w:eastAsia="宋体" w:cs="Times New Roman"/>
          <w:color w:val="auto"/>
          <w:kern w:val="2"/>
          <w:sz w:val="24"/>
          <w:szCs w:val="24"/>
          <w:lang w:val="en-US" w:eastAsia="zh-CN"/>
        </w:rPr>
        <w:t>在电镀过程中以镍板为阳极，钢带为阴极，含镍溶液为交换介质，反应原理如下：</w:t>
      </w:r>
    </w:p>
    <w:p w14:paraId="72EC71CA">
      <w:pPr>
        <w:widowControl w:val="0"/>
        <w:adjustRightInd/>
        <w:snapToGrid/>
        <w:spacing w:line="520" w:lineRule="exact"/>
        <w:ind w:firstLine="480" w:firstLineChars="200"/>
        <w:jc w:val="both"/>
        <w:rPr>
          <w:rFonts w:hint="eastAsia" w:ascii="Times New Roman" w:hAnsi="Times New Roman" w:eastAsia="宋体" w:cs="Times New Roman"/>
          <w:color w:val="auto"/>
          <w:kern w:val="2"/>
          <w:sz w:val="24"/>
          <w:szCs w:val="24"/>
          <w:lang w:val="en-US" w:eastAsia="zh-CN"/>
        </w:rPr>
      </w:pPr>
      <w:r>
        <w:rPr>
          <w:rFonts w:hint="eastAsia" w:ascii="Times New Roman" w:hAnsi="Times New Roman" w:eastAsia="宋体" w:cs="Times New Roman"/>
          <w:color w:val="auto"/>
          <w:kern w:val="2"/>
          <w:sz w:val="24"/>
          <w:szCs w:val="24"/>
          <w:lang w:val="en-US" w:eastAsia="zh-CN"/>
        </w:rPr>
        <w:t>阴极：Ni</w:t>
      </w:r>
      <w:r>
        <w:rPr>
          <w:rFonts w:hint="eastAsia" w:ascii="Times New Roman" w:hAnsi="Times New Roman" w:eastAsia="宋体" w:cs="Times New Roman"/>
          <w:color w:val="auto"/>
          <w:kern w:val="2"/>
          <w:sz w:val="24"/>
          <w:szCs w:val="24"/>
          <w:vertAlign w:val="superscript"/>
          <w:lang w:val="en-US" w:eastAsia="zh-CN"/>
        </w:rPr>
        <w:t xml:space="preserve">2+ </w:t>
      </w:r>
      <w:r>
        <w:rPr>
          <w:rFonts w:hint="eastAsia" w:ascii="Times New Roman" w:hAnsi="Times New Roman" w:eastAsia="宋体" w:cs="Times New Roman"/>
          <w:color w:val="auto"/>
          <w:kern w:val="2"/>
          <w:sz w:val="24"/>
          <w:szCs w:val="24"/>
          <w:lang w:val="en-US" w:eastAsia="zh-CN"/>
        </w:rPr>
        <w:t>+ 2e = Ni</w:t>
      </w:r>
    </w:p>
    <w:p w14:paraId="212E47C6">
      <w:pPr>
        <w:widowControl w:val="0"/>
        <w:adjustRightInd/>
        <w:snapToGrid/>
        <w:spacing w:line="520" w:lineRule="exact"/>
        <w:ind w:firstLine="480" w:firstLineChars="200"/>
        <w:jc w:val="both"/>
        <w:rPr>
          <w:rFonts w:hint="eastAsia" w:ascii="Times New Roman" w:hAnsi="Times New Roman" w:eastAsia="宋体" w:cs="Times New Roman"/>
          <w:color w:val="auto"/>
          <w:kern w:val="2"/>
          <w:sz w:val="24"/>
          <w:szCs w:val="24"/>
          <w:lang w:val="en-US" w:eastAsia="zh-CN"/>
        </w:rPr>
      </w:pPr>
      <w:r>
        <w:rPr>
          <w:rFonts w:hint="eastAsia" w:ascii="Times New Roman" w:hAnsi="Times New Roman" w:eastAsia="宋体" w:cs="Times New Roman"/>
          <w:color w:val="auto"/>
          <w:kern w:val="2"/>
          <w:sz w:val="24"/>
          <w:szCs w:val="24"/>
          <w:lang w:val="en-US" w:eastAsia="zh-CN"/>
        </w:rPr>
        <w:t>阳极：Ni - 2e = Ni</w:t>
      </w:r>
      <w:r>
        <w:rPr>
          <w:rFonts w:hint="eastAsia" w:ascii="Times New Roman" w:hAnsi="Times New Roman" w:eastAsia="宋体" w:cs="Times New Roman"/>
          <w:color w:val="auto"/>
          <w:kern w:val="2"/>
          <w:sz w:val="24"/>
          <w:szCs w:val="24"/>
          <w:vertAlign w:val="superscript"/>
          <w:lang w:val="en-US" w:eastAsia="zh-CN"/>
        </w:rPr>
        <w:t>2+</w:t>
      </w:r>
    </w:p>
    <w:p w14:paraId="55FB9905">
      <w:pPr>
        <w:widowControl w:val="0"/>
        <w:adjustRightInd/>
        <w:snapToGrid/>
        <w:spacing w:line="520" w:lineRule="exact"/>
        <w:ind w:firstLine="480" w:firstLineChars="200"/>
        <w:jc w:val="both"/>
        <w:rPr>
          <w:rFonts w:hint="eastAsia" w:ascii="Times New Roman" w:hAnsi="Times New Roman" w:eastAsia="宋体" w:cs="Times New Roman"/>
          <w:color w:val="auto"/>
          <w:kern w:val="2"/>
          <w:sz w:val="24"/>
          <w:szCs w:val="24"/>
          <w:lang w:val="en-US" w:eastAsia="zh-CN"/>
        </w:rPr>
      </w:pPr>
      <w:r>
        <w:rPr>
          <w:rFonts w:hint="eastAsia" w:ascii="Times New Roman" w:hAnsi="Times New Roman" w:eastAsia="宋体" w:cs="Times New Roman"/>
          <w:color w:val="auto"/>
          <w:kern w:val="2"/>
          <w:sz w:val="24"/>
          <w:szCs w:val="24"/>
          <w:lang w:val="en-US" w:eastAsia="zh-CN"/>
        </w:rPr>
        <w:t xml:space="preserve">镀槽槽液每5年更换一次，平时定期补充槽液物质及纯水。电镀槽配套有镀液过滤设备，镀槽槽头溢流出的镀液经管道送入槽液过滤设备，经过滤、沉淀除杂后经槽尾返回至镀槽内，电镀槽后设置两级纯水回收槽对镀件带出液进行回收，回收液长时间使用浓度较高时回用至电镀槽补充其蒸发消耗。 </w:t>
      </w:r>
    </w:p>
    <w:p w14:paraId="6883F8CE">
      <w:pPr>
        <w:widowControl w:val="0"/>
        <w:adjustRightInd/>
        <w:snapToGrid/>
        <w:spacing w:line="520" w:lineRule="exact"/>
        <w:ind w:firstLine="480" w:firstLineChars="200"/>
        <w:jc w:val="both"/>
        <w:rPr>
          <w:rFonts w:hint="eastAsia" w:ascii="Times New Roman" w:hAnsi="Times New Roman" w:eastAsia="宋体" w:cs="Times New Roman"/>
          <w:color w:val="auto"/>
          <w:kern w:val="2"/>
          <w:sz w:val="24"/>
          <w:szCs w:val="24"/>
          <w:lang w:val="en-US" w:eastAsia="zh-CN"/>
        </w:rPr>
      </w:pPr>
      <w:r>
        <w:rPr>
          <w:rFonts w:hint="eastAsia" w:ascii="Times New Roman" w:hAnsi="Times New Roman" w:eastAsia="宋体" w:cs="Times New Roman"/>
          <w:color w:val="auto"/>
          <w:kern w:val="2"/>
          <w:sz w:val="24"/>
          <w:szCs w:val="24"/>
          <w:lang w:val="en-US" w:eastAsia="zh-CN"/>
        </w:rPr>
        <w:t>镀镍后进行四级逆流水洗，在第四级槽内进水，从第一级槽头连续溢流排放，其水流方向与钢带运行方向相反。为保证清洗效果，四个水洗槽的水定期更换，更换周期为2个月。</w:t>
      </w:r>
    </w:p>
    <w:p w14:paraId="04096EF7">
      <w:pPr>
        <w:widowControl w:val="0"/>
        <w:adjustRightInd/>
        <w:snapToGrid/>
        <w:spacing w:line="520" w:lineRule="exact"/>
        <w:ind w:firstLine="480" w:firstLineChars="200"/>
        <w:jc w:val="both"/>
        <w:rPr>
          <w:rFonts w:hint="eastAsia" w:ascii="Times New Roman" w:hAnsi="Times New Roman" w:eastAsia="宋体" w:cs="Times New Roman"/>
          <w:color w:val="auto"/>
          <w:kern w:val="2"/>
          <w:sz w:val="24"/>
          <w:szCs w:val="24"/>
          <w:lang w:val="en-US" w:eastAsia="zh-CN"/>
        </w:rPr>
      </w:pPr>
      <w:r>
        <w:rPr>
          <w:rFonts w:hint="eastAsia" w:ascii="Times New Roman" w:hAnsi="Times New Roman" w:eastAsia="宋体" w:cs="Times New Roman"/>
          <w:color w:val="auto"/>
          <w:kern w:val="2"/>
          <w:sz w:val="24"/>
          <w:szCs w:val="24"/>
          <w:lang w:val="en-US" w:eastAsia="zh-CN"/>
        </w:rPr>
        <w:t>产污环节分析：该工序会产生废水、固废。镀镍后水洗废水经独立管道送往含镍污水处理设施处理，固废主要为镀槽槽液过滤会产生含镍废渣、废滤芯及废槽液，属于危险废物，危废暂存间暂存后交由有资质的单位安全处置。</w:t>
      </w:r>
    </w:p>
    <w:p w14:paraId="03B0B5C4">
      <w:pPr>
        <w:widowControl w:val="0"/>
        <w:adjustRightInd/>
        <w:snapToGrid/>
        <w:spacing w:line="520" w:lineRule="exact"/>
        <w:ind w:firstLine="480" w:firstLineChars="200"/>
        <w:jc w:val="both"/>
        <w:rPr>
          <w:rFonts w:hint="eastAsia" w:ascii="Times New Roman" w:hAnsi="Times New Roman" w:eastAsia="宋体" w:cs="Times New Roman"/>
          <w:color w:val="auto"/>
          <w:kern w:val="2"/>
          <w:sz w:val="24"/>
          <w:szCs w:val="24"/>
          <w:lang w:val="en-US" w:eastAsia="zh-CN"/>
        </w:rPr>
      </w:pPr>
      <w:r>
        <w:rPr>
          <w:rFonts w:hint="eastAsia" w:ascii="Times New Roman" w:hAnsi="Times New Roman" w:eastAsia="宋体" w:cs="Times New Roman"/>
          <w:color w:val="auto"/>
          <w:kern w:val="2"/>
          <w:sz w:val="24"/>
          <w:szCs w:val="24"/>
          <w:lang w:val="en-US" w:eastAsia="zh-CN"/>
        </w:rPr>
        <w:t>④烘干：钢带经输送轧辊传送至立式烘箱进行烘干，烘箱为电烘干箱，</w:t>
      </w:r>
      <w:bookmarkStart w:id="12" w:name="OLE_LINK96"/>
      <w:r>
        <w:rPr>
          <w:rFonts w:hint="eastAsia" w:ascii="Times New Roman" w:hAnsi="Times New Roman" w:eastAsia="宋体" w:cs="Times New Roman"/>
          <w:color w:val="auto"/>
          <w:kern w:val="2"/>
          <w:sz w:val="24"/>
          <w:szCs w:val="24"/>
          <w:lang w:val="en-US" w:eastAsia="zh-CN"/>
        </w:rPr>
        <w:t>烘干温度为120-160℃，</w:t>
      </w:r>
      <w:bookmarkEnd w:id="12"/>
      <w:r>
        <w:rPr>
          <w:rFonts w:hint="eastAsia" w:ascii="Times New Roman" w:hAnsi="Times New Roman" w:eastAsia="宋体" w:cs="Times New Roman"/>
          <w:color w:val="auto"/>
          <w:kern w:val="2"/>
          <w:sz w:val="24"/>
          <w:szCs w:val="24"/>
          <w:lang w:val="en-US" w:eastAsia="zh-CN"/>
        </w:rPr>
        <w:t>烘干时间为20-40min，烘干后经自然冷却、收卷后即为成品。</w:t>
      </w:r>
    </w:p>
    <w:p w14:paraId="781DB16B">
      <w:pPr>
        <w:widowControl w:val="0"/>
        <w:numPr>
          <w:ilvl w:val="0"/>
          <w:numId w:val="1"/>
        </w:numPr>
        <w:adjustRightInd/>
        <w:snapToGrid/>
        <w:spacing w:line="520" w:lineRule="exact"/>
        <w:ind w:firstLine="480" w:firstLineChars="200"/>
        <w:jc w:val="both"/>
        <w:rPr>
          <w:rFonts w:hint="eastAsia" w:ascii="Times New Roman" w:hAnsi="Times New Roman" w:eastAsia="宋体" w:cs="Times New Roman"/>
          <w:color w:val="auto"/>
          <w:kern w:val="2"/>
          <w:sz w:val="24"/>
          <w:szCs w:val="24"/>
        </w:rPr>
      </w:pPr>
      <w:r>
        <w:rPr>
          <w:rFonts w:hint="eastAsia" w:ascii="Times New Roman" w:hAnsi="Times New Roman" w:eastAsia="宋体" w:cs="Times New Roman"/>
          <w:color w:val="auto"/>
          <w:kern w:val="2"/>
          <w:sz w:val="24"/>
          <w:szCs w:val="24"/>
        </w:rPr>
        <w:t>实际建设工艺</w:t>
      </w:r>
    </w:p>
    <w:p w14:paraId="0C89F0CD">
      <w:pPr>
        <w:widowControl w:val="0"/>
        <w:numPr>
          <w:ilvl w:val="0"/>
          <w:numId w:val="0"/>
        </w:numPr>
        <w:adjustRightInd/>
        <w:snapToGrid/>
        <w:spacing w:line="240" w:lineRule="auto"/>
        <w:ind w:firstLine="0" w:firstLineChars="0"/>
        <w:jc w:val="center"/>
        <w:rPr>
          <w:rFonts w:hint="eastAsia" w:ascii="Times New Roman" w:hAnsi="Times New Roman" w:eastAsia="宋体" w:cs="Times New Roman"/>
          <w:color w:val="auto"/>
          <w:kern w:val="2"/>
          <w:sz w:val="24"/>
          <w:szCs w:val="24"/>
        </w:rPr>
      </w:pPr>
      <w:r>
        <w:rPr>
          <w:rFonts w:hint="eastAsia" w:ascii="Times New Roman" w:hAnsi="Times New Roman" w:eastAsia="宋体" w:cs="Times New Roman"/>
          <w:color w:val="auto"/>
          <w:kern w:val="2"/>
          <w:sz w:val="24"/>
          <w:szCs w:val="24"/>
        </w:rPr>
        <w:object>
          <v:shape id="_x0000_i1026" o:spt="75" type="#_x0000_t75" style="height:165.6pt;width:365.5pt;" o:ole="t" filled="f" o:preferrelative="t" stroked="f" coordsize="21600,21600">
            <v:path/>
            <v:fill on="f" focussize="0,0"/>
            <v:stroke on="f"/>
            <v:imagedata r:id="rId26" o:title=""/>
            <o:lock v:ext="edit" aspectratio="f"/>
            <w10:wrap type="none"/>
            <w10:anchorlock/>
          </v:shape>
          <o:OLEObject Type="Embed" ProgID="Visio.Drawing.11" ShapeID="_x0000_i1026" DrawAspect="Content" ObjectID="_1468075726" r:id="rId25">
            <o:LockedField>false</o:LockedField>
          </o:OLEObject>
        </w:object>
      </w:r>
    </w:p>
    <w:p w14:paraId="799E56CC">
      <w:pPr>
        <w:widowControl w:val="0"/>
        <w:adjustRightInd/>
        <w:snapToGrid/>
        <w:spacing w:line="240" w:lineRule="auto"/>
        <w:ind w:firstLine="482" w:firstLineChars="200"/>
        <w:jc w:val="center"/>
        <w:rPr>
          <w:rFonts w:hint="eastAsia" w:ascii="Times New Roman" w:hAnsi="Times New Roman" w:eastAsia="宋体" w:cs="Times New Roman"/>
          <w:b/>
          <w:bCs/>
          <w:color w:val="auto"/>
          <w:szCs w:val="24"/>
          <w:lang w:val="en-US" w:eastAsia="zh-CN"/>
        </w:rPr>
      </w:pPr>
      <w:r>
        <w:rPr>
          <w:rFonts w:hint="eastAsia" w:ascii="Times New Roman" w:hAnsi="Times New Roman" w:eastAsia="宋体" w:cs="Times New Roman"/>
          <w:b/>
          <w:bCs/>
          <w:color w:val="auto"/>
          <w:szCs w:val="24"/>
          <w:lang w:val="en-US" w:eastAsia="zh-CN"/>
        </w:rPr>
        <w:t>图2   实际建设中一期项目3#钢带镀镍工艺流程及产污环节图</w:t>
      </w:r>
    </w:p>
    <w:p w14:paraId="7FE77823">
      <w:pPr>
        <w:widowControl w:val="0"/>
        <w:adjustRightInd/>
        <w:snapToGrid/>
        <w:spacing w:line="520" w:lineRule="exact"/>
        <w:ind w:firstLine="480" w:firstLineChars="200"/>
        <w:jc w:val="both"/>
        <w:rPr>
          <w:rFonts w:hint="eastAsia" w:ascii="Times New Roman" w:hAnsi="Times New Roman" w:eastAsia="宋体" w:cs="Times New Roman"/>
          <w:b w:val="0"/>
          <w:bCs w:val="0"/>
          <w:color w:val="auto"/>
          <w:kern w:val="2"/>
          <w:sz w:val="24"/>
          <w:szCs w:val="24"/>
          <w:u w:val="none"/>
        </w:rPr>
      </w:pPr>
      <w:r>
        <w:rPr>
          <w:rFonts w:hint="eastAsia" w:ascii="Times New Roman" w:hAnsi="Times New Roman" w:eastAsia="宋体" w:cs="Times New Roman"/>
          <w:b w:val="0"/>
          <w:bCs w:val="0"/>
          <w:color w:val="auto"/>
          <w:kern w:val="2"/>
          <w:sz w:val="24"/>
          <w:szCs w:val="24"/>
          <w:u w:val="none"/>
          <w:lang w:val="en-US" w:eastAsia="zh-CN"/>
        </w:rPr>
        <w:t>对比原环评，3#钢带镀镍生产线减少了水洗工序和烘干工序。其他实际生产工艺流程与环评批复一致。对比《电镀建设项目重大变动清单综合重大变动清单（试行</w:t>
      </w:r>
      <w:r>
        <w:rPr>
          <w:rFonts w:hint="eastAsia" w:ascii="Times New Roman" w:hAnsi="Times New Roman" w:eastAsia="宋体" w:cs="Times New Roman"/>
          <w:b w:val="0"/>
          <w:bCs w:val="0"/>
          <w:color w:val="auto"/>
          <w:kern w:val="2"/>
          <w:sz w:val="24"/>
          <w:szCs w:val="24"/>
          <w:u w:val="none"/>
        </w:rPr>
        <w:t>）》中“3.镀种类型变化，导致新增污染物或污染物排放量增加。4.主要生产工艺变化；主要原辅材料变化导致新增污染物或污染物排放量增加。”</w:t>
      </w:r>
    </w:p>
    <w:p w14:paraId="468109DA">
      <w:pPr>
        <w:widowControl w:val="0"/>
        <w:adjustRightInd/>
        <w:snapToGrid/>
        <w:spacing w:line="520" w:lineRule="exact"/>
        <w:ind w:firstLine="480" w:firstLineChars="200"/>
        <w:jc w:val="both"/>
        <w:rPr>
          <w:rFonts w:ascii="Times New Roman" w:hAnsi="Times New Roman" w:eastAsia="宋体" w:cs="Times New Roman"/>
          <w:color w:val="auto"/>
          <w:kern w:val="2"/>
          <w:sz w:val="24"/>
          <w:szCs w:val="24"/>
        </w:rPr>
      </w:pPr>
      <w:r>
        <w:rPr>
          <w:rFonts w:hint="eastAsia" w:ascii="Times New Roman" w:hAnsi="Times New Roman" w:eastAsia="宋体" w:cs="Times New Roman"/>
          <w:color w:val="auto"/>
          <w:kern w:val="2"/>
          <w:sz w:val="24"/>
          <w:szCs w:val="24"/>
          <w:lang w:val="en-US" w:eastAsia="zh-CN"/>
        </w:rPr>
        <w:t>从生产工艺来分析，本项目</w:t>
      </w:r>
      <w:r>
        <w:rPr>
          <w:rFonts w:hint="eastAsia" w:cs="Times New Roman"/>
          <w:color w:val="auto"/>
          <w:kern w:val="2"/>
          <w:sz w:val="24"/>
          <w:szCs w:val="24"/>
          <w:lang w:val="en-US" w:eastAsia="zh-CN"/>
        </w:rPr>
        <w:t>（</w:t>
      </w:r>
      <w:r>
        <w:rPr>
          <w:rFonts w:hint="eastAsia" w:ascii="Times New Roman" w:hAnsi="Times New Roman" w:eastAsia="宋体" w:cs="Times New Roman"/>
          <w:color w:val="auto"/>
          <w:kern w:val="2"/>
          <w:sz w:val="24"/>
          <w:szCs w:val="24"/>
          <w:lang w:val="en-US" w:eastAsia="zh-CN"/>
        </w:rPr>
        <w:t>一期</w:t>
      </w:r>
      <w:r>
        <w:rPr>
          <w:rFonts w:hint="eastAsia" w:cs="Times New Roman"/>
          <w:color w:val="auto"/>
          <w:kern w:val="2"/>
          <w:sz w:val="24"/>
          <w:szCs w:val="24"/>
          <w:lang w:val="en-US" w:eastAsia="zh-CN"/>
        </w:rPr>
        <w:t>）</w:t>
      </w:r>
      <w:r>
        <w:rPr>
          <w:rFonts w:hint="eastAsia" w:ascii="Times New Roman" w:hAnsi="Times New Roman" w:eastAsia="宋体" w:cs="Times New Roman"/>
          <w:color w:val="auto"/>
          <w:kern w:val="2"/>
          <w:sz w:val="24"/>
          <w:szCs w:val="24"/>
          <w:lang w:val="en-US" w:eastAsia="zh-CN"/>
        </w:rPr>
        <w:t>3#钢带镀镍生产线“镀种类型未变化，不新增污染物，污染物不增加，原辅材料无变化</w:t>
      </w:r>
      <w:r>
        <w:rPr>
          <w:rFonts w:hint="eastAsia" w:ascii="Times New Roman" w:hAnsi="Times New Roman" w:eastAsia="宋体" w:cs="Times New Roman"/>
          <w:color w:val="auto"/>
          <w:kern w:val="2"/>
          <w:sz w:val="24"/>
          <w:szCs w:val="24"/>
        </w:rPr>
        <w:t>。”，故</w:t>
      </w:r>
      <w:r>
        <w:rPr>
          <w:rFonts w:hint="eastAsia" w:cs="Times New Roman"/>
          <w:color w:val="auto"/>
          <w:kern w:val="2"/>
          <w:sz w:val="24"/>
          <w:szCs w:val="24"/>
          <w:lang w:eastAsia="zh-CN"/>
        </w:rPr>
        <w:t>本项目（一期）</w:t>
      </w:r>
      <w:r>
        <w:rPr>
          <w:rFonts w:hint="eastAsia" w:ascii="Times New Roman" w:hAnsi="Times New Roman" w:eastAsia="宋体" w:cs="Times New Roman"/>
          <w:color w:val="auto"/>
          <w:kern w:val="2"/>
          <w:sz w:val="24"/>
          <w:szCs w:val="24"/>
          <w:lang w:val="en-US" w:eastAsia="zh-CN"/>
        </w:rPr>
        <w:t>3#钢带镀镍生产线</w:t>
      </w:r>
      <w:r>
        <w:rPr>
          <w:rFonts w:hint="eastAsia" w:ascii="Times New Roman" w:hAnsi="Times New Roman" w:eastAsia="宋体" w:cs="Times New Roman"/>
          <w:color w:val="auto"/>
          <w:kern w:val="2"/>
          <w:sz w:val="24"/>
          <w:szCs w:val="24"/>
        </w:rPr>
        <w:t>工艺变动不会导致第3条、第4条所列情形，故</w:t>
      </w:r>
      <w:r>
        <w:rPr>
          <w:rFonts w:ascii="Times New Roman" w:hAnsi="Times New Roman" w:eastAsia="宋体" w:cs="Times New Roman"/>
          <w:color w:val="auto"/>
          <w:kern w:val="2"/>
          <w:sz w:val="24"/>
          <w:szCs w:val="24"/>
        </w:rPr>
        <w:t>不属于重大变动</w:t>
      </w:r>
      <w:r>
        <w:rPr>
          <w:rFonts w:hint="eastAsia" w:ascii="Times New Roman" w:hAnsi="Times New Roman" w:eastAsia="宋体" w:cs="Times New Roman"/>
          <w:color w:val="auto"/>
          <w:kern w:val="2"/>
          <w:sz w:val="24"/>
          <w:szCs w:val="24"/>
        </w:rPr>
        <w:t>。</w:t>
      </w:r>
    </w:p>
    <w:p w14:paraId="1135B764">
      <w:pPr>
        <w:ind w:firstLine="480"/>
        <w:rPr>
          <w:rFonts w:hint="eastAsia" w:ascii="Times New Roman" w:hAnsi="Times New Roman" w:eastAsia="宋体"/>
          <w:b/>
          <w:bCs/>
          <w:color w:val="auto"/>
          <w:lang w:val="en-US" w:eastAsia="zh-CN"/>
        </w:rPr>
      </w:pPr>
      <w:r>
        <w:rPr>
          <w:rFonts w:hint="eastAsia" w:ascii="Times New Roman" w:hAnsi="Times New Roman" w:eastAsia="宋体"/>
          <w:b/>
          <w:bCs/>
          <w:color w:val="auto"/>
          <w:lang w:val="en-US" w:eastAsia="zh-CN"/>
        </w:rPr>
        <w:t>4、退镀锌生产工艺</w:t>
      </w:r>
    </w:p>
    <w:p w14:paraId="599A2ED2">
      <w:pPr>
        <w:widowControl w:val="0"/>
        <w:numPr>
          <w:ilvl w:val="0"/>
          <w:numId w:val="2"/>
        </w:numPr>
        <w:adjustRightInd/>
        <w:snapToGrid/>
        <w:spacing w:line="520" w:lineRule="exact"/>
        <w:ind w:firstLine="480" w:firstLineChars="200"/>
        <w:jc w:val="both"/>
        <w:rPr>
          <w:rFonts w:hint="eastAsia" w:ascii="Times New Roman" w:hAnsi="Times New Roman" w:eastAsia="宋体" w:cs="Times New Roman"/>
          <w:color w:val="auto"/>
          <w:kern w:val="2"/>
          <w:sz w:val="24"/>
          <w:szCs w:val="24"/>
        </w:rPr>
      </w:pPr>
      <w:r>
        <w:rPr>
          <w:rFonts w:hint="eastAsia" w:ascii="Times New Roman" w:hAnsi="Times New Roman" w:eastAsia="宋体" w:cs="Times New Roman"/>
          <w:color w:val="auto"/>
          <w:kern w:val="2"/>
          <w:sz w:val="24"/>
          <w:szCs w:val="24"/>
        </w:rPr>
        <w:t>环评中生产工艺</w:t>
      </w:r>
    </w:p>
    <w:p w14:paraId="0B9804DB">
      <w:pPr>
        <w:widowControl w:val="0"/>
        <w:numPr>
          <w:ilvl w:val="0"/>
          <w:numId w:val="0"/>
        </w:numPr>
        <w:adjustRightInd/>
        <w:snapToGrid/>
        <w:spacing w:line="240" w:lineRule="auto"/>
        <w:ind w:firstLine="0" w:firstLineChars="0"/>
        <w:jc w:val="center"/>
        <w:rPr>
          <w:rFonts w:hint="eastAsia" w:ascii="Times New Roman" w:hAnsi="Times New Roman" w:eastAsia="宋体" w:cs="Times New Roman"/>
          <w:color w:val="auto"/>
          <w:kern w:val="2"/>
          <w:sz w:val="24"/>
          <w:szCs w:val="24"/>
        </w:rPr>
      </w:pPr>
      <w:r>
        <w:rPr>
          <w:rFonts w:ascii="Times New Roman" w:hAnsi="Times New Roman" w:eastAsia="等线" w:cs="Times New Roman"/>
          <w:color w:val="auto"/>
          <w:kern w:val="2"/>
          <w:sz w:val="21"/>
        </w:rPr>
        <w:object>
          <v:shape id="_x0000_i1027" o:spt="75" type="#_x0000_t75" style="height:146.05pt;width:407.35pt;" o:ole="t" filled="f" o:preferrelative="t" stroked="f" coordsize="21600,21600">
            <v:path/>
            <v:fill on="f" focussize="0,0"/>
            <v:stroke on="f"/>
            <v:imagedata r:id="rId28" o:title=""/>
            <o:lock v:ext="edit" aspectratio="f"/>
            <w10:wrap type="none"/>
            <w10:anchorlock/>
          </v:shape>
          <o:OLEObject Type="Embed" ProgID="Visio.Drawing.11" ShapeID="_x0000_i1027" DrawAspect="Content" ObjectID="_1468075727" r:id="rId27">
            <o:LockedField>false</o:LockedField>
          </o:OLEObject>
        </w:object>
      </w:r>
    </w:p>
    <w:p w14:paraId="4A05F984">
      <w:pPr>
        <w:widowControl w:val="0"/>
        <w:adjustRightInd/>
        <w:snapToGrid/>
        <w:spacing w:line="240" w:lineRule="auto"/>
        <w:ind w:firstLine="482" w:firstLineChars="200"/>
        <w:jc w:val="center"/>
        <w:rPr>
          <w:rFonts w:hint="eastAsia" w:ascii="Times New Roman" w:hAnsi="Times New Roman" w:eastAsia="宋体" w:cs="Times New Roman"/>
          <w:b/>
          <w:bCs/>
          <w:color w:val="auto"/>
          <w:szCs w:val="24"/>
          <w:lang w:val="en-US" w:eastAsia="zh-CN"/>
        </w:rPr>
      </w:pPr>
      <w:r>
        <w:rPr>
          <w:rFonts w:hint="eastAsia" w:ascii="Times New Roman" w:hAnsi="Times New Roman" w:eastAsia="宋体" w:cs="Times New Roman"/>
          <w:b/>
          <w:bCs/>
          <w:color w:val="auto"/>
          <w:szCs w:val="24"/>
          <w:lang w:val="en-US" w:eastAsia="zh-CN"/>
        </w:rPr>
        <w:t>图1   环评中一期项目退镀工艺流程及产污环节图</w:t>
      </w:r>
    </w:p>
    <w:p w14:paraId="544ED614">
      <w:pPr>
        <w:widowControl w:val="0"/>
        <w:adjustRightInd/>
        <w:snapToGrid/>
        <w:spacing w:line="520" w:lineRule="exact"/>
        <w:ind w:firstLine="480" w:firstLineChars="200"/>
        <w:jc w:val="both"/>
        <w:rPr>
          <w:rFonts w:ascii="Times New Roman" w:hAnsi="Times New Roman" w:eastAsia="宋体" w:cs="Times New Roman"/>
          <w:color w:val="auto"/>
          <w:kern w:val="2"/>
          <w:sz w:val="24"/>
          <w:szCs w:val="24"/>
        </w:rPr>
      </w:pPr>
      <w:r>
        <w:rPr>
          <w:rFonts w:hint="eastAsia" w:ascii="Times New Roman" w:hAnsi="Times New Roman" w:eastAsia="宋体" w:cs="Times New Roman"/>
          <w:color w:val="auto"/>
          <w:kern w:val="2"/>
          <w:sz w:val="24"/>
          <w:szCs w:val="24"/>
        </w:rPr>
        <w:t>工艺流程简介：</w:t>
      </w:r>
    </w:p>
    <w:p w14:paraId="58D63311">
      <w:pPr>
        <w:widowControl w:val="0"/>
        <w:adjustRightInd/>
        <w:snapToGrid/>
        <w:spacing w:line="520" w:lineRule="exact"/>
        <w:ind w:firstLine="480" w:firstLineChars="200"/>
        <w:jc w:val="both"/>
        <w:rPr>
          <w:rFonts w:ascii="Times New Roman" w:hAnsi="Times New Roman" w:eastAsia="宋体" w:cs="Times New Roman"/>
          <w:color w:val="auto"/>
          <w:kern w:val="2"/>
          <w:sz w:val="24"/>
          <w:szCs w:val="24"/>
        </w:rPr>
      </w:pPr>
      <w:r>
        <w:rPr>
          <w:rFonts w:ascii="Times New Roman" w:hAnsi="Times New Roman" w:eastAsia="宋体" w:cs="Times New Roman"/>
          <w:color w:val="auto"/>
          <w:kern w:val="2"/>
          <w:sz w:val="24"/>
          <w:szCs w:val="24"/>
        </w:rPr>
        <w:t>退锌剂主要成分为10%-14%盐酸，退镀温度为常温，时间为5-8min。退镀槽液每3个月更换1次。</w:t>
      </w:r>
    </w:p>
    <w:p w14:paraId="01398AB9">
      <w:pPr>
        <w:widowControl w:val="0"/>
        <w:adjustRightInd/>
        <w:snapToGrid/>
        <w:spacing w:line="520" w:lineRule="exact"/>
        <w:ind w:firstLine="480" w:firstLineChars="200"/>
        <w:jc w:val="both"/>
        <w:rPr>
          <w:rFonts w:ascii="Times New Roman" w:hAnsi="Times New Roman" w:eastAsia="宋体" w:cs="Times New Roman"/>
          <w:color w:val="auto"/>
          <w:kern w:val="2"/>
          <w:sz w:val="24"/>
          <w:szCs w:val="24"/>
        </w:rPr>
      </w:pPr>
      <w:r>
        <w:rPr>
          <w:rFonts w:ascii="Times New Roman" w:hAnsi="Times New Roman" w:eastAsia="宋体" w:cs="Times New Roman"/>
          <w:color w:val="auto"/>
          <w:kern w:val="2"/>
          <w:sz w:val="24"/>
          <w:szCs w:val="24"/>
        </w:rPr>
        <w:t>退镀后进行双联水洗，双联水洗水从槽头连续排放，鉴于挂镀锌含钝化工艺，故退镀废水中含重金属铬、锌，按含铬废水进行处理。退镀水洗后工件重新进行表面处理</w:t>
      </w:r>
      <w:r>
        <w:rPr>
          <w:rFonts w:hint="eastAsia" w:ascii="Times New Roman" w:hAnsi="Times New Roman" w:eastAsia="宋体" w:cs="Times New Roman"/>
          <w:color w:val="auto"/>
          <w:kern w:val="2"/>
          <w:sz w:val="24"/>
          <w:szCs w:val="24"/>
        </w:rPr>
        <w:t>。</w:t>
      </w:r>
    </w:p>
    <w:p w14:paraId="4834D40D">
      <w:pPr>
        <w:widowControl w:val="0"/>
        <w:adjustRightInd/>
        <w:snapToGrid/>
        <w:spacing w:line="520" w:lineRule="exact"/>
        <w:ind w:firstLine="480" w:firstLineChars="200"/>
        <w:jc w:val="both"/>
        <w:rPr>
          <w:rFonts w:ascii="Times New Roman" w:hAnsi="Times New Roman" w:eastAsia="宋体" w:cs="Times New Roman"/>
          <w:color w:val="auto"/>
          <w:kern w:val="2"/>
          <w:sz w:val="24"/>
          <w:szCs w:val="24"/>
        </w:rPr>
      </w:pPr>
      <w:r>
        <w:rPr>
          <w:rFonts w:hint="eastAsia" w:ascii="Times New Roman" w:hAnsi="Times New Roman" w:eastAsia="宋体" w:cs="Times New Roman"/>
          <w:color w:val="auto"/>
          <w:kern w:val="2"/>
          <w:sz w:val="24"/>
          <w:szCs w:val="24"/>
        </w:rPr>
        <w:t>环评中</w:t>
      </w:r>
      <w:r>
        <w:rPr>
          <w:rFonts w:ascii="Times New Roman" w:hAnsi="Times New Roman" w:eastAsia="宋体" w:cs="Times New Roman"/>
          <w:color w:val="auto"/>
          <w:kern w:val="2"/>
          <w:sz w:val="24"/>
          <w:szCs w:val="24"/>
        </w:rPr>
        <w:t>产污环节分析：</w:t>
      </w:r>
      <w:r>
        <w:rPr>
          <w:rFonts w:hint="eastAsia" w:ascii="Times New Roman" w:hAnsi="Times New Roman" w:eastAsia="宋体" w:cs="Times New Roman"/>
          <w:color w:val="auto"/>
          <w:kern w:val="2"/>
          <w:sz w:val="24"/>
          <w:szCs w:val="24"/>
        </w:rPr>
        <w:t>退镀</w:t>
      </w:r>
      <w:r>
        <w:rPr>
          <w:rFonts w:ascii="Times New Roman" w:hAnsi="Times New Roman" w:eastAsia="宋体" w:cs="Times New Roman"/>
          <w:color w:val="auto"/>
          <w:kern w:val="2"/>
          <w:sz w:val="24"/>
          <w:szCs w:val="24"/>
        </w:rPr>
        <w:t>工序会产生废水、废气、固废</w:t>
      </w:r>
      <w:r>
        <w:rPr>
          <w:rFonts w:hint="eastAsia" w:ascii="Times New Roman" w:hAnsi="Times New Roman" w:eastAsia="宋体" w:cs="Times New Roman"/>
          <w:color w:val="auto"/>
          <w:kern w:val="2"/>
          <w:sz w:val="24"/>
          <w:szCs w:val="24"/>
        </w:rPr>
        <w:t>。</w:t>
      </w:r>
      <w:r>
        <w:rPr>
          <w:rFonts w:ascii="Times New Roman" w:hAnsi="Times New Roman" w:eastAsia="宋体" w:cs="Times New Roman"/>
          <w:color w:val="auto"/>
          <w:kern w:val="2"/>
          <w:sz w:val="24"/>
          <w:szCs w:val="24"/>
        </w:rPr>
        <w:t>废气主要为退锌过程产生的氯化氢，废水为退镀槽后水洗废水。含锌层退镀后水洗废水含锌、铬，废水经独立管道送往含铬污水处理设施处理，固废主要为退镀槽废槽液，属于危险废物，危废暂存间暂存后交由有资质的单位安全处置。</w:t>
      </w:r>
    </w:p>
    <w:p w14:paraId="2E58B73E">
      <w:pPr>
        <w:widowControl w:val="0"/>
        <w:adjustRightInd/>
        <w:snapToGrid/>
        <w:spacing w:line="520" w:lineRule="exact"/>
        <w:ind w:firstLine="480" w:firstLineChars="200"/>
        <w:jc w:val="both"/>
        <w:rPr>
          <w:rFonts w:hint="eastAsia" w:ascii="Times New Roman" w:hAnsi="Times New Roman" w:eastAsia="宋体" w:cs="Times New Roman"/>
          <w:color w:val="auto"/>
          <w:kern w:val="2"/>
          <w:sz w:val="24"/>
          <w:szCs w:val="24"/>
        </w:rPr>
      </w:pPr>
      <w:r>
        <w:rPr>
          <w:rFonts w:hint="eastAsia" w:ascii="Times New Roman" w:hAnsi="Times New Roman" w:eastAsia="宋体" w:cs="Times New Roman"/>
          <w:color w:val="auto"/>
          <w:kern w:val="2"/>
          <w:sz w:val="24"/>
          <w:szCs w:val="24"/>
          <w:lang w:eastAsia="zh-CN"/>
        </w:rPr>
        <w:t>（</w:t>
      </w:r>
      <w:r>
        <w:rPr>
          <w:rFonts w:hint="eastAsia" w:ascii="Times New Roman" w:hAnsi="Times New Roman" w:eastAsia="宋体" w:cs="Times New Roman"/>
          <w:color w:val="auto"/>
          <w:kern w:val="2"/>
          <w:sz w:val="24"/>
          <w:szCs w:val="24"/>
          <w:lang w:val="en-US" w:eastAsia="zh-CN"/>
        </w:rPr>
        <w:t>2</w:t>
      </w:r>
      <w:r>
        <w:rPr>
          <w:rFonts w:hint="eastAsia" w:ascii="Times New Roman" w:hAnsi="Times New Roman" w:eastAsia="宋体" w:cs="Times New Roman"/>
          <w:color w:val="auto"/>
          <w:kern w:val="2"/>
          <w:sz w:val="24"/>
          <w:szCs w:val="24"/>
          <w:lang w:eastAsia="zh-CN"/>
        </w:rPr>
        <w:t>）</w:t>
      </w:r>
      <w:r>
        <w:rPr>
          <w:rFonts w:hint="eastAsia" w:ascii="Times New Roman" w:hAnsi="Times New Roman" w:eastAsia="宋体" w:cs="Times New Roman"/>
          <w:color w:val="auto"/>
          <w:kern w:val="2"/>
          <w:sz w:val="24"/>
          <w:szCs w:val="24"/>
        </w:rPr>
        <w:t>实际建设工艺</w:t>
      </w:r>
    </w:p>
    <w:p w14:paraId="785ADD6A">
      <w:pPr>
        <w:widowControl w:val="0"/>
        <w:adjustRightInd/>
        <w:snapToGrid/>
        <w:spacing w:line="240" w:lineRule="auto"/>
        <w:ind w:left="0" w:leftChars="0" w:firstLine="0" w:firstLineChars="0"/>
        <w:jc w:val="both"/>
        <w:rPr>
          <w:rFonts w:ascii="Times New Roman" w:hAnsi="Times New Roman" w:eastAsia="宋体" w:cs="Times New Roman"/>
          <w:color w:val="auto"/>
          <w:kern w:val="2"/>
          <w:sz w:val="24"/>
          <w:szCs w:val="24"/>
        </w:rPr>
      </w:pPr>
      <w:r>
        <w:rPr>
          <w:rFonts w:ascii="Times New Roman" w:hAnsi="Times New Roman" w:eastAsia="宋体" w:cs="Times New Roman"/>
          <w:color w:val="auto"/>
          <w:kern w:val="2"/>
          <w:sz w:val="24"/>
          <w:szCs w:val="24"/>
        </w:rPr>
        <w:object>
          <v:shape id="_x0000_i1028" o:spt="75" type="#_x0000_t75" style="height:112.35pt;width:414.7pt;" o:ole="t" filled="f" o:preferrelative="t" stroked="f" coordsize="21600,21600">
            <v:path/>
            <v:fill on="f" focussize="0,0"/>
            <v:stroke on="f"/>
            <v:imagedata r:id="rId30" o:title=""/>
            <o:lock v:ext="edit" aspectratio="f"/>
            <w10:wrap type="none"/>
            <w10:anchorlock/>
          </v:shape>
          <o:OLEObject Type="Embed" ProgID="Visio.Drawing.11" ShapeID="_x0000_i1028" DrawAspect="Content" ObjectID="_1468075728" r:id="rId29">
            <o:LockedField>false</o:LockedField>
          </o:OLEObject>
        </w:object>
      </w:r>
    </w:p>
    <w:p w14:paraId="770ECED8">
      <w:pPr>
        <w:widowControl w:val="0"/>
        <w:adjustRightInd/>
        <w:snapToGrid/>
        <w:spacing w:line="240" w:lineRule="auto"/>
        <w:ind w:left="0" w:leftChars="0" w:firstLine="0" w:firstLineChars="0"/>
        <w:jc w:val="center"/>
        <w:rPr>
          <w:rFonts w:hint="eastAsia" w:ascii="Times New Roman" w:hAnsi="Times New Roman" w:eastAsia="宋体" w:cs="Times New Roman"/>
          <w:b/>
          <w:bCs/>
          <w:color w:val="auto"/>
          <w:szCs w:val="24"/>
          <w:lang w:val="en-US" w:eastAsia="zh-CN"/>
        </w:rPr>
      </w:pPr>
      <w:r>
        <w:rPr>
          <w:rFonts w:hint="eastAsia" w:ascii="Times New Roman" w:hAnsi="Times New Roman" w:eastAsia="宋体" w:cs="Times New Roman"/>
          <w:b/>
          <w:bCs/>
          <w:color w:val="auto"/>
          <w:szCs w:val="24"/>
          <w:lang w:val="en-US" w:eastAsia="zh-CN"/>
        </w:rPr>
        <w:t>图3   实际建设中一期项目退镀工艺流程及产污环节图</w:t>
      </w:r>
    </w:p>
    <w:p w14:paraId="06729686">
      <w:pPr>
        <w:widowControl w:val="0"/>
        <w:adjustRightInd/>
        <w:snapToGrid/>
        <w:spacing w:line="520" w:lineRule="exact"/>
        <w:ind w:firstLine="480" w:firstLineChars="200"/>
        <w:jc w:val="both"/>
        <w:rPr>
          <w:rFonts w:ascii="Times New Roman" w:hAnsi="Times New Roman" w:eastAsia="宋体" w:cs="Times New Roman"/>
          <w:color w:val="auto"/>
          <w:kern w:val="2"/>
          <w:sz w:val="24"/>
          <w:szCs w:val="24"/>
        </w:rPr>
      </w:pPr>
      <w:r>
        <w:rPr>
          <w:rFonts w:hint="eastAsia" w:ascii="Times New Roman" w:hAnsi="Times New Roman" w:eastAsia="宋体" w:cs="Times New Roman"/>
          <w:color w:val="auto"/>
          <w:kern w:val="2"/>
          <w:sz w:val="24"/>
          <w:szCs w:val="24"/>
        </w:rPr>
        <w:t>对比原环评，镀锌退镀生产线增加了脱脂工序，调整了水洗工序顺序。</w:t>
      </w:r>
      <w:r>
        <w:rPr>
          <w:rFonts w:hint="eastAsia" w:cs="Times New Roman"/>
          <w:color w:val="FF0000"/>
          <w:kern w:val="2"/>
          <w:sz w:val="24"/>
          <w:szCs w:val="24"/>
          <w:lang w:val="en-US" w:eastAsia="zh-CN"/>
        </w:rPr>
        <w:t>其中脱脂工序流程为</w:t>
      </w:r>
      <w:r>
        <w:rPr>
          <w:rFonts w:hint="eastAsia" w:ascii="Times New Roman" w:hAnsi="Times New Roman" w:eastAsia="宋体" w:cs="Times New Roman"/>
          <w:color w:val="FF0000"/>
          <w:kern w:val="2"/>
          <w:sz w:val="24"/>
          <w:szCs w:val="24"/>
        </w:rPr>
        <w:t>将</w:t>
      </w:r>
      <w:r>
        <w:rPr>
          <w:rFonts w:hint="eastAsia" w:cs="Times New Roman"/>
          <w:color w:val="FF0000"/>
          <w:kern w:val="2"/>
          <w:sz w:val="24"/>
          <w:szCs w:val="24"/>
          <w:lang w:val="en-US" w:eastAsia="zh-CN"/>
        </w:rPr>
        <w:t>镀锌不合格品</w:t>
      </w:r>
      <w:r>
        <w:rPr>
          <w:rFonts w:hint="eastAsia" w:ascii="Times New Roman" w:hAnsi="Times New Roman" w:eastAsia="宋体" w:cs="Times New Roman"/>
          <w:color w:val="FF0000"/>
          <w:kern w:val="2"/>
          <w:sz w:val="24"/>
          <w:szCs w:val="24"/>
        </w:rPr>
        <w:t>放置于</w:t>
      </w:r>
      <w:r>
        <w:rPr>
          <w:rFonts w:hint="eastAsia" w:cs="Times New Roman"/>
          <w:color w:val="FF0000"/>
          <w:kern w:val="2"/>
          <w:sz w:val="24"/>
          <w:szCs w:val="24"/>
          <w:lang w:val="en-US" w:eastAsia="zh-CN"/>
        </w:rPr>
        <w:t>脱脂</w:t>
      </w:r>
      <w:r>
        <w:rPr>
          <w:rFonts w:hint="eastAsia" w:ascii="Times New Roman" w:hAnsi="Times New Roman" w:eastAsia="宋体" w:cs="Times New Roman"/>
          <w:color w:val="FF0000"/>
          <w:kern w:val="2"/>
          <w:sz w:val="24"/>
          <w:szCs w:val="24"/>
        </w:rPr>
        <w:t>槽内</w:t>
      </w:r>
      <w:r>
        <w:rPr>
          <w:rFonts w:hint="eastAsia" w:cs="Times New Roman"/>
          <w:color w:val="FF0000"/>
          <w:kern w:val="2"/>
          <w:sz w:val="24"/>
          <w:szCs w:val="24"/>
          <w:lang w:eastAsia="zh-CN"/>
        </w:rPr>
        <w:t>，</w:t>
      </w:r>
      <w:r>
        <w:rPr>
          <w:rFonts w:hint="eastAsia" w:cs="Times New Roman"/>
          <w:color w:val="FF0000"/>
          <w:kern w:val="2"/>
          <w:sz w:val="24"/>
          <w:szCs w:val="24"/>
          <w:lang w:val="en-US" w:eastAsia="zh-CN"/>
        </w:rPr>
        <w:t>脱脂</w:t>
      </w:r>
      <w:r>
        <w:rPr>
          <w:rFonts w:hint="eastAsia" w:ascii="Times New Roman" w:hAnsi="Times New Roman" w:eastAsia="宋体" w:cs="Times New Roman"/>
          <w:color w:val="FF0000"/>
          <w:kern w:val="2"/>
          <w:sz w:val="24"/>
          <w:szCs w:val="24"/>
        </w:rPr>
        <w:t>槽内</w:t>
      </w:r>
      <w:r>
        <w:rPr>
          <w:rFonts w:hint="eastAsia" w:cs="Times New Roman"/>
          <w:color w:val="FF0000"/>
          <w:kern w:val="2"/>
          <w:sz w:val="24"/>
          <w:szCs w:val="24"/>
          <w:lang w:val="en-US" w:eastAsia="zh-CN"/>
        </w:rPr>
        <w:t>加入</w:t>
      </w:r>
      <w:r>
        <w:rPr>
          <w:rFonts w:hint="eastAsia" w:ascii="Times New Roman" w:hAnsi="Times New Roman" w:eastAsia="宋体" w:cs="Times New Roman"/>
          <w:color w:val="FF0000"/>
          <w:kern w:val="2"/>
          <w:sz w:val="24"/>
          <w:szCs w:val="24"/>
        </w:rPr>
        <w:t>脱脂剂。</w:t>
      </w:r>
    </w:p>
    <w:p w14:paraId="620A4CF6">
      <w:pPr>
        <w:widowControl w:val="0"/>
        <w:adjustRightInd/>
        <w:snapToGrid/>
        <w:spacing w:line="520" w:lineRule="exact"/>
        <w:ind w:firstLine="480" w:firstLineChars="200"/>
        <w:jc w:val="both"/>
        <w:rPr>
          <w:rFonts w:ascii="Times New Roman" w:hAnsi="Times New Roman" w:eastAsia="宋体" w:cs="Times New Roman"/>
          <w:color w:val="auto"/>
          <w:kern w:val="2"/>
          <w:sz w:val="24"/>
          <w:szCs w:val="24"/>
        </w:rPr>
      </w:pPr>
      <w:r>
        <w:rPr>
          <w:rFonts w:hint="eastAsia" w:ascii="Times New Roman" w:hAnsi="Times New Roman" w:eastAsia="宋体" w:cs="Times New Roman"/>
          <w:color w:val="auto"/>
          <w:kern w:val="2"/>
          <w:sz w:val="24"/>
          <w:szCs w:val="24"/>
        </w:rPr>
        <w:t>实际建设中</w:t>
      </w:r>
      <w:r>
        <w:rPr>
          <w:rFonts w:ascii="Times New Roman" w:hAnsi="Times New Roman" w:eastAsia="宋体" w:cs="Times New Roman"/>
          <w:color w:val="auto"/>
          <w:kern w:val="2"/>
          <w:sz w:val="24"/>
          <w:szCs w:val="24"/>
        </w:rPr>
        <w:t>产污环节分析：</w:t>
      </w:r>
      <w:r>
        <w:rPr>
          <w:rFonts w:hint="eastAsia" w:ascii="Times New Roman" w:hAnsi="Times New Roman" w:eastAsia="宋体" w:cs="Times New Roman"/>
          <w:color w:val="auto"/>
          <w:kern w:val="2"/>
          <w:sz w:val="24"/>
          <w:szCs w:val="24"/>
        </w:rPr>
        <w:t>退镀工序会产生废水、废气、固废。废气主要是退镀过程产生的氯化氢，废水为脱脂废水、水洗废水及退镀槽后水洗废水。</w:t>
      </w:r>
      <w:r>
        <w:rPr>
          <w:rFonts w:hint="eastAsia" w:ascii="Times New Roman" w:hAnsi="Times New Roman" w:eastAsia="宋体" w:cs="Times New Roman"/>
          <w:b w:val="0"/>
          <w:bCs w:val="0"/>
          <w:color w:val="FF0000"/>
          <w:kern w:val="2"/>
          <w:sz w:val="24"/>
          <w:szCs w:val="24"/>
          <w:u w:val="none"/>
        </w:rPr>
        <w:t>脱脂废水</w:t>
      </w:r>
      <w:r>
        <w:rPr>
          <w:rFonts w:hint="eastAsia" w:ascii="Times New Roman" w:hAnsi="Times New Roman" w:eastAsia="宋体" w:cs="Times New Roman"/>
          <w:b w:val="0"/>
          <w:bCs w:val="0"/>
          <w:color w:val="auto"/>
          <w:kern w:val="2"/>
          <w:sz w:val="24"/>
          <w:szCs w:val="24"/>
          <w:u w:val="none"/>
        </w:rPr>
        <w:t>和水洗废水经独立管道送往含铬</w:t>
      </w:r>
      <w:r>
        <w:rPr>
          <w:rFonts w:hint="eastAsia" w:ascii="Times New Roman" w:hAnsi="Times New Roman" w:eastAsia="宋体" w:cs="Times New Roman"/>
          <w:b w:val="0"/>
          <w:bCs w:val="0"/>
          <w:color w:val="auto"/>
          <w:kern w:val="2"/>
          <w:sz w:val="24"/>
          <w:szCs w:val="24"/>
          <w:u w:val="none"/>
          <w:lang w:val="en-US" w:eastAsia="zh-CN"/>
        </w:rPr>
        <w:t>废水</w:t>
      </w:r>
      <w:r>
        <w:rPr>
          <w:rFonts w:hint="eastAsia" w:ascii="Times New Roman" w:hAnsi="Times New Roman" w:eastAsia="宋体" w:cs="Times New Roman"/>
          <w:b w:val="0"/>
          <w:bCs w:val="0"/>
          <w:color w:val="auto"/>
          <w:kern w:val="2"/>
          <w:sz w:val="24"/>
          <w:szCs w:val="24"/>
          <w:u w:val="none"/>
        </w:rPr>
        <w:t>系统处理设施</w:t>
      </w:r>
      <w:r>
        <w:rPr>
          <w:rFonts w:ascii="Times New Roman" w:hAnsi="Times New Roman" w:eastAsia="宋体" w:cs="Times New Roman"/>
          <w:b w:val="0"/>
          <w:bCs w:val="0"/>
          <w:color w:val="auto"/>
          <w:kern w:val="2"/>
          <w:sz w:val="24"/>
          <w:szCs w:val="24"/>
          <w:u w:val="none"/>
        </w:rPr>
        <w:t>处理</w:t>
      </w:r>
      <w:r>
        <w:rPr>
          <w:rFonts w:hint="eastAsia" w:ascii="Times New Roman" w:hAnsi="Times New Roman" w:eastAsia="宋体" w:cs="Times New Roman"/>
          <w:b w:val="0"/>
          <w:bCs w:val="0"/>
          <w:color w:val="auto"/>
          <w:kern w:val="2"/>
          <w:sz w:val="24"/>
          <w:szCs w:val="24"/>
          <w:u w:val="none"/>
          <w:lang w:val="en-US" w:eastAsia="zh-CN"/>
        </w:rPr>
        <w:t>后回用</w:t>
      </w:r>
      <w:r>
        <w:rPr>
          <w:rFonts w:hint="eastAsia" w:ascii="Times New Roman" w:hAnsi="Times New Roman" w:eastAsia="宋体" w:cs="Times New Roman"/>
          <w:b w:val="0"/>
          <w:bCs w:val="0"/>
          <w:color w:val="auto"/>
          <w:kern w:val="2"/>
          <w:sz w:val="24"/>
          <w:szCs w:val="24"/>
          <w:u w:val="none"/>
          <w:lang w:eastAsia="zh-CN"/>
        </w:rPr>
        <w:t>，</w:t>
      </w:r>
      <w:r>
        <w:rPr>
          <w:rFonts w:hint="eastAsia" w:ascii="Times New Roman" w:hAnsi="Times New Roman" w:eastAsia="宋体" w:cs="Times New Roman"/>
          <w:b w:val="0"/>
          <w:bCs w:val="0"/>
          <w:color w:val="auto"/>
          <w:kern w:val="2"/>
          <w:sz w:val="24"/>
          <w:szCs w:val="24"/>
          <w:u w:val="none"/>
          <w:lang w:val="en-US" w:eastAsia="zh-CN"/>
        </w:rPr>
        <w:t>不外排</w:t>
      </w:r>
      <w:r>
        <w:rPr>
          <w:rFonts w:hint="eastAsia" w:ascii="Times New Roman" w:hAnsi="Times New Roman" w:eastAsia="宋体" w:cs="Times New Roman"/>
          <w:b w:val="0"/>
          <w:bCs w:val="0"/>
          <w:color w:val="auto"/>
          <w:kern w:val="2"/>
          <w:sz w:val="24"/>
          <w:szCs w:val="24"/>
          <w:u w:val="none"/>
          <w:lang w:eastAsia="zh-CN"/>
        </w:rPr>
        <w:t>；</w:t>
      </w:r>
      <w:r>
        <w:rPr>
          <w:rFonts w:ascii="Times New Roman" w:hAnsi="Times New Roman" w:eastAsia="宋体" w:cs="Times New Roman"/>
          <w:color w:val="auto"/>
          <w:kern w:val="2"/>
          <w:sz w:val="24"/>
          <w:szCs w:val="24"/>
        </w:rPr>
        <w:t>含锌层退镀后水洗废水含锌、铬，废水经独立管道送往含铬污水处理设施处理</w:t>
      </w:r>
      <w:r>
        <w:rPr>
          <w:rFonts w:hint="eastAsia" w:ascii="Times New Roman" w:hAnsi="Times New Roman" w:eastAsia="宋体" w:cs="Times New Roman"/>
          <w:color w:val="auto"/>
          <w:kern w:val="2"/>
          <w:sz w:val="24"/>
          <w:szCs w:val="24"/>
          <w:lang w:val="en-US" w:eastAsia="zh-CN"/>
        </w:rPr>
        <w:t>后回用</w:t>
      </w:r>
      <w:r>
        <w:rPr>
          <w:rFonts w:hint="eastAsia" w:ascii="Times New Roman" w:hAnsi="Times New Roman" w:eastAsia="宋体" w:cs="Times New Roman"/>
          <w:color w:val="auto"/>
          <w:kern w:val="2"/>
          <w:sz w:val="24"/>
          <w:szCs w:val="24"/>
          <w:lang w:eastAsia="zh-CN"/>
        </w:rPr>
        <w:t>，</w:t>
      </w:r>
      <w:r>
        <w:rPr>
          <w:rFonts w:hint="eastAsia" w:ascii="Times New Roman" w:hAnsi="Times New Roman" w:eastAsia="宋体" w:cs="Times New Roman"/>
          <w:color w:val="auto"/>
          <w:kern w:val="2"/>
          <w:sz w:val="24"/>
          <w:szCs w:val="24"/>
          <w:lang w:val="en-US" w:eastAsia="zh-CN"/>
        </w:rPr>
        <w:t>不外排</w:t>
      </w:r>
      <w:r>
        <w:rPr>
          <w:rFonts w:hint="eastAsia" w:ascii="Times New Roman" w:hAnsi="Times New Roman" w:eastAsia="宋体" w:cs="Times New Roman"/>
          <w:color w:val="auto"/>
          <w:kern w:val="2"/>
          <w:sz w:val="24"/>
          <w:szCs w:val="24"/>
        </w:rPr>
        <w:t>；</w:t>
      </w:r>
      <w:r>
        <w:rPr>
          <w:rFonts w:ascii="Times New Roman" w:hAnsi="Times New Roman" w:eastAsia="宋体" w:cs="Times New Roman"/>
          <w:color w:val="auto"/>
          <w:kern w:val="2"/>
          <w:sz w:val="24"/>
          <w:szCs w:val="24"/>
        </w:rPr>
        <w:t>固废主要为退镀槽废槽液，属于危险废物，危废暂存间暂存后交由有资质的单位安全处置</w:t>
      </w:r>
      <w:r>
        <w:rPr>
          <w:rFonts w:hint="eastAsia" w:ascii="Times New Roman" w:hAnsi="Times New Roman" w:eastAsia="宋体" w:cs="Times New Roman"/>
          <w:color w:val="auto"/>
          <w:kern w:val="2"/>
          <w:sz w:val="24"/>
          <w:szCs w:val="24"/>
        </w:rPr>
        <w:t>。</w:t>
      </w:r>
    </w:p>
    <w:p w14:paraId="526E32DD">
      <w:pPr>
        <w:widowControl w:val="0"/>
        <w:adjustRightInd/>
        <w:snapToGrid/>
        <w:spacing w:line="520" w:lineRule="exact"/>
        <w:ind w:firstLine="480" w:firstLineChars="200"/>
        <w:jc w:val="both"/>
        <w:rPr>
          <w:rFonts w:hint="eastAsia" w:ascii="Times New Roman" w:hAnsi="Times New Roman" w:eastAsia="宋体" w:cs="Times New Roman"/>
          <w:color w:val="auto"/>
          <w:kern w:val="2"/>
          <w:sz w:val="24"/>
          <w:szCs w:val="24"/>
        </w:rPr>
        <w:sectPr>
          <w:pgSz w:w="11906" w:h="16838"/>
          <w:pgMar w:top="1417" w:right="1417" w:bottom="1417" w:left="1417" w:header="851" w:footer="992" w:gutter="0"/>
          <w:cols w:space="425" w:num="1"/>
          <w:docGrid w:type="lines" w:linePitch="326" w:charSpace="0"/>
        </w:sectPr>
      </w:pPr>
      <w:r>
        <w:rPr>
          <w:rFonts w:hint="eastAsia" w:ascii="Times New Roman" w:hAnsi="Times New Roman" w:eastAsia="宋体" w:cs="Times New Roman"/>
          <w:color w:val="auto"/>
          <w:kern w:val="2"/>
          <w:sz w:val="24"/>
          <w:szCs w:val="24"/>
        </w:rPr>
        <w:t>对比《电镀建设项目重大变动清单综合重大变动清单（试行）》中“</w:t>
      </w:r>
      <w:r>
        <w:rPr>
          <w:rFonts w:ascii="Times New Roman" w:hAnsi="Times New Roman" w:eastAsia="宋体" w:cs="Times New Roman"/>
          <w:color w:val="auto"/>
          <w:kern w:val="2"/>
          <w:sz w:val="24"/>
          <w:szCs w:val="24"/>
        </w:rPr>
        <w:t>3.</w:t>
      </w:r>
      <w:r>
        <w:rPr>
          <w:rFonts w:hint="eastAsia" w:ascii="Times New Roman" w:hAnsi="Times New Roman" w:eastAsia="宋体" w:cs="Times New Roman"/>
          <w:color w:val="auto"/>
          <w:kern w:val="2"/>
          <w:sz w:val="24"/>
          <w:szCs w:val="24"/>
        </w:rPr>
        <w:t>镀种类型变化，导致新增污染物或污染物排放量增加。</w:t>
      </w:r>
      <w:r>
        <w:rPr>
          <w:rFonts w:ascii="Times New Roman" w:hAnsi="Times New Roman" w:eastAsia="宋体" w:cs="Times New Roman"/>
          <w:color w:val="auto"/>
          <w:kern w:val="2"/>
          <w:sz w:val="24"/>
          <w:szCs w:val="24"/>
        </w:rPr>
        <w:t>4.</w:t>
      </w:r>
      <w:r>
        <w:rPr>
          <w:rFonts w:hint="eastAsia" w:ascii="Times New Roman" w:hAnsi="Times New Roman" w:eastAsia="宋体" w:cs="Times New Roman"/>
          <w:color w:val="auto"/>
          <w:kern w:val="2"/>
          <w:sz w:val="24"/>
          <w:szCs w:val="24"/>
        </w:rPr>
        <w:t>主要生产工艺变化；主要原辅材料变化导致新增污染物或污染物排放量增加。”从生产工艺来分析，</w:t>
      </w:r>
      <w:r>
        <w:rPr>
          <w:rFonts w:hint="eastAsia" w:cs="Times New Roman"/>
          <w:color w:val="auto"/>
          <w:kern w:val="2"/>
          <w:sz w:val="24"/>
          <w:szCs w:val="24"/>
          <w:lang w:eastAsia="zh-CN"/>
        </w:rPr>
        <w:t>本项目（一期）</w:t>
      </w:r>
      <w:r>
        <w:rPr>
          <w:rFonts w:hint="eastAsia" w:ascii="Times New Roman" w:hAnsi="Times New Roman" w:eastAsia="宋体" w:cs="Times New Roman"/>
          <w:color w:val="auto"/>
          <w:kern w:val="2"/>
          <w:sz w:val="24"/>
          <w:szCs w:val="24"/>
        </w:rPr>
        <w:t>“镀种类型未变化，不新增污染物，污染物不增加。退镀锌工艺不属于主要生产工艺。”，故</w:t>
      </w:r>
      <w:r>
        <w:rPr>
          <w:rFonts w:hint="eastAsia" w:cs="Times New Roman"/>
          <w:color w:val="auto"/>
          <w:kern w:val="2"/>
          <w:sz w:val="24"/>
          <w:szCs w:val="24"/>
          <w:lang w:eastAsia="zh-CN"/>
        </w:rPr>
        <w:t>本项目（一期）</w:t>
      </w:r>
      <w:r>
        <w:rPr>
          <w:rFonts w:hint="eastAsia" w:ascii="Times New Roman" w:hAnsi="Times New Roman" w:eastAsia="宋体" w:cs="Times New Roman"/>
          <w:color w:val="auto"/>
          <w:kern w:val="2"/>
          <w:sz w:val="24"/>
          <w:szCs w:val="24"/>
        </w:rPr>
        <w:t>退镀锌工艺变动不会导致第3条、第4条所列情形，故</w:t>
      </w:r>
      <w:r>
        <w:rPr>
          <w:rFonts w:ascii="Times New Roman" w:hAnsi="Times New Roman" w:eastAsia="宋体" w:cs="Times New Roman"/>
          <w:color w:val="auto"/>
          <w:kern w:val="2"/>
          <w:sz w:val="24"/>
          <w:szCs w:val="24"/>
        </w:rPr>
        <w:t>不属于重大变动</w:t>
      </w:r>
      <w:r>
        <w:rPr>
          <w:rFonts w:hint="eastAsia" w:ascii="Times New Roman" w:hAnsi="Times New Roman" w:eastAsia="宋体" w:cs="Times New Roman"/>
          <w:color w:val="auto"/>
          <w:kern w:val="2"/>
          <w:sz w:val="24"/>
          <w:szCs w:val="24"/>
        </w:rPr>
        <w:t>。</w:t>
      </w:r>
    </w:p>
    <w:p w14:paraId="16B28380">
      <w:pPr>
        <w:pStyle w:val="3"/>
        <w:spacing w:before="163" w:after="163"/>
        <w:ind w:firstLine="643"/>
        <w:rPr>
          <w:rFonts w:cs="Times New Roman"/>
          <w:color w:val="auto"/>
        </w:rPr>
      </w:pPr>
      <w:bookmarkStart w:id="13" w:name="_Toc172712291"/>
      <w:r>
        <w:rPr>
          <w:rFonts w:cs="Times New Roman"/>
          <w:color w:val="auto"/>
        </w:rPr>
        <w:t>3.7产污环节</w:t>
      </w:r>
      <w:bookmarkEnd w:id="13"/>
    </w:p>
    <w:p w14:paraId="596B7813">
      <w:pPr>
        <w:spacing w:line="540" w:lineRule="exact"/>
        <w:ind w:firstLine="480"/>
        <w:rPr>
          <w:rFonts w:hint="eastAsia" w:eastAsia="宋体" w:cs="Times New Roman"/>
          <w:color w:val="auto"/>
          <w:lang w:val="en-US" w:eastAsia="zh-CN"/>
        </w:rPr>
      </w:pPr>
      <w:r>
        <w:rPr>
          <w:rFonts w:cs="Times New Roman"/>
          <w:color w:val="auto"/>
        </w:rPr>
        <w:t>本项目产污环节情况见下</w:t>
      </w:r>
      <w:r>
        <w:rPr>
          <w:rFonts w:hint="eastAsia" w:cs="Times New Roman"/>
          <w:color w:val="auto"/>
          <w:lang w:val="en-US" w:eastAsia="zh-CN"/>
        </w:rPr>
        <w:t>表。</w:t>
      </w:r>
    </w:p>
    <w:p w14:paraId="0AEA620C">
      <w:pPr>
        <w:pStyle w:val="51"/>
        <w:spacing w:line="540" w:lineRule="exact"/>
        <w:ind w:firstLine="492"/>
        <w:rPr>
          <w:color w:val="auto"/>
        </w:rPr>
      </w:pPr>
      <w:r>
        <w:rPr>
          <w:color w:val="auto"/>
        </w:rPr>
        <w:t xml:space="preserve">表3-7                </w:t>
      </w:r>
      <w:r>
        <w:rPr>
          <w:rFonts w:hint="eastAsia"/>
          <w:color w:val="auto"/>
        </w:rPr>
        <w:t xml:space="preserve">      </w:t>
      </w:r>
      <w:r>
        <w:rPr>
          <w:rFonts w:hint="eastAsia"/>
          <w:color w:val="auto"/>
          <w:lang w:val="en-US" w:eastAsia="zh-CN"/>
        </w:rPr>
        <w:t xml:space="preserve">                                             </w:t>
      </w:r>
      <w:r>
        <w:rPr>
          <w:rFonts w:hint="eastAsia"/>
          <w:color w:val="auto"/>
        </w:rPr>
        <w:t xml:space="preserve"> </w:t>
      </w:r>
      <w:r>
        <w:rPr>
          <w:rFonts w:hint="eastAsia"/>
          <w:color w:val="auto"/>
          <w:lang w:val="en-US" w:eastAsia="zh-CN"/>
        </w:rPr>
        <w:t>本项目</w:t>
      </w:r>
      <w:r>
        <w:rPr>
          <w:color w:val="auto"/>
        </w:rPr>
        <w:t>产污环节一览表</w:t>
      </w:r>
    </w:p>
    <w:tbl>
      <w:tblPr>
        <w:tblStyle w:val="26"/>
        <w:tblW w:w="4996"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38"/>
        <w:gridCol w:w="872"/>
        <w:gridCol w:w="426"/>
        <w:gridCol w:w="1324"/>
        <w:gridCol w:w="1905"/>
        <w:gridCol w:w="1817"/>
        <w:gridCol w:w="1988"/>
        <w:gridCol w:w="2045"/>
        <w:gridCol w:w="1624"/>
        <w:gridCol w:w="1470"/>
      </w:tblGrid>
      <w:tr w14:paraId="0FF738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260" w:type="pct"/>
            <w:vAlign w:val="center"/>
          </w:tcPr>
          <w:p w14:paraId="682A34C6">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s="Times New Roman"/>
                <w:b/>
                <w:color w:val="auto"/>
                <w:kern w:val="2"/>
                <w:sz w:val="21"/>
                <w:szCs w:val="21"/>
                <w:lang w:val="en-US" w:eastAsia="zh-CN" w:bidi="ar-SA"/>
              </w:rPr>
            </w:pPr>
            <w:bookmarkStart w:id="14" w:name="_Hlk171959777"/>
            <w:bookmarkStart w:id="15" w:name="_Hlk171963714"/>
            <w:r>
              <w:rPr>
                <w:rFonts w:ascii="Times New Roman" w:hAnsi="Times New Roman" w:eastAsia="宋体" w:cs="Times New Roman"/>
                <w:b/>
                <w:color w:val="auto"/>
                <w:kern w:val="2"/>
                <w:sz w:val="21"/>
                <w:szCs w:val="21"/>
                <w:lang w:val="en-US" w:eastAsia="zh-CN" w:bidi="ar-SA"/>
              </w:rPr>
              <w:t>项目</w:t>
            </w:r>
          </w:p>
        </w:tc>
        <w:tc>
          <w:tcPr>
            <w:tcW w:w="922" w:type="pct"/>
            <w:gridSpan w:val="3"/>
            <w:vAlign w:val="center"/>
          </w:tcPr>
          <w:p w14:paraId="7F966FFD">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s="Times New Roman"/>
                <w:b/>
                <w:color w:val="auto"/>
                <w:kern w:val="2"/>
                <w:sz w:val="21"/>
                <w:szCs w:val="21"/>
                <w:lang w:val="en-US" w:eastAsia="zh-CN" w:bidi="ar-SA"/>
              </w:rPr>
            </w:pPr>
            <w:r>
              <w:rPr>
                <w:rFonts w:ascii="Times New Roman" w:hAnsi="Times New Roman" w:eastAsia="宋体" w:cs="Times New Roman"/>
                <w:b/>
                <w:color w:val="auto"/>
                <w:kern w:val="2"/>
                <w:sz w:val="21"/>
                <w:szCs w:val="21"/>
                <w:lang w:val="en-US" w:eastAsia="zh-CN" w:bidi="ar-SA"/>
              </w:rPr>
              <w:t>产污环节</w:t>
            </w:r>
          </w:p>
        </w:tc>
        <w:tc>
          <w:tcPr>
            <w:tcW w:w="670" w:type="pct"/>
            <w:vAlign w:val="center"/>
          </w:tcPr>
          <w:p w14:paraId="040378AC">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s="Times New Roman"/>
                <w:b/>
                <w:color w:val="auto"/>
                <w:kern w:val="2"/>
                <w:sz w:val="21"/>
                <w:szCs w:val="21"/>
                <w:lang w:val="en-US" w:eastAsia="zh-CN" w:bidi="ar-SA"/>
              </w:rPr>
            </w:pPr>
            <w:r>
              <w:rPr>
                <w:rFonts w:ascii="Times New Roman" w:hAnsi="Times New Roman" w:eastAsia="宋体" w:cs="Times New Roman"/>
                <w:b/>
                <w:color w:val="auto"/>
                <w:kern w:val="2"/>
                <w:sz w:val="21"/>
                <w:szCs w:val="21"/>
                <w:lang w:val="en-US" w:eastAsia="zh-CN" w:bidi="ar-SA"/>
              </w:rPr>
              <w:t>主要污染物</w:t>
            </w:r>
          </w:p>
        </w:tc>
        <w:tc>
          <w:tcPr>
            <w:tcW w:w="1338" w:type="pct"/>
            <w:gridSpan w:val="2"/>
            <w:vAlign w:val="center"/>
          </w:tcPr>
          <w:p w14:paraId="66E934A8">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s="Times New Roman"/>
                <w:b/>
                <w:color w:val="auto"/>
                <w:kern w:val="2"/>
                <w:sz w:val="21"/>
                <w:szCs w:val="21"/>
                <w:lang w:val="en-US" w:eastAsia="zh-CN" w:bidi="ar-SA"/>
              </w:rPr>
            </w:pPr>
            <w:r>
              <w:rPr>
                <w:rFonts w:ascii="Times New Roman" w:hAnsi="Times New Roman" w:eastAsia="宋体" w:cs="Times New Roman"/>
                <w:b/>
                <w:color w:val="auto"/>
                <w:kern w:val="2"/>
                <w:sz w:val="21"/>
                <w:szCs w:val="21"/>
                <w:lang w:val="en-US" w:eastAsia="zh-CN" w:bidi="ar-SA"/>
              </w:rPr>
              <w:t>环评治理措施</w:t>
            </w:r>
          </w:p>
        </w:tc>
        <w:tc>
          <w:tcPr>
            <w:tcW w:w="1290" w:type="pct"/>
            <w:gridSpan w:val="2"/>
            <w:vAlign w:val="center"/>
          </w:tcPr>
          <w:p w14:paraId="048E64EA">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s="Times New Roman"/>
                <w:b/>
                <w:color w:val="auto"/>
                <w:kern w:val="2"/>
                <w:sz w:val="21"/>
                <w:szCs w:val="21"/>
                <w:lang w:val="en-US" w:eastAsia="zh-CN" w:bidi="ar-SA"/>
              </w:rPr>
            </w:pPr>
            <w:r>
              <w:rPr>
                <w:rFonts w:ascii="Times New Roman" w:hAnsi="Times New Roman" w:eastAsia="宋体" w:cs="Times New Roman"/>
                <w:b/>
                <w:bCs/>
                <w:color w:val="auto"/>
                <w:kern w:val="2"/>
                <w:sz w:val="21"/>
                <w:szCs w:val="21"/>
                <w:lang w:val="en-US" w:eastAsia="zh-CN" w:bidi="ar-SA"/>
              </w:rPr>
              <w:t>本期实际措施</w:t>
            </w:r>
          </w:p>
        </w:tc>
        <w:tc>
          <w:tcPr>
            <w:tcW w:w="517" w:type="pct"/>
            <w:vAlign w:val="center"/>
          </w:tcPr>
          <w:p w14:paraId="5744C115">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s="Times New Roman"/>
                <w:b/>
                <w:bCs/>
                <w:color w:val="auto"/>
                <w:kern w:val="2"/>
                <w:sz w:val="21"/>
                <w:szCs w:val="21"/>
                <w:lang w:val="en-US" w:eastAsia="zh-CN" w:bidi="ar-SA"/>
              </w:rPr>
            </w:pPr>
            <w:r>
              <w:rPr>
                <w:rFonts w:ascii="Times New Roman" w:hAnsi="Times New Roman" w:eastAsia="宋体" w:cs="Times New Roman"/>
                <w:b/>
                <w:bCs/>
                <w:color w:val="auto"/>
                <w:kern w:val="2"/>
                <w:sz w:val="21"/>
                <w:szCs w:val="21"/>
                <w:lang w:val="en-US" w:eastAsia="zh-CN" w:bidi="ar-SA"/>
              </w:rPr>
              <w:t>是否一致</w:t>
            </w:r>
          </w:p>
        </w:tc>
      </w:tr>
      <w:bookmarkEnd w:id="14"/>
      <w:tr w14:paraId="27D669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0" w:type="pct"/>
            <w:vMerge w:val="restart"/>
            <w:vAlign w:val="center"/>
          </w:tcPr>
          <w:p w14:paraId="0532968C">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废气</w:t>
            </w:r>
          </w:p>
        </w:tc>
        <w:tc>
          <w:tcPr>
            <w:tcW w:w="307" w:type="pct"/>
            <w:vMerge w:val="restart"/>
            <w:vAlign w:val="center"/>
          </w:tcPr>
          <w:p w14:paraId="5CA53C23">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挂镀锌</w:t>
            </w:r>
          </w:p>
        </w:tc>
        <w:tc>
          <w:tcPr>
            <w:tcW w:w="614" w:type="pct"/>
            <w:gridSpan w:val="2"/>
            <w:vAlign w:val="center"/>
          </w:tcPr>
          <w:p w14:paraId="053D0F91">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酸洗、活化</w:t>
            </w:r>
          </w:p>
        </w:tc>
        <w:tc>
          <w:tcPr>
            <w:tcW w:w="670" w:type="pct"/>
            <w:vAlign w:val="center"/>
          </w:tcPr>
          <w:p w14:paraId="52031361">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bCs/>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氯化氢</w:t>
            </w:r>
          </w:p>
        </w:tc>
        <w:tc>
          <w:tcPr>
            <w:tcW w:w="1338" w:type="pct"/>
            <w:gridSpan w:val="2"/>
            <w:vMerge w:val="restart"/>
            <w:vAlign w:val="center"/>
          </w:tcPr>
          <w:p w14:paraId="29CE6AEA">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两级酸雾吸收塔1#+15m排气筒DA003；新建</w:t>
            </w:r>
          </w:p>
        </w:tc>
        <w:tc>
          <w:tcPr>
            <w:tcW w:w="1290" w:type="pct"/>
            <w:gridSpan w:val="2"/>
            <w:vMerge w:val="restart"/>
            <w:vAlign w:val="center"/>
          </w:tcPr>
          <w:p w14:paraId="1431D110">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新建两级酸雾吸收塔+15m排气筒DA00</w:t>
            </w:r>
            <w:r>
              <w:rPr>
                <w:rFonts w:hint="eastAsia" w:ascii="Times New Roman" w:hAnsi="Times New Roman" w:eastAsia="宋体" w:cs="Times New Roman"/>
                <w:color w:val="auto"/>
                <w:kern w:val="2"/>
                <w:sz w:val="21"/>
                <w:szCs w:val="21"/>
                <w:lang w:val="en-US" w:eastAsia="zh-CN" w:bidi="ar-SA"/>
              </w:rPr>
              <w:t>6</w:t>
            </w:r>
          </w:p>
        </w:tc>
        <w:tc>
          <w:tcPr>
            <w:tcW w:w="517" w:type="pct"/>
            <w:vMerge w:val="restart"/>
            <w:vAlign w:val="center"/>
          </w:tcPr>
          <w:p w14:paraId="46C46060">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一致</w:t>
            </w:r>
          </w:p>
        </w:tc>
      </w:tr>
      <w:tr w14:paraId="3E6171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0" w:type="pct"/>
            <w:vMerge w:val="continue"/>
            <w:vAlign w:val="center"/>
          </w:tcPr>
          <w:p w14:paraId="3158F30C">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bookmarkStart w:id="16" w:name="_Hlk195274538"/>
          </w:p>
        </w:tc>
        <w:tc>
          <w:tcPr>
            <w:tcW w:w="307" w:type="pct"/>
            <w:vMerge w:val="continue"/>
            <w:vAlign w:val="center"/>
          </w:tcPr>
          <w:p w14:paraId="10371745">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614" w:type="pct"/>
            <w:gridSpan w:val="2"/>
            <w:vAlign w:val="center"/>
          </w:tcPr>
          <w:p w14:paraId="2DECD978">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出光</w:t>
            </w:r>
          </w:p>
        </w:tc>
        <w:tc>
          <w:tcPr>
            <w:tcW w:w="670" w:type="pct"/>
            <w:vAlign w:val="center"/>
          </w:tcPr>
          <w:p w14:paraId="4B711600">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硝酸雾（以NOx计）</w:t>
            </w:r>
          </w:p>
        </w:tc>
        <w:tc>
          <w:tcPr>
            <w:tcW w:w="1338" w:type="pct"/>
            <w:gridSpan w:val="2"/>
            <w:vMerge w:val="continue"/>
            <w:vAlign w:val="center"/>
          </w:tcPr>
          <w:p w14:paraId="797E72FF">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1290" w:type="pct"/>
            <w:gridSpan w:val="2"/>
            <w:vMerge w:val="continue"/>
            <w:vAlign w:val="center"/>
          </w:tcPr>
          <w:p w14:paraId="3A33189B">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517" w:type="pct"/>
            <w:vMerge w:val="continue"/>
            <w:vAlign w:val="center"/>
          </w:tcPr>
          <w:p w14:paraId="40B213AB">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r>
      <w:tr w14:paraId="4F81C0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0" w:type="pct"/>
            <w:vMerge w:val="continue"/>
            <w:vAlign w:val="center"/>
          </w:tcPr>
          <w:p w14:paraId="4DECE5EC">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307" w:type="pct"/>
            <w:vMerge w:val="continue"/>
            <w:vAlign w:val="center"/>
          </w:tcPr>
          <w:p w14:paraId="7D1C58AC">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614" w:type="pct"/>
            <w:gridSpan w:val="2"/>
            <w:vAlign w:val="center"/>
          </w:tcPr>
          <w:p w14:paraId="54EF8F03">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钝化</w:t>
            </w:r>
          </w:p>
        </w:tc>
        <w:tc>
          <w:tcPr>
            <w:tcW w:w="670" w:type="pct"/>
            <w:vAlign w:val="center"/>
          </w:tcPr>
          <w:p w14:paraId="0EE0CE25">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铬酸雾</w:t>
            </w:r>
          </w:p>
        </w:tc>
        <w:tc>
          <w:tcPr>
            <w:tcW w:w="1338" w:type="pct"/>
            <w:gridSpan w:val="2"/>
            <w:vMerge w:val="continue"/>
            <w:vAlign w:val="center"/>
          </w:tcPr>
          <w:p w14:paraId="12F3D0B9">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1290" w:type="pct"/>
            <w:gridSpan w:val="2"/>
            <w:vMerge w:val="continue"/>
            <w:vAlign w:val="center"/>
          </w:tcPr>
          <w:p w14:paraId="4E509822">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517" w:type="pct"/>
            <w:vMerge w:val="continue"/>
            <w:vAlign w:val="center"/>
          </w:tcPr>
          <w:p w14:paraId="4393D058">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r>
      <w:bookmarkEnd w:id="16"/>
      <w:tr w14:paraId="0A338E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0" w:type="pct"/>
            <w:vMerge w:val="continue"/>
            <w:vAlign w:val="center"/>
          </w:tcPr>
          <w:p w14:paraId="76ADF1CF">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307" w:type="pct"/>
            <w:vMerge w:val="continue"/>
            <w:vAlign w:val="center"/>
          </w:tcPr>
          <w:p w14:paraId="6AD2CE63">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614" w:type="pct"/>
            <w:gridSpan w:val="2"/>
            <w:vAlign w:val="center"/>
          </w:tcPr>
          <w:p w14:paraId="5632CFD8">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槽液调配</w:t>
            </w:r>
          </w:p>
        </w:tc>
        <w:tc>
          <w:tcPr>
            <w:tcW w:w="670" w:type="pct"/>
            <w:vAlign w:val="center"/>
          </w:tcPr>
          <w:p w14:paraId="7DB290A2">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氯化氢、硝酸雾（以NOx计）</w:t>
            </w:r>
          </w:p>
        </w:tc>
        <w:tc>
          <w:tcPr>
            <w:tcW w:w="1338" w:type="pct"/>
            <w:gridSpan w:val="2"/>
            <w:vMerge w:val="continue"/>
            <w:vAlign w:val="center"/>
          </w:tcPr>
          <w:p w14:paraId="43D988F3">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1290" w:type="pct"/>
            <w:gridSpan w:val="2"/>
            <w:vMerge w:val="continue"/>
            <w:vAlign w:val="center"/>
          </w:tcPr>
          <w:p w14:paraId="228E4908">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517" w:type="pct"/>
            <w:vMerge w:val="continue"/>
            <w:vAlign w:val="center"/>
          </w:tcPr>
          <w:p w14:paraId="2C4D5079">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r>
      <w:tr w14:paraId="58839D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0" w:type="pct"/>
            <w:vMerge w:val="continue"/>
            <w:vAlign w:val="center"/>
          </w:tcPr>
          <w:p w14:paraId="5E83FC6E">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307" w:type="pct"/>
            <w:vAlign w:val="center"/>
          </w:tcPr>
          <w:p w14:paraId="192A15A7">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退锌线</w:t>
            </w:r>
          </w:p>
        </w:tc>
        <w:tc>
          <w:tcPr>
            <w:tcW w:w="614" w:type="pct"/>
            <w:gridSpan w:val="2"/>
            <w:vAlign w:val="center"/>
          </w:tcPr>
          <w:p w14:paraId="0B3727A8">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退镀</w:t>
            </w:r>
          </w:p>
        </w:tc>
        <w:tc>
          <w:tcPr>
            <w:tcW w:w="670" w:type="pct"/>
            <w:vAlign w:val="center"/>
          </w:tcPr>
          <w:p w14:paraId="397A3BC1">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氯化氢</w:t>
            </w:r>
          </w:p>
        </w:tc>
        <w:tc>
          <w:tcPr>
            <w:tcW w:w="1338" w:type="pct"/>
            <w:gridSpan w:val="2"/>
            <w:vMerge w:val="continue"/>
            <w:vAlign w:val="center"/>
          </w:tcPr>
          <w:p w14:paraId="545D5B7B">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1290" w:type="pct"/>
            <w:gridSpan w:val="2"/>
            <w:vAlign w:val="center"/>
          </w:tcPr>
          <w:p w14:paraId="0C5D2E6D">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新建两级酸雾吸收塔+15m排气筒DA00</w:t>
            </w:r>
            <w:r>
              <w:rPr>
                <w:rFonts w:hint="eastAsia" w:cs="Times New Roman"/>
                <w:color w:val="auto"/>
                <w:kern w:val="2"/>
                <w:sz w:val="21"/>
                <w:szCs w:val="21"/>
                <w:lang w:val="en-US" w:eastAsia="zh-CN" w:bidi="ar-SA"/>
              </w:rPr>
              <w:t>7</w:t>
            </w:r>
          </w:p>
        </w:tc>
        <w:tc>
          <w:tcPr>
            <w:tcW w:w="517" w:type="pct"/>
            <w:vMerge w:val="continue"/>
            <w:vAlign w:val="center"/>
          </w:tcPr>
          <w:p w14:paraId="77511898">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r>
      <w:tr w14:paraId="2C38E0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0" w:type="pct"/>
            <w:vMerge w:val="continue"/>
            <w:vAlign w:val="center"/>
          </w:tcPr>
          <w:p w14:paraId="13B245B2">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307" w:type="pct"/>
            <w:vMerge w:val="restart"/>
            <w:vAlign w:val="center"/>
          </w:tcPr>
          <w:p w14:paraId="2FC80866">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1#钢带</w:t>
            </w:r>
          </w:p>
        </w:tc>
        <w:tc>
          <w:tcPr>
            <w:tcW w:w="614" w:type="pct"/>
            <w:gridSpan w:val="2"/>
            <w:vAlign w:val="center"/>
          </w:tcPr>
          <w:p w14:paraId="2BC09570">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活化</w:t>
            </w:r>
          </w:p>
        </w:tc>
        <w:tc>
          <w:tcPr>
            <w:tcW w:w="670" w:type="pct"/>
            <w:vAlign w:val="center"/>
          </w:tcPr>
          <w:p w14:paraId="217FF5C2">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bCs/>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硫酸雾</w:t>
            </w:r>
          </w:p>
        </w:tc>
        <w:tc>
          <w:tcPr>
            <w:tcW w:w="1338" w:type="pct"/>
            <w:gridSpan w:val="2"/>
            <w:vMerge w:val="continue"/>
            <w:vAlign w:val="center"/>
          </w:tcPr>
          <w:p w14:paraId="6C8171E0">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1290" w:type="pct"/>
            <w:gridSpan w:val="2"/>
            <w:vMerge w:val="restart"/>
            <w:shd w:val="clear" w:color="auto" w:fill="auto"/>
            <w:vAlign w:val="center"/>
          </w:tcPr>
          <w:p w14:paraId="6FE9FEA9">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新建两级酸雾吸收塔+15m排气筒DA004</w:t>
            </w:r>
          </w:p>
        </w:tc>
        <w:tc>
          <w:tcPr>
            <w:tcW w:w="517" w:type="pct"/>
            <w:vMerge w:val="restart"/>
            <w:shd w:val="clear" w:color="auto" w:fill="auto"/>
            <w:vAlign w:val="center"/>
          </w:tcPr>
          <w:p w14:paraId="7E8CFFD6">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一致</w:t>
            </w:r>
          </w:p>
        </w:tc>
      </w:tr>
      <w:tr w14:paraId="1AF568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0" w:type="pct"/>
            <w:vMerge w:val="continue"/>
            <w:vAlign w:val="center"/>
          </w:tcPr>
          <w:p w14:paraId="66353595">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307" w:type="pct"/>
            <w:vMerge w:val="continue"/>
            <w:vAlign w:val="center"/>
          </w:tcPr>
          <w:p w14:paraId="22A34C3E">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614" w:type="pct"/>
            <w:gridSpan w:val="2"/>
            <w:vAlign w:val="center"/>
          </w:tcPr>
          <w:p w14:paraId="2BF01E71">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槽液调配</w:t>
            </w:r>
          </w:p>
        </w:tc>
        <w:tc>
          <w:tcPr>
            <w:tcW w:w="670" w:type="pct"/>
            <w:vAlign w:val="center"/>
          </w:tcPr>
          <w:p w14:paraId="5A7401A6">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硫酸雾</w:t>
            </w:r>
          </w:p>
        </w:tc>
        <w:tc>
          <w:tcPr>
            <w:tcW w:w="1338" w:type="pct"/>
            <w:gridSpan w:val="2"/>
            <w:vMerge w:val="continue"/>
            <w:vAlign w:val="center"/>
          </w:tcPr>
          <w:p w14:paraId="1B57D29F">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1290" w:type="pct"/>
            <w:gridSpan w:val="2"/>
            <w:vMerge w:val="continue"/>
            <w:vAlign w:val="center"/>
          </w:tcPr>
          <w:p w14:paraId="778E4640">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517" w:type="pct"/>
            <w:vMerge w:val="continue"/>
            <w:vAlign w:val="center"/>
          </w:tcPr>
          <w:p w14:paraId="37BD118A">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r>
      <w:tr w14:paraId="2C8F8A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0" w:type="pct"/>
            <w:vMerge w:val="continue"/>
            <w:vAlign w:val="center"/>
          </w:tcPr>
          <w:p w14:paraId="5CD7937F">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307" w:type="pct"/>
            <w:vMerge w:val="restart"/>
            <w:vAlign w:val="center"/>
          </w:tcPr>
          <w:p w14:paraId="22512077">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2#钢带</w:t>
            </w:r>
          </w:p>
        </w:tc>
        <w:tc>
          <w:tcPr>
            <w:tcW w:w="614" w:type="pct"/>
            <w:gridSpan w:val="2"/>
            <w:vAlign w:val="center"/>
          </w:tcPr>
          <w:p w14:paraId="585B6C27">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活化</w:t>
            </w:r>
          </w:p>
        </w:tc>
        <w:tc>
          <w:tcPr>
            <w:tcW w:w="670" w:type="pct"/>
            <w:vAlign w:val="center"/>
          </w:tcPr>
          <w:p w14:paraId="2EC7EB87">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bCs/>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硫酸雾</w:t>
            </w:r>
          </w:p>
        </w:tc>
        <w:tc>
          <w:tcPr>
            <w:tcW w:w="1338" w:type="pct"/>
            <w:gridSpan w:val="2"/>
            <w:vMerge w:val="continue"/>
            <w:vAlign w:val="center"/>
          </w:tcPr>
          <w:p w14:paraId="47DBCCD1">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3666" w:type="dxa"/>
            <w:gridSpan w:val="2"/>
            <w:vMerge w:val="restart"/>
            <w:vAlign w:val="center"/>
          </w:tcPr>
          <w:p w14:paraId="0200A525">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两级酸雾吸收塔+15m排气筒DA003（依托现有钢帽镀镍生产线废气处理系统）</w:t>
            </w:r>
          </w:p>
        </w:tc>
        <w:tc>
          <w:tcPr>
            <w:tcW w:w="1470" w:type="dxa"/>
            <w:vMerge w:val="restart"/>
            <w:vAlign w:val="center"/>
          </w:tcPr>
          <w:p w14:paraId="45A08793">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处理措施一致，</w:t>
            </w:r>
            <w:r>
              <w:rPr>
                <w:rFonts w:hint="eastAsia" w:ascii="Times New Roman" w:hAnsi="Times New Roman" w:eastAsia="宋体" w:cs="Times New Roman"/>
                <w:color w:val="auto"/>
                <w:kern w:val="2"/>
                <w:sz w:val="21"/>
                <w:szCs w:val="21"/>
                <w:lang w:val="en-US" w:eastAsia="zh-CN" w:bidi="ar-SA"/>
              </w:rPr>
              <w:t>新建改为</w:t>
            </w:r>
            <w:r>
              <w:rPr>
                <w:rFonts w:ascii="Times New Roman" w:hAnsi="Times New Roman" w:eastAsia="宋体" w:cs="Times New Roman"/>
                <w:color w:val="auto"/>
                <w:kern w:val="2"/>
                <w:sz w:val="21"/>
                <w:szCs w:val="21"/>
                <w:lang w:val="en-US" w:eastAsia="zh-CN" w:bidi="ar-SA"/>
              </w:rPr>
              <w:t>依托现有</w:t>
            </w:r>
          </w:p>
        </w:tc>
      </w:tr>
      <w:tr w14:paraId="392F89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0" w:type="pct"/>
            <w:vMerge w:val="continue"/>
            <w:vAlign w:val="center"/>
          </w:tcPr>
          <w:p w14:paraId="264C2EA0">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307" w:type="pct"/>
            <w:vMerge w:val="continue"/>
            <w:vAlign w:val="center"/>
          </w:tcPr>
          <w:p w14:paraId="08ECFF87">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614" w:type="pct"/>
            <w:gridSpan w:val="2"/>
            <w:vAlign w:val="center"/>
          </w:tcPr>
          <w:p w14:paraId="06A5E862">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槽液调配</w:t>
            </w:r>
          </w:p>
        </w:tc>
        <w:tc>
          <w:tcPr>
            <w:tcW w:w="670" w:type="pct"/>
            <w:vAlign w:val="center"/>
          </w:tcPr>
          <w:p w14:paraId="61517D08">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硫酸雾</w:t>
            </w:r>
          </w:p>
        </w:tc>
        <w:tc>
          <w:tcPr>
            <w:tcW w:w="1338" w:type="pct"/>
            <w:gridSpan w:val="2"/>
            <w:vMerge w:val="continue"/>
            <w:vAlign w:val="center"/>
          </w:tcPr>
          <w:p w14:paraId="3CAD08D6">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1290" w:type="pct"/>
            <w:gridSpan w:val="2"/>
            <w:vMerge w:val="continue"/>
            <w:vAlign w:val="center"/>
          </w:tcPr>
          <w:p w14:paraId="77B7F295">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517" w:type="pct"/>
            <w:vMerge w:val="continue"/>
            <w:vAlign w:val="center"/>
          </w:tcPr>
          <w:p w14:paraId="7538E3EA">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r>
      <w:tr w14:paraId="5BED00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0" w:type="pct"/>
            <w:vMerge w:val="continue"/>
            <w:vAlign w:val="center"/>
          </w:tcPr>
          <w:p w14:paraId="7B783BA3">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307" w:type="pct"/>
            <w:vMerge w:val="restart"/>
            <w:shd w:val="clear" w:color="auto" w:fill="auto"/>
            <w:vAlign w:val="center"/>
          </w:tcPr>
          <w:p w14:paraId="17C4117F">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3</w:t>
            </w:r>
            <w:r>
              <w:rPr>
                <w:rFonts w:ascii="Times New Roman" w:hAnsi="Times New Roman" w:eastAsia="宋体" w:cs="Times New Roman"/>
                <w:color w:val="auto"/>
                <w:kern w:val="2"/>
                <w:sz w:val="21"/>
                <w:szCs w:val="21"/>
                <w:lang w:val="en-US" w:eastAsia="zh-CN" w:bidi="ar-SA"/>
              </w:rPr>
              <w:t>#钢带</w:t>
            </w:r>
          </w:p>
        </w:tc>
        <w:tc>
          <w:tcPr>
            <w:tcW w:w="614" w:type="pct"/>
            <w:gridSpan w:val="2"/>
            <w:shd w:val="clear" w:color="auto" w:fill="auto"/>
            <w:vAlign w:val="center"/>
          </w:tcPr>
          <w:p w14:paraId="07CDF5BF">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活化</w:t>
            </w:r>
          </w:p>
        </w:tc>
        <w:tc>
          <w:tcPr>
            <w:tcW w:w="670" w:type="pct"/>
            <w:shd w:val="clear" w:color="auto" w:fill="auto"/>
            <w:vAlign w:val="center"/>
          </w:tcPr>
          <w:p w14:paraId="4638C6B5">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bCs/>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硫酸雾</w:t>
            </w:r>
          </w:p>
        </w:tc>
        <w:tc>
          <w:tcPr>
            <w:tcW w:w="1338" w:type="pct"/>
            <w:gridSpan w:val="2"/>
            <w:vMerge w:val="continue"/>
            <w:vAlign w:val="center"/>
          </w:tcPr>
          <w:p w14:paraId="7CF2C1E3">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1290" w:type="pct"/>
            <w:gridSpan w:val="2"/>
            <w:vMerge w:val="restart"/>
            <w:shd w:val="clear" w:color="auto" w:fill="auto"/>
            <w:vAlign w:val="center"/>
          </w:tcPr>
          <w:p w14:paraId="7C216BD3">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新建</w:t>
            </w:r>
            <w:r>
              <w:rPr>
                <w:rFonts w:ascii="Times New Roman" w:hAnsi="Times New Roman" w:eastAsia="宋体" w:cs="Times New Roman"/>
                <w:color w:val="auto"/>
                <w:kern w:val="2"/>
                <w:sz w:val="21"/>
                <w:szCs w:val="21"/>
                <w:lang w:val="en-US" w:eastAsia="zh-CN" w:bidi="ar-SA"/>
              </w:rPr>
              <w:t>两级酸雾吸收塔+15m排气筒DA00</w:t>
            </w:r>
            <w:r>
              <w:rPr>
                <w:rFonts w:hint="eastAsia" w:ascii="Times New Roman" w:hAnsi="Times New Roman" w:eastAsia="宋体" w:cs="Times New Roman"/>
                <w:color w:val="auto"/>
                <w:kern w:val="2"/>
                <w:sz w:val="21"/>
                <w:szCs w:val="21"/>
                <w:lang w:val="en-US" w:eastAsia="zh-CN" w:bidi="ar-SA"/>
              </w:rPr>
              <w:t>5</w:t>
            </w:r>
          </w:p>
        </w:tc>
        <w:tc>
          <w:tcPr>
            <w:tcW w:w="517" w:type="pct"/>
            <w:vMerge w:val="restart"/>
            <w:shd w:val="clear" w:color="auto" w:fill="auto"/>
            <w:vAlign w:val="center"/>
          </w:tcPr>
          <w:p w14:paraId="0D810933">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一致</w:t>
            </w:r>
          </w:p>
        </w:tc>
      </w:tr>
      <w:tr w14:paraId="0BAFE2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0" w:type="pct"/>
            <w:vMerge w:val="continue"/>
            <w:vAlign w:val="center"/>
          </w:tcPr>
          <w:p w14:paraId="0BCFFB10">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307" w:type="pct"/>
            <w:vMerge w:val="continue"/>
            <w:vAlign w:val="center"/>
          </w:tcPr>
          <w:p w14:paraId="38C6DA5B">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614" w:type="pct"/>
            <w:gridSpan w:val="2"/>
            <w:shd w:val="clear" w:color="auto" w:fill="auto"/>
            <w:vAlign w:val="center"/>
          </w:tcPr>
          <w:p w14:paraId="682ED9C5">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槽液调配</w:t>
            </w:r>
          </w:p>
        </w:tc>
        <w:tc>
          <w:tcPr>
            <w:tcW w:w="670" w:type="pct"/>
            <w:shd w:val="clear" w:color="auto" w:fill="auto"/>
            <w:vAlign w:val="center"/>
          </w:tcPr>
          <w:p w14:paraId="3DF3B5DE">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硫酸雾</w:t>
            </w:r>
          </w:p>
        </w:tc>
        <w:tc>
          <w:tcPr>
            <w:tcW w:w="1338" w:type="pct"/>
            <w:gridSpan w:val="2"/>
            <w:vMerge w:val="continue"/>
            <w:vAlign w:val="center"/>
          </w:tcPr>
          <w:p w14:paraId="40C0A81D">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1290" w:type="pct"/>
            <w:gridSpan w:val="2"/>
            <w:vMerge w:val="continue"/>
            <w:vAlign w:val="center"/>
          </w:tcPr>
          <w:p w14:paraId="7144647D">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517" w:type="pct"/>
            <w:vMerge w:val="continue"/>
            <w:vAlign w:val="center"/>
          </w:tcPr>
          <w:p w14:paraId="235305A4">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b w:val="0"/>
                <w:bCs w:val="0"/>
                <w:color w:val="auto"/>
                <w:kern w:val="2"/>
                <w:sz w:val="21"/>
                <w:szCs w:val="21"/>
                <w:lang w:val="en-US" w:eastAsia="zh-CN" w:bidi="ar-SA"/>
              </w:rPr>
            </w:pPr>
          </w:p>
        </w:tc>
      </w:tr>
      <w:tr w14:paraId="283F95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0" w:type="pct"/>
            <w:vMerge w:val="continue"/>
            <w:vAlign w:val="center"/>
          </w:tcPr>
          <w:p w14:paraId="66D42455">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922" w:type="pct"/>
            <w:gridSpan w:val="3"/>
            <w:vAlign w:val="center"/>
          </w:tcPr>
          <w:p w14:paraId="0796A6B7">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污水处理及污泥间</w:t>
            </w:r>
          </w:p>
        </w:tc>
        <w:tc>
          <w:tcPr>
            <w:tcW w:w="670" w:type="pct"/>
            <w:vAlign w:val="center"/>
          </w:tcPr>
          <w:p w14:paraId="34FA72F1">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bCs/>
                <w:color w:val="auto"/>
                <w:kern w:val="2"/>
                <w:sz w:val="21"/>
                <w:szCs w:val="21"/>
                <w:lang w:val="en-US" w:eastAsia="zh-CN" w:bidi="ar-SA"/>
              </w:rPr>
            </w:pPr>
            <w:r>
              <w:rPr>
                <w:rFonts w:ascii="Times New Roman" w:hAnsi="Times New Roman" w:eastAsia="宋体" w:cs="Times New Roman"/>
                <w:bCs/>
                <w:color w:val="auto"/>
                <w:kern w:val="2"/>
                <w:sz w:val="21"/>
                <w:szCs w:val="21"/>
                <w:lang w:val="en-US" w:eastAsia="zh-CN" w:bidi="ar-SA"/>
              </w:rPr>
              <w:t>臭气浓度、H</w:t>
            </w:r>
            <w:r>
              <w:rPr>
                <w:rFonts w:ascii="Times New Roman" w:hAnsi="Times New Roman" w:eastAsia="宋体" w:cs="Times New Roman"/>
                <w:bCs/>
                <w:color w:val="auto"/>
                <w:kern w:val="2"/>
                <w:sz w:val="21"/>
                <w:szCs w:val="21"/>
                <w:vertAlign w:val="subscript"/>
                <w:lang w:val="en-US" w:eastAsia="zh-CN" w:bidi="ar-SA"/>
              </w:rPr>
              <w:t>2</w:t>
            </w:r>
            <w:r>
              <w:rPr>
                <w:rFonts w:ascii="Times New Roman" w:hAnsi="Times New Roman" w:eastAsia="宋体" w:cs="Times New Roman"/>
                <w:bCs/>
                <w:color w:val="auto"/>
                <w:kern w:val="2"/>
                <w:sz w:val="21"/>
                <w:szCs w:val="21"/>
                <w:lang w:val="en-US" w:eastAsia="zh-CN" w:bidi="ar-SA"/>
              </w:rPr>
              <w:t>S、NH</w:t>
            </w:r>
            <w:r>
              <w:rPr>
                <w:rFonts w:ascii="Times New Roman" w:hAnsi="Times New Roman" w:eastAsia="宋体" w:cs="Times New Roman"/>
                <w:bCs/>
                <w:color w:val="auto"/>
                <w:kern w:val="2"/>
                <w:sz w:val="21"/>
                <w:szCs w:val="21"/>
                <w:vertAlign w:val="subscript"/>
                <w:lang w:val="en-US" w:eastAsia="zh-CN" w:bidi="ar-SA"/>
              </w:rPr>
              <w:t>3</w:t>
            </w:r>
          </w:p>
        </w:tc>
        <w:tc>
          <w:tcPr>
            <w:tcW w:w="1338" w:type="pct"/>
            <w:gridSpan w:val="2"/>
            <w:vAlign w:val="center"/>
          </w:tcPr>
          <w:p w14:paraId="12CADDB7">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生物除臭塔+15m高排气筒DA005</w:t>
            </w:r>
            <w:r>
              <w:rPr>
                <w:rFonts w:hint="eastAsia" w:ascii="Times New Roman" w:hAnsi="Times New Roman" w:eastAsia="宋体" w:cs="Times New Roman"/>
                <w:color w:val="auto"/>
                <w:kern w:val="2"/>
                <w:sz w:val="21"/>
                <w:szCs w:val="21"/>
                <w:lang w:val="en-US" w:eastAsia="zh-CN" w:bidi="ar-SA"/>
              </w:rPr>
              <w:t>；</w:t>
            </w:r>
            <w:r>
              <w:rPr>
                <w:rFonts w:ascii="Times New Roman" w:hAnsi="Times New Roman" w:eastAsia="宋体" w:cs="Times New Roman"/>
                <w:color w:val="auto"/>
                <w:kern w:val="2"/>
                <w:sz w:val="21"/>
                <w:szCs w:val="21"/>
                <w:lang w:val="en-US" w:eastAsia="zh-CN" w:bidi="ar-SA"/>
              </w:rPr>
              <w:t>新建</w:t>
            </w:r>
          </w:p>
        </w:tc>
        <w:tc>
          <w:tcPr>
            <w:tcW w:w="1290" w:type="pct"/>
            <w:gridSpan w:val="2"/>
            <w:vAlign w:val="center"/>
          </w:tcPr>
          <w:p w14:paraId="7F4FDD64">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生物除臭塔+15m高排气筒DA00</w:t>
            </w:r>
            <w:r>
              <w:rPr>
                <w:rFonts w:hint="eastAsia" w:cs="Times New Roman"/>
                <w:color w:val="auto"/>
                <w:kern w:val="2"/>
                <w:sz w:val="21"/>
                <w:szCs w:val="21"/>
                <w:lang w:val="en-US" w:eastAsia="zh-CN" w:bidi="ar-SA"/>
              </w:rPr>
              <w:t>8</w:t>
            </w:r>
            <w:r>
              <w:rPr>
                <w:rFonts w:ascii="Times New Roman" w:hAnsi="Times New Roman" w:eastAsia="宋体" w:cs="Times New Roman"/>
                <w:color w:val="auto"/>
                <w:kern w:val="2"/>
                <w:sz w:val="21"/>
                <w:szCs w:val="21"/>
                <w:lang w:val="en-US" w:eastAsia="zh-CN" w:bidi="ar-SA"/>
              </w:rPr>
              <w:t>；新建</w:t>
            </w:r>
          </w:p>
        </w:tc>
        <w:tc>
          <w:tcPr>
            <w:tcW w:w="517" w:type="pct"/>
            <w:vAlign w:val="center"/>
          </w:tcPr>
          <w:p w14:paraId="30922004">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b w:val="0"/>
                <w:bCs w:val="0"/>
                <w:color w:val="auto"/>
                <w:kern w:val="2"/>
                <w:sz w:val="21"/>
                <w:szCs w:val="21"/>
                <w:lang w:val="en-US" w:eastAsia="zh-CN" w:bidi="ar-SA"/>
              </w:rPr>
            </w:pPr>
            <w:r>
              <w:rPr>
                <w:rFonts w:ascii="Times New Roman" w:hAnsi="Times New Roman" w:eastAsia="宋体" w:cs="Times New Roman"/>
                <w:b w:val="0"/>
                <w:bCs w:val="0"/>
                <w:color w:val="auto"/>
                <w:kern w:val="2"/>
                <w:sz w:val="21"/>
                <w:szCs w:val="21"/>
                <w:lang w:val="en-US" w:eastAsia="zh-CN" w:bidi="ar-SA"/>
              </w:rPr>
              <w:t>一致</w:t>
            </w:r>
          </w:p>
        </w:tc>
      </w:tr>
      <w:tr w14:paraId="4F4DC8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0" w:type="pct"/>
            <w:vMerge w:val="restart"/>
            <w:vAlign w:val="center"/>
          </w:tcPr>
          <w:p w14:paraId="3D766650">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废水</w:t>
            </w:r>
          </w:p>
        </w:tc>
        <w:tc>
          <w:tcPr>
            <w:tcW w:w="307" w:type="pct"/>
            <w:vMerge w:val="restart"/>
            <w:vAlign w:val="center"/>
          </w:tcPr>
          <w:p w14:paraId="344A31DF">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镀锌线</w:t>
            </w:r>
          </w:p>
        </w:tc>
        <w:tc>
          <w:tcPr>
            <w:tcW w:w="614" w:type="pct"/>
            <w:gridSpan w:val="2"/>
            <w:vAlign w:val="center"/>
          </w:tcPr>
          <w:p w14:paraId="018EA451">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钝化废槽液</w:t>
            </w:r>
          </w:p>
        </w:tc>
        <w:tc>
          <w:tcPr>
            <w:tcW w:w="670" w:type="pct"/>
            <w:vMerge w:val="restart"/>
            <w:vAlign w:val="center"/>
          </w:tcPr>
          <w:p w14:paraId="02274B8D">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pH、总铬</w:t>
            </w:r>
          </w:p>
        </w:tc>
        <w:tc>
          <w:tcPr>
            <w:tcW w:w="1338" w:type="pct"/>
            <w:gridSpan w:val="2"/>
            <w:vMerge w:val="restart"/>
            <w:vAlign w:val="center"/>
          </w:tcPr>
          <w:p w14:paraId="67757F2A">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送含铬废水处理设施（调节+</w:t>
            </w:r>
            <w:bookmarkStart w:id="17" w:name="OLE_LINK19"/>
            <w:r>
              <w:rPr>
                <w:rFonts w:ascii="Times New Roman" w:hAnsi="Times New Roman" w:eastAsia="宋体" w:cs="Times New Roman"/>
                <w:color w:val="auto"/>
                <w:kern w:val="2"/>
                <w:sz w:val="21"/>
                <w:szCs w:val="21"/>
                <w:lang w:val="en-US" w:eastAsia="zh-CN" w:bidi="ar-SA"/>
              </w:rPr>
              <w:t>还原+混凝沉淀+</w:t>
            </w:r>
            <w:bookmarkStart w:id="18" w:name="OLE_LINK232"/>
            <w:r>
              <w:rPr>
                <w:rFonts w:ascii="Times New Roman" w:hAnsi="Times New Roman" w:eastAsia="宋体" w:cs="Times New Roman"/>
                <w:color w:val="auto"/>
                <w:kern w:val="2"/>
                <w:sz w:val="21"/>
                <w:szCs w:val="21"/>
                <w:lang w:val="en-US" w:eastAsia="zh-CN" w:bidi="ar-SA"/>
              </w:rPr>
              <w:t>砂滤+</w:t>
            </w:r>
            <w:bookmarkEnd w:id="18"/>
            <w:r>
              <w:rPr>
                <w:rFonts w:ascii="Times New Roman" w:hAnsi="Times New Roman" w:eastAsia="宋体" w:cs="Times New Roman"/>
                <w:color w:val="auto"/>
                <w:kern w:val="2"/>
                <w:sz w:val="21"/>
                <w:szCs w:val="21"/>
                <w:lang w:val="en-US" w:eastAsia="zh-CN" w:bidi="ar-SA"/>
              </w:rPr>
              <w:t>碳滤+超滤+反渗透+蒸发</w:t>
            </w:r>
            <w:bookmarkEnd w:id="17"/>
            <w:r>
              <w:rPr>
                <w:rFonts w:ascii="Times New Roman" w:hAnsi="Times New Roman" w:eastAsia="宋体" w:cs="Times New Roman"/>
                <w:color w:val="auto"/>
                <w:kern w:val="2"/>
                <w:sz w:val="21"/>
                <w:szCs w:val="21"/>
                <w:lang w:val="en-US" w:eastAsia="zh-CN" w:bidi="ar-SA"/>
              </w:rPr>
              <w:t>）处理后回用；新建</w:t>
            </w:r>
          </w:p>
        </w:tc>
        <w:tc>
          <w:tcPr>
            <w:tcW w:w="1290" w:type="pct"/>
            <w:gridSpan w:val="2"/>
            <w:vMerge w:val="restart"/>
            <w:vAlign w:val="center"/>
          </w:tcPr>
          <w:p w14:paraId="7611334D">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b w:val="0"/>
                <w:bCs w:val="0"/>
                <w:color w:val="auto"/>
                <w:kern w:val="2"/>
                <w:sz w:val="21"/>
                <w:szCs w:val="21"/>
                <w:lang w:val="en-US" w:eastAsia="zh-CN" w:bidi="ar-SA"/>
              </w:rPr>
            </w:pPr>
            <w:r>
              <w:rPr>
                <w:rFonts w:ascii="Times New Roman" w:hAnsi="Times New Roman" w:eastAsia="宋体" w:cs="Times New Roman"/>
                <w:b w:val="0"/>
                <w:bCs w:val="0"/>
                <w:color w:val="auto"/>
                <w:kern w:val="2"/>
                <w:sz w:val="21"/>
                <w:szCs w:val="21"/>
                <w:lang w:val="en-US" w:eastAsia="zh-CN" w:bidi="ar-SA"/>
              </w:rPr>
              <w:t>送含铬废水处理设施（调节+还原+混凝沉淀+砂滤+碳滤+超滤+反渗透+蒸发）处理后回用；</w:t>
            </w:r>
            <w:r>
              <w:rPr>
                <w:rFonts w:ascii="Times New Roman" w:hAnsi="Times New Roman" w:eastAsia="宋体" w:cs="Times New Roman"/>
                <w:b w:val="0"/>
                <w:bCs w:val="0"/>
                <w:color w:val="auto"/>
                <w:kern w:val="2"/>
                <w:sz w:val="21"/>
                <w:szCs w:val="21"/>
                <w:u w:val="none"/>
                <w:lang w:val="en-US" w:eastAsia="zh-CN" w:bidi="ar-SA"/>
              </w:rPr>
              <w:t>依托现有</w:t>
            </w:r>
          </w:p>
        </w:tc>
        <w:tc>
          <w:tcPr>
            <w:tcW w:w="517" w:type="pct"/>
            <w:vMerge w:val="restart"/>
            <w:vAlign w:val="center"/>
          </w:tcPr>
          <w:p w14:paraId="286605C8">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b w:val="0"/>
                <w:bCs w:val="0"/>
                <w:color w:val="auto"/>
                <w:kern w:val="2"/>
                <w:sz w:val="21"/>
                <w:szCs w:val="21"/>
                <w:lang w:val="en-US" w:eastAsia="zh-CN" w:bidi="ar-SA"/>
              </w:rPr>
            </w:pPr>
            <w:r>
              <w:rPr>
                <w:rFonts w:ascii="Times New Roman" w:hAnsi="Times New Roman" w:eastAsia="宋体" w:cs="Times New Roman"/>
                <w:b w:val="0"/>
                <w:bCs w:val="0"/>
                <w:color w:val="auto"/>
                <w:kern w:val="2"/>
                <w:sz w:val="21"/>
                <w:szCs w:val="21"/>
                <w:lang w:val="en-US" w:eastAsia="zh-CN" w:bidi="ar-SA"/>
              </w:rPr>
              <w:t>处理措施一致，</w:t>
            </w:r>
            <w:r>
              <w:rPr>
                <w:rFonts w:hint="eastAsia" w:ascii="Times New Roman" w:hAnsi="Times New Roman" w:eastAsia="宋体" w:cs="Times New Roman"/>
                <w:b w:val="0"/>
                <w:bCs w:val="0"/>
                <w:color w:val="auto"/>
                <w:kern w:val="2"/>
                <w:sz w:val="21"/>
                <w:szCs w:val="21"/>
                <w:lang w:val="en-US" w:eastAsia="zh-CN" w:bidi="ar-SA"/>
              </w:rPr>
              <w:t>新建改为</w:t>
            </w:r>
            <w:r>
              <w:rPr>
                <w:rFonts w:ascii="Times New Roman" w:hAnsi="Times New Roman" w:eastAsia="宋体" w:cs="Times New Roman"/>
                <w:b w:val="0"/>
                <w:bCs w:val="0"/>
                <w:color w:val="auto"/>
                <w:kern w:val="2"/>
                <w:sz w:val="21"/>
                <w:szCs w:val="21"/>
                <w:lang w:val="en-US" w:eastAsia="zh-CN" w:bidi="ar-SA"/>
              </w:rPr>
              <w:t>依托现有</w:t>
            </w:r>
          </w:p>
        </w:tc>
      </w:tr>
      <w:tr w14:paraId="050BBC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0" w:type="pct"/>
            <w:vMerge w:val="continue"/>
            <w:vAlign w:val="center"/>
          </w:tcPr>
          <w:p w14:paraId="5A113258">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307" w:type="pct"/>
            <w:vMerge w:val="continue"/>
            <w:vAlign w:val="center"/>
          </w:tcPr>
          <w:p w14:paraId="1CE900B0">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614" w:type="pct"/>
            <w:gridSpan w:val="2"/>
            <w:vAlign w:val="center"/>
          </w:tcPr>
          <w:p w14:paraId="0E11B3C3">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钝化后水洗废水</w:t>
            </w:r>
          </w:p>
        </w:tc>
        <w:tc>
          <w:tcPr>
            <w:tcW w:w="670" w:type="pct"/>
            <w:vMerge w:val="continue"/>
            <w:vAlign w:val="center"/>
          </w:tcPr>
          <w:p w14:paraId="2F4A42AC">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1338" w:type="pct"/>
            <w:gridSpan w:val="2"/>
            <w:vMerge w:val="continue"/>
            <w:vAlign w:val="center"/>
          </w:tcPr>
          <w:p w14:paraId="01CF776E">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1290" w:type="pct"/>
            <w:gridSpan w:val="2"/>
            <w:vMerge w:val="continue"/>
            <w:vAlign w:val="center"/>
          </w:tcPr>
          <w:p w14:paraId="0BC22CD1">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b w:val="0"/>
                <w:bCs w:val="0"/>
                <w:color w:val="auto"/>
                <w:kern w:val="2"/>
                <w:sz w:val="21"/>
                <w:szCs w:val="21"/>
                <w:lang w:val="en-US" w:eastAsia="zh-CN" w:bidi="ar-SA"/>
              </w:rPr>
            </w:pPr>
          </w:p>
        </w:tc>
        <w:tc>
          <w:tcPr>
            <w:tcW w:w="517" w:type="pct"/>
            <w:vMerge w:val="continue"/>
            <w:vAlign w:val="center"/>
          </w:tcPr>
          <w:p w14:paraId="7EA76722">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b w:val="0"/>
                <w:bCs w:val="0"/>
                <w:color w:val="auto"/>
                <w:kern w:val="2"/>
                <w:sz w:val="21"/>
                <w:szCs w:val="21"/>
                <w:lang w:val="en-US" w:eastAsia="zh-CN" w:bidi="ar-SA"/>
              </w:rPr>
            </w:pPr>
          </w:p>
        </w:tc>
      </w:tr>
      <w:tr w14:paraId="7334A8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0" w:type="pct"/>
            <w:vMerge w:val="continue"/>
            <w:vAlign w:val="center"/>
          </w:tcPr>
          <w:p w14:paraId="775E87A1">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307" w:type="pct"/>
            <w:vMerge w:val="restart"/>
            <w:shd w:val="clear" w:color="auto" w:fill="auto"/>
            <w:vAlign w:val="center"/>
          </w:tcPr>
          <w:p w14:paraId="6A216E3A">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退锌线</w:t>
            </w:r>
          </w:p>
        </w:tc>
        <w:tc>
          <w:tcPr>
            <w:tcW w:w="614" w:type="pct"/>
            <w:gridSpan w:val="2"/>
            <w:shd w:val="clear" w:color="auto" w:fill="auto"/>
            <w:vAlign w:val="center"/>
          </w:tcPr>
          <w:p w14:paraId="081F625F">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退镀后水洗废水</w:t>
            </w:r>
          </w:p>
        </w:tc>
        <w:tc>
          <w:tcPr>
            <w:tcW w:w="670" w:type="pct"/>
            <w:shd w:val="clear" w:color="auto" w:fill="auto"/>
            <w:vAlign w:val="center"/>
          </w:tcPr>
          <w:p w14:paraId="7CC96AF6">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pH、总铬、总锌</w:t>
            </w:r>
          </w:p>
        </w:tc>
        <w:tc>
          <w:tcPr>
            <w:tcW w:w="1338" w:type="pct"/>
            <w:gridSpan w:val="2"/>
            <w:vMerge w:val="continue"/>
            <w:vAlign w:val="center"/>
          </w:tcPr>
          <w:p w14:paraId="3CA248E4">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1290" w:type="pct"/>
            <w:gridSpan w:val="2"/>
            <w:vMerge w:val="continue"/>
            <w:vAlign w:val="center"/>
          </w:tcPr>
          <w:p w14:paraId="2AA0539F">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b w:val="0"/>
                <w:bCs w:val="0"/>
                <w:color w:val="auto"/>
                <w:kern w:val="2"/>
                <w:sz w:val="21"/>
                <w:szCs w:val="21"/>
                <w:lang w:val="en-US" w:eastAsia="zh-CN" w:bidi="ar-SA"/>
              </w:rPr>
            </w:pPr>
          </w:p>
        </w:tc>
        <w:tc>
          <w:tcPr>
            <w:tcW w:w="517" w:type="pct"/>
            <w:vMerge w:val="continue"/>
            <w:vAlign w:val="center"/>
          </w:tcPr>
          <w:p w14:paraId="0736B51C">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b w:val="0"/>
                <w:bCs w:val="0"/>
                <w:color w:val="auto"/>
                <w:kern w:val="2"/>
                <w:sz w:val="21"/>
                <w:szCs w:val="21"/>
                <w:lang w:val="en-US" w:eastAsia="zh-CN" w:bidi="ar-SA"/>
              </w:rPr>
            </w:pPr>
          </w:p>
        </w:tc>
      </w:tr>
      <w:tr w14:paraId="541294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0" w:type="pct"/>
            <w:vMerge w:val="continue"/>
            <w:vAlign w:val="center"/>
          </w:tcPr>
          <w:p w14:paraId="54F42EEF">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307" w:type="pct"/>
            <w:vMerge w:val="continue"/>
            <w:vAlign w:val="center"/>
          </w:tcPr>
          <w:p w14:paraId="308508C4">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614" w:type="pct"/>
            <w:gridSpan w:val="2"/>
            <w:vAlign w:val="center"/>
          </w:tcPr>
          <w:p w14:paraId="150D204B">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脱脂废水、水洗废水</w:t>
            </w:r>
          </w:p>
        </w:tc>
        <w:tc>
          <w:tcPr>
            <w:tcW w:w="670" w:type="pct"/>
            <w:vAlign w:val="center"/>
          </w:tcPr>
          <w:p w14:paraId="4F6E66C2">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pH、总铬、总锌</w:t>
            </w:r>
          </w:p>
        </w:tc>
        <w:tc>
          <w:tcPr>
            <w:tcW w:w="1338" w:type="pct"/>
            <w:gridSpan w:val="2"/>
            <w:vMerge w:val="continue"/>
            <w:vAlign w:val="center"/>
          </w:tcPr>
          <w:p w14:paraId="0A4BA851">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1290" w:type="pct"/>
            <w:gridSpan w:val="2"/>
            <w:vMerge w:val="continue"/>
            <w:vAlign w:val="center"/>
          </w:tcPr>
          <w:p w14:paraId="626047FF">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b w:val="0"/>
                <w:bCs w:val="0"/>
                <w:color w:val="auto"/>
                <w:kern w:val="2"/>
                <w:sz w:val="21"/>
                <w:szCs w:val="21"/>
                <w:lang w:val="en-US" w:eastAsia="zh-CN" w:bidi="ar-SA"/>
              </w:rPr>
            </w:pPr>
          </w:p>
        </w:tc>
        <w:tc>
          <w:tcPr>
            <w:tcW w:w="517" w:type="pct"/>
            <w:vMerge w:val="continue"/>
            <w:vAlign w:val="center"/>
          </w:tcPr>
          <w:p w14:paraId="07F9952E">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b w:val="0"/>
                <w:bCs w:val="0"/>
                <w:color w:val="auto"/>
                <w:kern w:val="2"/>
                <w:sz w:val="21"/>
                <w:szCs w:val="21"/>
                <w:lang w:val="en-US" w:eastAsia="zh-CN" w:bidi="ar-SA"/>
              </w:rPr>
            </w:pPr>
          </w:p>
        </w:tc>
      </w:tr>
      <w:tr w14:paraId="539142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0" w:type="pct"/>
            <w:vMerge w:val="continue"/>
            <w:vAlign w:val="center"/>
          </w:tcPr>
          <w:p w14:paraId="78E484EE">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922" w:type="pct"/>
            <w:gridSpan w:val="3"/>
            <w:vAlign w:val="center"/>
          </w:tcPr>
          <w:p w14:paraId="6FFA96EE">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酸雾吸收塔</w:t>
            </w:r>
          </w:p>
        </w:tc>
        <w:tc>
          <w:tcPr>
            <w:tcW w:w="670" w:type="pct"/>
            <w:vAlign w:val="center"/>
          </w:tcPr>
          <w:p w14:paraId="4DD23B42">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pH、总铬</w:t>
            </w:r>
          </w:p>
        </w:tc>
        <w:tc>
          <w:tcPr>
            <w:tcW w:w="1338" w:type="pct"/>
            <w:gridSpan w:val="2"/>
            <w:vMerge w:val="continue"/>
            <w:vAlign w:val="center"/>
          </w:tcPr>
          <w:p w14:paraId="6AD939DF">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1290" w:type="pct"/>
            <w:gridSpan w:val="2"/>
            <w:vMerge w:val="continue"/>
            <w:vAlign w:val="center"/>
          </w:tcPr>
          <w:p w14:paraId="1E000C79">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b w:val="0"/>
                <w:bCs w:val="0"/>
                <w:color w:val="auto"/>
                <w:kern w:val="2"/>
                <w:sz w:val="21"/>
                <w:szCs w:val="21"/>
                <w:lang w:val="en-US" w:eastAsia="zh-CN" w:bidi="ar-SA"/>
              </w:rPr>
            </w:pPr>
          </w:p>
        </w:tc>
        <w:tc>
          <w:tcPr>
            <w:tcW w:w="517" w:type="pct"/>
            <w:vMerge w:val="continue"/>
            <w:vAlign w:val="center"/>
          </w:tcPr>
          <w:p w14:paraId="729D8F03">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b w:val="0"/>
                <w:bCs w:val="0"/>
                <w:color w:val="auto"/>
                <w:kern w:val="2"/>
                <w:sz w:val="21"/>
                <w:szCs w:val="21"/>
                <w:lang w:val="en-US" w:eastAsia="zh-CN" w:bidi="ar-SA"/>
              </w:rPr>
            </w:pPr>
          </w:p>
        </w:tc>
      </w:tr>
      <w:tr w14:paraId="43776F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0" w:type="pct"/>
            <w:vMerge w:val="continue"/>
            <w:vAlign w:val="center"/>
          </w:tcPr>
          <w:p w14:paraId="5533DC5B">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307" w:type="pct"/>
            <w:vAlign w:val="center"/>
          </w:tcPr>
          <w:p w14:paraId="32B1540B">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bCs/>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钢带</w:t>
            </w:r>
          </w:p>
        </w:tc>
        <w:tc>
          <w:tcPr>
            <w:tcW w:w="614" w:type="pct"/>
            <w:gridSpan w:val="2"/>
            <w:vAlign w:val="center"/>
          </w:tcPr>
          <w:p w14:paraId="18549820">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bCs/>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镀镍后水洗废水</w:t>
            </w:r>
          </w:p>
        </w:tc>
        <w:tc>
          <w:tcPr>
            <w:tcW w:w="670" w:type="pct"/>
            <w:vAlign w:val="center"/>
          </w:tcPr>
          <w:p w14:paraId="5381CF86">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pH、COD总镍、</w:t>
            </w:r>
          </w:p>
        </w:tc>
        <w:tc>
          <w:tcPr>
            <w:tcW w:w="1338" w:type="pct"/>
            <w:gridSpan w:val="2"/>
            <w:vAlign w:val="center"/>
          </w:tcPr>
          <w:p w14:paraId="6A10ABAB">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送含镍废水处理设施</w:t>
            </w:r>
            <w:r>
              <w:rPr>
                <w:rFonts w:ascii="Times New Roman" w:hAnsi="Times New Roman" w:eastAsia="宋体" w:cs="Times New Roman"/>
                <w:bCs/>
                <w:color w:val="auto"/>
                <w:kern w:val="2"/>
                <w:sz w:val="21"/>
                <w:szCs w:val="21"/>
                <w:lang w:val="en-US" w:eastAsia="zh-CN" w:bidi="ar-SA"/>
              </w:rPr>
              <w:t>（</w:t>
            </w:r>
            <w:bookmarkStart w:id="19" w:name="OLE_LINK421"/>
            <w:r>
              <w:rPr>
                <w:rFonts w:ascii="Times New Roman" w:hAnsi="Times New Roman" w:eastAsia="宋体" w:cs="Times New Roman"/>
                <w:bCs/>
                <w:color w:val="auto"/>
                <w:kern w:val="2"/>
                <w:sz w:val="21"/>
                <w:szCs w:val="21"/>
                <w:lang w:val="en-US" w:eastAsia="zh-CN" w:bidi="ar-SA"/>
              </w:rPr>
              <w:t>调节+混凝沉淀+</w:t>
            </w:r>
            <w:r>
              <w:rPr>
                <w:rFonts w:ascii="Times New Roman" w:hAnsi="Times New Roman" w:eastAsia="宋体" w:cs="Times New Roman"/>
                <w:color w:val="auto"/>
                <w:kern w:val="2"/>
                <w:sz w:val="21"/>
                <w:szCs w:val="21"/>
                <w:lang w:val="en-US" w:eastAsia="zh-CN" w:bidi="ar-SA"/>
              </w:rPr>
              <w:t>砂滤+碳滤</w:t>
            </w:r>
            <w:r>
              <w:rPr>
                <w:rFonts w:ascii="Times New Roman" w:hAnsi="Times New Roman" w:eastAsia="宋体" w:cs="Times New Roman"/>
                <w:bCs/>
                <w:color w:val="auto"/>
                <w:kern w:val="2"/>
                <w:sz w:val="21"/>
                <w:szCs w:val="21"/>
                <w:lang w:val="en-US" w:eastAsia="zh-CN" w:bidi="ar-SA"/>
              </w:rPr>
              <w:t>+超滤+反渗透+蒸发</w:t>
            </w:r>
            <w:bookmarkEnd w:id="19"/>
            <w:r>
              <w:rPr>
                <w:rFonts w:ascii="Times New Roman" w:hAnsi="Times New Roman" w:eastAsia="宋体" w:cs="Times New Roman"/>
                <w:bCs/>
                <w:color w:val="auto"/>
                <w:kern w:val="2"/>
                <w:sz w:val="21"/>
                <w:szCs w:val="21"/>
                <w:lang w:val="en-US" w:eastAsia="zh-CN" w:bidi="ar-SA"/>
              </w:rPr>
              <w:t>）</w:t>
            </w:r>
            <w:r>
              <w:rPr>
                <w:rFonts w:ascii="Times New Roman" w:hAnsi="Times New Roman" w:eastAsia="宋体" w:cs="Times New Roman"/>
                <w:color w:val="auto"/>
                <w:kern w:val="2"/>
                <w:sz w:val="21"/>
                <w:szCs w:val="21"/>
                <w:lang w:val="en-US" w:eastAsia="zh-CN" w:bidi="ar-SA"/>
              </w:rPr>
              <w:t>处理后回用；新建</w:t>
            </w:r>
          </w:p>
        </w:tc>
        <w:tc>
          <w:tcPr>
            <w:tcW w:w="1290" w:type="pct"/>
            <w:gridSpan w:val="2"/>
            <w:vAlign w:val="center"/>
          </w:tcPr>
          <w:p w14:paraId="61ADDC94">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b w:val="0"/>
                <w:bCs w:val="0"/>
                <w:color w:val="auto"/>
                <w:kern w:val="2"/>
                <w:sz w:val="21"/>
                <w:szCs w:val="21"/>
                <w:lang w:val="en-US" w:eastAsia="zh-CN" w:bidi="ar-SA"/>
              </w:rPr>
            </w:pPr>
            <w:r>
              <w:rPr>
                <w:rFonts w:ascii="Times New Roman" w:hAnsi="Times New Roman" w:eastAsia="宋体" w:cs="Times New Roman"/>
                <w:b w:val="0"/>
                <w:bCs w:val="0"/>
                <w:color w:val="auto"/>
                <w:kern w:val="2"/>
                <w:sz w:val="21"/>
                <w:szCs w:val="21"/>
                <w:lang w:val="en-US" w:eastAsia="zh-CN" w:bidi="ar-SA"/>
              </w:rPr>
              <w:t>送含镍废水处理设施（调节+混凝沉淀+砂滤+碳滤+超滤+反渗透+蒸发）处理后回用；</w:t>
            </w:r>
            <w:r>
              <w:rPr>
                <w:rFonts w:ascii="Times New Roman" w:hAnsi="Times New Roman" w:eastAsia="宋体" w:cs="Times New Roman"/>
                <w:b w:val="0"/>
                <w:bCs w:val="0"/>
                <w:color w:val="auto"/>
                <w:kern w:val="2"/>
                <w:sz w:val="21"/>
                <w:szCs w:val="21"/>
                <w:u w:val="none"/>
                <w:lang w:val="en-US" w:eastAsia="zh-CN" w:bidi="ar-SA"/>
              </w:rPr>
              <w:t>依托现有</w:t>
            </w:r>
          </w:p>
        </w:tc>
        <w:tc>
          <w:tcPr>
            <w:tcW w:w="517" w:type="pct"/>
            <w:vAlign w:val="center"/>
          </w:tcPr>
          <w:p w14:paraId="787CDAE8">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b w:val="0"/>
                <w:bCs w:val="0"/>
                <w:color w:val="auto"/>
                <w:kern w:val="2"/>
                <w:sz w:val="21"/>
                <w:szCs w:val="21"/>
                <w:lang w:val="en-US" w:eastAsia="zh-CN" w:bidi="ar-SA"/>
              </w:rPr>
            </w:pPr>
            <w:r>
              <w:rPr>
                <w:rFonts w:ascii="Times New Roman" w:hAnsi="Times New Roman" w:eastAsia="宋体" w:cs="Times New Roman"/>
                <w:b w:val="0"/>
                <w:bCs w:val="0"/>
                <w:color w:val="auto"/>
                <w:kern w:val="2"/>
                <w:sz w:val="21"/>
                <w:szCs w:val="21"/>
                <w:lang w:val="en-US" w:eastAsia="zh-CN" w:bidi="ar-SA"/>
              </w:rPr>
              <w:t>处理措施一致，</w:t>
            </w:r>
            <w:r>
              <w:rPr>
                <w:rFonts w:hint="eastAsia" w:ascii="Times New Roman" w:hAnsi="Times New Roman" w:eastAsia="宋体" w:cs="Times New Roman"/>
                <w:b w:val="0"/>
                <w:bCs w:val="0"/>
                <w:color w:val="auto"/>
                <w:kern w:val="2"/>
                <w:sz w:val="21"/>
                <w:szCs w:val="21"/>
                <w:lang w:val="en-US" w:eastAsia="zh-CN" w:bidi="ar-SA"/>
              </w:rPr>
              <w:t>新建改为</w:t>
            </w:r>
            <w:r>
              <w:rPr>
                <w:rFonts w:ascii="Times New Roman" w:hAnsi="Times New Roman" w:eastAsia="宋体" w:cs="Times New Roman"/>
                <w:b w:val="0"/>
                <w:bCs w:val="0"/>
                <w:color w:val="auto"/>
                <w:kern w:val="2"/>
                <w:sz w:val="21"/>
                <w:szCs w:val="21"/>
                <w:lang w:val="en-US" w:eastAsia="zh-CN" w:bidi="ar-SA"/>
              </w:rPr>
              <w:t>依托现有</w:t>
            </w:r>
          </w:p>
        </w:tc>
      </w:tr>
      <w:tr w14:paraId="1E012B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0" w:type="pct"/>
            <w:vMerge w:val="continue"/>
            <w:vAlign w:val="center"/>
          </w:tcPr>
          <w:p w14:paraId="64A74258">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922" w:type="pct"/>
            <w:gridSpan w:val="3"/>
            <w:vAlign w:val="center"/>
          </w:tcPr>
          <w:p w14:paraId="7FC72E41">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车间地面清洗水</w:t>
            </w:r>
          </w:p>
        </w:tc>
        <w:tc>
          <w:tcPr>
            <w:tcW w:w="670" w:type="pct"/>
            <w:vAlign w:val="center"/>
          </w:tcPr>
          <w:p w14:paraId="0B3D6F19">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pH、总铬、六价铬、总锌、总镍</w:t>
            </w:r>
          </w:p>
        </w:tc>
        <w:tc>
          <w:tcPr>
            <w:tcW w:w="1338" w:type="pct"/>
            <w:gridSpan w:val="2"/>
            <w:vAlign w:val="center"/>
          </w:tcPr>
          <w:p w14:paraId="5CDD7559">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送</w:t>
            </w:r>
            <w:bookmarkStart w:id="20" w:name="OLE_LINK120"/>
            <w:r>
              <w:rPr>
                <w:rFonts w:ascii="Times New Roman" w:hAnsi="Times New Roman" w:eastAsia="宋体" w:cs="Times New Roman"/>
                <w:color w:val="auto"/>
                <w:kern w:val="2"/>
                <w:sz w:val="21"/>
                <w:szCs w:val="21"/>
                <w:lang w:val="en-US" w:eastAsia="zh-CN" w:bidi="ar-SA"/>
              </w:rPr>
              <w:t>新建的一套含高COD废水处理系统</w:t>
            </w:r>
            <w:bookmarkEnd w:id="20"/>
            <w:r>
              <w:rPr>
                <w:rFonts w:ascii="Times New Roman" w:hAnsi="Times New Roman" w:eastAsia="宋体" w:cs="Times New Roman"/>
                <w:color w:val="auto"/>
                <w:kern w:val="2"/>
                <w:sz w:val="21"/>
                <w:szCs w:val="21"/>
                <w:lang w:val="en-US" w:eastAsia="zh-CN" w:bidi="ar-SA"/>
              </w:rPr>
              <w:t>（调节+芬顿高级氧化+混凝沉淀+砂滤+碳滤+超滤+反渗透</w:t>
            </w:r>
            <w:r>
              <w:rPr>
                <w:rFonts w:ascii="Times New Roman" w:hAnsi="Times New Roman" w:eastAsia="宋体" w:cs="Times New Roman"/>
                <w:bCs/>
                <w:color w:val="auto"/>
                <w:kern w:val="2"/>
                <w:sz w:val="21"/>
                <w:szCs w:val="21"/>
                <w:lang w:val="en-US" w:eastAsia="zh-CN" w:bidi="ar-SA"/>
              </w:rPr>
              <w:t>+蒸发</w:t>
            </w:r>
            <w:r>
              <w:rPr>
                <w:rFonts w:ascii="Times New Roman" w:hAnsi="Times New Roman" w:eastAsia="宋体" w:cs="Times New Roman"/>
                <w:color w:val="auto"/>
                <w:kern w:val="2"/>
                <w:sz w:val="21"/>
                <w:szCs w:val="21"/>
                <w:lang w:val="en-US" w:eastAsia="zh-CN" w:bidi="ar-SA"/>
              </w:rPr>
              <w:t>）处理后回用</w:t>
            </w:r>
          </w:p>
        </w:tc>
        <w:tc>
          <w:tcPr>
            <w:tcW w:w="1290" w:type="pct"/>
            <w:gridSpan w:val="2"/>
            <w:vAlign w:val="center"/>
          </w:tcPr>
          <w:p w14:paraId="79FE3F25">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送新建的一套含高COD废水处理系统（调节+芬顿高级氧化+混凝沉淀+砂滤+碳滤+超滤+反渗透</w:t>
            </w:r>
            <w:r>
              <w:rPr>
                <w:rFonts w:ascii="Times New Roman" w:hAnsi="Times New Roman" w:eastAsia="宋体" w:cs="Times New Roman"/>
                <w:bCs/>
                <w:color w:val="auto"/>
                <w:kern w:val="2"/>
                <w:sz w:val="21"/>
                <w:szCs w:val="21"/>
                <w:lang w:val="en-US" w:eastAsia="zh-CN" w:bidi="ar-SA"/>
              </w:rPr>
              <w:t>+蒸发</w:t>
            </w:r>
            <w:r>
              <w:rPr>
                <w:rFonts w:ascii="Times New Roman" w:hAnsi="Times New Roman" w:eastAsia="宋体" w:cs="Times New Roman"/>
                <w:color w:val="auto"/>
                <w:kern w:val="2"/>
                <w:sz w:val="21"/>
                <w:szCs w:val="21"/>
                <w:lang w:val="en-US" w:eastAsia="zh-CN" w:bidi="ar-SA"/>
              </w:rPr>
              <w:t>）处理后回用</w:t>
            </w:r>
          </w:p>
        </w:tc>
        <w:tc>
          <w:tcPr>
            <w:tcW w:w="517" w:type="pct"/>
            <w:vAlign w:val="center"/>
          </w:tcPr>
          <w:p w14:paraId="4C9C03E2">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一致</w:t>
            </w:r>
          </w:p>
        </w:tc>
      </w:tr>
      <w:tr w14:paraId="4E06F2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0" w:type="pct"/>
            <w:vMerge w:val="continue"/>
            <w:vAlign w:val="center"/>
          </w:tcPr>
          <w:p w14:paraId="599D0409">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307" w:type="pct"/>
            <w:vMerge w:val="restart"/>
            <w:vAlign w:val="center"/>
          </w:tcPr>
          <w:p w14:paraId="18FF61CD">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镀锌线</w:t>
            </w:r>
          </w:p>
        </w:tc>
        <w:tc>
          <w:tcPr>
            <w:tcW w:w="614" w:type="pct"/>
            <w:gridSpan w:val="2"/>
            <w:vAlign w:val="center"/>
          </w:tcPr>
          <w:p w14:paraId="2A6E0F78">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镀锌后水洗废水</w:t>
            </w:r>
          </w:p>
        </w:tc>
        <w:tc>
          <w:tcPr>
            <w:tcW w:w="670" w:type="pct"/>
            <w:vMerge w:val="restart"/>
            <w:vAlign w:val="center"/>
          </w:tcPr>
          <w:p w14:paraId="0F7741E7">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COD、</w:t>
            </w:r>
            <w:r>
              <w:rPr>
                <w:rFonts w:ascii="Times New Roman" w:hAnsi="Times New Roman" w:eastAsia="宋体" w:cs="Times New Roman"/>
                <w:color w:val="auto"/>
                <w:spacing w:val="-8"/>
                <w:kern w:val="2"/>
                <w:sz w:val="21"/>
                <w:szCs w:val="21"/>
                <w:lang w:val="en-US" w:eastAsia="zh-CN" w:bidi="ar-SA"/>
              </w:rPr>
              <w:t>总锌</w:t>
            </w:r>
          </w:p>
        </w:tc>
        <w:tc>
          <w:tcPr>
            <w:tcW w:w="1338" w:type="pct"/>
            <w:gridSpan w:val="2"/>
            <w:vMerge w:val="restart"/>
            <w:vAlign w:val="center"/>
          </w:tcPr>
          <w:p w14:paraId="34CFE1C4">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送新建的一套含锌废水处理系统（</w:t>
            </w:r>
            <w:bookmarkStart w:id="21" w:name="OLE_LINK423"/>
            <w:r>
              <w:rPr>
                <w:rFonts w:ascii="Times New Roman" w:hAnsi="Times New Roman" w:eastAsia="宋体" w:cs="Times New Roman"/>
                <w:bCs/>
                <w:color w:val="auto"/>
                <w:kern w:val="2"/>
                <w:sz w:val="21"/>
                <w:szCs w:val="21"/>
                <w:lang w:val="en-US" w:eastAsia="zh-CN" w:bidi="ar-SA"/>
              </w:rPr>
              <w:t>调节+混凝沉淀+</w:t>
            </w:r>
            <w:r>
              <w:rPr>
                <w:rFonts w:ascii="Times New Roman" w:hAnsi="Times New Roman" w:eastAsia="宋体" w:cs="Times New Roman"/>
                <w:color w:val="auto"/>
                <w:kern w:val="2"/>
                <w:sz w:val="21"/>
                <w:szCs w:val="21"/>
                <w:lang w:val="en-US" w:eastAsia="zh-CN" w:bidi="ar-SA"/>
              </w:rPr>
              <w:t>砂滤+碳滤</w:t>
            </w:r>
            <w:r>
              <w:rPr>
                <w:rFonts w:ascii="Times New Roman" w:hAnsi="Times New Roman" w:eastAsia="宋体" w:cs="Times New Roman"/>
                <w:bCs/>
                <w:color w:val="auto"/>
                <w:kern w:val="2"/>
                <w:sz w:val="21"/>
                <w:szCs w:val="21"/>
                <w:lang w:val="en-US" w:eastAsia="zh-CN" w:bidi="ar-SA"/>
              </w:rPr>
              <w:t>+超滤+反渗透+蒸发</w:t>
            </w:r>
            <w:bookmarkEnd w:id="21"/>
            <w:r>
              <w:rPr>
                <w:rFonts w:ascii="Times New Roman" w:hAnsi="Times New Roman" w:eastAsia="宋体" w:cs="Times New Roman"/>
                <w:color w:val="auto"/>
                <w:kern w:val="2"/>
                <w:sz w:val="21"/>
                <w:szCs w:val="21"/>
                <w:lang w:val="en-US" w:eastAsia="zh-CN" w:bidi="ar-SA"/>
              </w:rPr>
              <w:t>）处理后回用</w:t>
            </w:r>
          </w:p>
        </w:tc>
        <w:tc>
          <w:tcPr>
            <w:tcW w:w="1290" w:type="pct"/>
            <w:gridSpan w:val="2"/>
            <w:vMerge w:val="restart"/>
            <w:vAlign w:val="center"/>
          </w:tcPr>
          <w:p w14:paraId="667643E6">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送新建的一套含锌废水处理系统（</w:t>
            </w:r>
            <w:r>
              <w:rPr>
                <w:rFonts w:ascii="Times New Roman" w:hAnsi="Times New Roman" w:eastAsia="宋体" w:cs="Times New Roman"/>
                <w:bCs/>
                <w:color w:val="auto"/>
                <w:kern w:val="2"/>
                <w:sz w:val="21"/>
                <w:szCs w:val="21"/>
                <w:lang w:val="en-US" w:eastAsia="zh-CN" w:bidi="ar-SA"/>
              </w:rPr>
              <w:t>调节+混凝沉淀+</w:t>
            </w:r>
            <w:r>
              <w:rPr>
                <w:rFonts w:ascii="Times New Roman" w:hAnsi="Times New Roman" w:eastAsia="宋体" w:cs="Times New Roman"/>
                <w:color w:val="auto"/>
                <w:kern w:val="2"/>
                <w:sz w:val="21"/>
                <w:szCs w:val="21"/>
                <w:lang w:val="en-US" w:eastAsia="zh-CN" w:bidi="ar-SA"/>
              </w:rPr>
              <w:t>砂滤+碳滤</w:t>
            </w:r>
            <w:r>
              <w:rPr>
                <w:rFonts w:ascii="Times New Roman" w:hAnsi="Times New Roman" w:eastAsia="宋体" w:cs="Times New Roman"/>
                <w:bCs/>
                <w:color w:val="auto"/>
                <w:kern w:val="2"/>
                <w:sz w:val="21"/>
                <w:szCs w:val="21"/>
                <w:lang w:val="en-US" w:eastAsia="zh-CN" w:bidi="ar-SA"/>
              </w:rPr>
              <w:t>+超滤+反渗透+蒸发</w:t>
            </w:r>
            <w:r>
              <w:rPr>
                <w:rFonts w:ascii="Times New Roman" w:hAnsi="Times New Roman" w:eastAsia="宋体" w:cs="Times New Roman"/>
                <w:color w:val="auto"/>
                <w:kern w:val="2"/>
                <w:sz w:val="21"/>
                <w:szCs w:val="21"/>
                <w:lang w:val="en-US" w:eastAsia="zh-CN" w:bidi="ar-SA"/>
              </w:rPr>
              <w:t>）处理后回用</w:t>
            </w:r>
          </w:p>
        </w:tc>
        <w:tc>
          <w:tcPr>
            <w:tcW w:w="517" w:type="pct"/>
            <w:vMerge w:val="restart"/>
            <w:vAlign w:val="center"/>
          </w:tcPr>
          <w:p w14:paraId="62CB2E72">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一致</w:t>
            </w:r>
          </w:p>
        </w:tc>
      </w:tr>
      <w:tr w14:paraId="35A3CD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0" w:type="pct"/>
            <w:vMerge w:val="continue"/>
            <w:vAlign w:val="center"/>
          </w:tcPr>
          <w:p w14:paraId="1FE11A92">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307" w:type="pct"/>
            <w:vMerge w:val="continue"/>
            <w:vAlign w:val="center"/>
          </w:tcPr>
          <w:p w14:paraId="3BF23F33">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614" w:type="pct"/>
            <w:gridSpan w:val="2"/>
            <w:vAlign w:val="center"/>
          </w:tcPr>
          <w:p w14:paraId="2002C177">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出光槽废槽液</w:t>
            </w:r>
          </w:p>
        </w:tc>
        <w:tc>
          <w:tcPr>
            <w:tcW w:w="670" w:type="pct"/>
            <w:vMerge w:val="continue"/>
            <w:vAlign w:val="center"/>
          </w:tcPr>
          <w:p w14:paraId="3FB1C688">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1338" w:type="pct"/>
            <w:gridSpan w:val="2"/>
            <w:vMerge w:val="continue"/>
            <w:vAlign w:val="center"/>
          </w:tcPr>
          <w:p w14:paraId="70B0FB3D">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1290" w:type="pct"/>
            <w:gridSpan w:val="2"/>
            <w:vMerge w:val="continue"/>
            <w:vAlign w:val="center"/>
          </w:tcPr>
          <w:p w14:paraId="44C2D116">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517" w:type="pct"/>
            <w:vMerge w:val="continue"/>
            <w:vAlign w:val="center"/>
          </w:tcPr>
          <w:p w14:paraId="12175871">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r>
      <w:tr w14:paraId="385F1B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0" w:type="pct"/>
            <w:vMerge w:val="continue"/>
            <w:vAlign w:val="center"/>
          </w:tcPr>
          <w:p w14:paraId="78A41269">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307" w:type="pct"/>
            <w:vMerge w:val="continue"/>
            <w:vAlign w:val="center"/>
          </w:tcPr>
          <w:p w14:paraId="3B6F4CF7">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614" w:type="pct"/>
            <w:gridSpan w:val="2"/>
            <w:vAlign w:val="center"/>
          </w:tcPr>
          <w:p w14:paraId="191632C0">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出光后水洗废水</w:t>
            </w:r>
          </w:p>
        </w:tc>
        <w:tc>
          <w:tcPr>
            <w:tcW w:w="670" w:type="pct"/>
            <w:vMerge w:val="continue"/>
            <w:vAlign w:val="center"/>
          </w:tcPr>
          <w:p w14:paraId="5CC23EC0">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1338" w:type="pct"/>
            <w:gridSpan w:val="2"/>
            <w:vMerge w:val="continue"/>
            <w:vAlign w:val="center"/>
          </w:tcPr>
          <w:p w14:paraId="744A1E05">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1290" w:type="pct"/>
            <w:gridSpan w:val="2"/>
            <w:vMerge w:val="continue"/>
            <w:vAlign w:val="center"/>
          </w:tcPr>
          <w:p w14:paraId="07FFC7FE">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517" w:type="pct"/>
            <w:vMerge w:val="continue"/>
            <w:vAlign w:val="center"/>
          </w:tcPr>
          <w:p w14:paraId="20EB1D89">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r>
      <w:tr w14:paraId="2AA23F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0" w:type="pct"/>
            <w:vMerge w:val="continue"/>
            <w:vAlign w:val="center"/>
          </w:tcPr>
          <w:p w14:paraId="35CAB9AC">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307" w:type="pct"/>
            <w:vMerge w:val="restart"/>
            <w:vAlign w:val="center"/>
          </w:tcPr>
          <w:p w14:paraId="2FB4CDD9">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镀锌线</w:t>
            </w:r>
          </w:p>
        </w:tc>
        <w:tc>
          <w:tcPr>
            <w:tcW w:w="149" w:type="pct"/>
            <w:vMerge w:val="restart"/>
            <w:vAlign w:val="center"/>
          </w:tcPr>
          <w:p w14:paraId="71864699">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含油废水</w:t>
            </w:r>
          </w:p>
        </w:tc>
        <w:tc>
          <w:tcPr>
            <w:tcW w:w="464" w:type="pct"/>
            <w:vAlign w:val="center"/>
          </w:tcPr>
          <w:p w14:paraId="53326A1D">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化学除油废槽液</w:t>
            </w:r>
          </w:p>
        </w:tc>
        <w:tc>
          <w:tcPr>
            <w:tcW w:w="670" w:type="pct"/>
            <w:vMerge w:val="restart"/>
            <w:vAlign w:val="center"/>
          </w:tcPr>
          <w:p w14:paraId="5971732B">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bookmarkStart w:id="22" w:name="OLE_LINK314"/>
            <w:r>
              <w:rPr>
                <w:rFonts w:ascii="Times New Roman" w:hAnsi="Times New Roman" w:eastAsia="宋体" w:cs="Times New Roman"/>
                <w:color w:val="auto"/>
                <w:kern w:val="2"/>
                <w:sz w:val="21"/>
                <w:szCs w:val="21"/>
                <w:lang w:val="en-US" w:eastAsia="zh-CN" w:bidi="ar-SA"/>
              </w:rPr>
              <w:t>pH、</w:t>
            </w:r>
            <w:bookmarkStart w:id="23" w:name="OLE_LINK160"/>
            <w:r>
              <w:rPr>
                <w:rFonts w:ascii="Times New Roman" w:hAnsi="Times New Roman" w:eastAsia="宋体" w:cs="Times New Roman"/>
                <w:color w:val="auto"/>
                <w:kern w:val="2"/>
                <w:sz w:val="21"/>
                <w:szCs w:val="21"/>
                <w:lang w:val="en-US" w:eastAsia="zh-CN" w:bidi="ar-SA"/>
              </w:rPr>
              <w:t>COD、SS、NH</w:t>
            </w:r>
            <w:r>
              <w:rPr>
                <w:rFonts w:ascii="Times New Roman" w:hAnsi="Times New Roman" w:eastAsia="宋体" w:cs="Times New Roman"/>
                <w:color w:val="auto"/>
                <w:kern w:val="2"/>
                <w:sz w:val="21"/>
                <w:szCs w:val="21"/>
                <w:vertAlign w:val="subscript"/>
                <w:lang w:val="en-US" w:eastAsia="zh-CN" w:bidi="ar-SA"/>
              </w:rPr>
              <w:t>3</w:t>
            </w:r>
            <w:r>
              <w:rPr>
                <w:rFonts w:ascii="Times New Roman" w:hAnsi="Times New Roman" w:eastAsia="宋体" w:cs="Times New Roman"/>
                <w:color w:val="auto"/>
                <w:kern w:val="2"/>
                <w:sz w:val="21"/>
                <w:szCs w:val="21"/>
                <w:lang w:val="en-US" w:eastAsia="zh-CN" w:bidi="ar-SA"/>
              </w:rPr>
              <w:t>-N、TP、TN、石油类</w:t>
            </w:r>
            <w:bookmarkEnd w:id="22"/>
            <w:bookmarkEnd w:id="23"/>
          </w:p>
        </w:tc>
        <w:tc>
          <w:tcPr>
            <w:tcW w:w="639" w:type="pct"/>
            <w:vMerge w:val="restart"/>
            <w:vAlign w:val="center"/>
          </w:tcPr>
          <w:p w14:paraId="4016B2CB">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破乳+气浮池；依托现有</w:t>
            </w:r>
          </w:p>
        </w:tc>
        <w:tc>
          <w:tcPr>
            <w:tcW w:w="699" w:type="pct"/>
            <w:vMerge w:val="restart"/>
            <w:vAlign w:val="center"/>
          </w:tcPr>
          <w:p w14:paraId="7E36CB00">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现有综合废水处理系统（调节+混凝沉淀+水解酸化+接触氧化+二沉池）处理；依托现有</w:t>
            </w:r>
          </w:p>
        </w:tc>
        <w:tc>
          <w:tcPr>
            <w:tcW w:w="719" w:type="pct"/>
            <w:vMerge w:val="restart"/>
            <w:vAlign w:val="center"/>
          </w:tcPr>
          <w:p w14:paraId="731F9249">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破乳+气浮池；依托现有</w:t>
            </w:r>
          </w:p>
        </w:tc>
        <w:tc>
          <w:tcPr>
            <w:tcW w:w="570" w:type="pct"/>
            <w:vMerge w:val="restart"/>
            <w:vAlign w:val="center"/>
          </w:tcPr>
          <w:p w14:paraId="75696133">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现有综合废水处理系统（调节+混凝沉淀+水解酸化+接触氧化+二沉池）处理；依托现有</w:t>
            </w:r>
          </w:p>
        </w:tc>
        <w:tc>
          <w:tcPr>
            <w:tcW w:w="517" w:type="pct"/>
            <w:vMerge w:val="restart"/>
            <w:vAlign w:val="center"/>
          </w:tcPr>
          <w:p w14:paraId="49CA29E2">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一致</w:t>
            </w:r>
          </w:p>
        </w:tc>
      </w:tr>
      <w:tr w14:paraId="4B7E0A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0" w:type="pct"/>
            <w:vMerge w:val="continue"/>
            <w:vAlign w:val="center"/>
          </w:tcPr>
          <w:p w14:paraId="1A73A2FD">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307" w:type="pct"/>
            <w:vMerge w:val="continue"/>
            <w:vAlign w:val="center"/>
          </w:tcPr>
          <w:p w14:paraId="6497C712">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149" w:type="pct"/>
            <w:vMerge w:val="continue"/>
            <w:vAlign w:val="center"/>
          </w:tcPr>
          <w:p w14:paraId="67BD3167">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464" w:type="pct"/>
            <w:vAlign w:val="center"/>
          </w:tcPr>
          <w:p w14:paraId="541E91D2">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电解除油废槽液</w:t>
            </w:r>
          </w:p>
        </w:tc>
        <w:tc>
          <w:tcPr>
            <w:tcW w:w="670" w:type="pct"/>
            <w:vMerge w:val="continue"/>
            <w:vAlign w:val="center"/>
          </w:tcPr>
          <w:p w14:paraId="4B3E9807">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639" w:type="pct"/>
            <w:vMerge w:val="continue"/>
            <w:vAlign w:val="center"/>
          </w:tcPr>
          <w:p w14:paraId="63734796">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699" w:type="pct"/>
            <w:vMerge w:val="continue"/>
            <w:vAlign w:val="center"/>
          </w:tcPr>
          <w:p w14:paraId="10DA2F29">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719" w:type="pct"/>
            <w:vMerge w:val="continue"/>
            <w:vAlign w:val="center"/>
          </w:tcPr>
          <w:p w14:paraId="3AF3B6E6">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570" w:type="pct"/>
            <w:vMerge w:val="continue"/>
            <w:vAlign w:val="center"/>
          </w:tcPr>
          <w:p w14:paraId="52A09D5D">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517" w:type="pct"/>
            <w:vMerge w:val="continue"/>
            <w:vAlign w:val="center"/>
          </w:tcPr>
          <w:p w14:paraId="42EC2F6C">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r>
      <w:tr w14:paraId="6C2F14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0" w:type="pct"/>
            <w:vMerge w:val="continue"/>
            <w:vAlign w:val="center"/>
          </w:tcPr>
          <w:p w14:paraId="07F15B13">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307" w:type="pct"/>
            <w:vMerge w:val="continue"/>
            <w:vAlign w:val="center"/>
          </w:tcPr>
          <w:p w14:paraId="341405BC">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149" w:type="pct"/>
            <w:vMerge w:val="continue"/>
            <w:vAlign w:val="center"/>
          </w:tcPr>
          <w:p w14:paraId="626FCC14">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464" w:type="pct"/>
            <w:vAlign w:val="center"/>
          </w:tcPr>
          <w:p w14:paraId="553C2300">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超声波除油废槽液</w:t>
            </w:r>
          </w:p>
        </w:tc>
        <w:tc>
          <w:tcPr>
            <w:tcW w:w="670" w:type="pct"/>
            <w:vMerge w:val="continue"/>
            <w:vAlign w:val="center"/>
          </w:tcPr>
          <w:p w14:paraId="3079D34E">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639" w:type="pct"/>
            <w:vMerge w:val="continue"/>
            <w:vAlign w:val="center"/>
          </w:tcPr>
          <w:p w14:paraId="246A8FF1">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699" w:type="pct"/>
            <w:vMerge w:val="continue"/>
            <w:vAlign w:val="center"/>
          </w:tcPr>
          <w:p w14:paraId="066CCFD9">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719" w:type="pct"/>
            <w:vMerge w:val="continue"/>
            <w:vAlign w:val="center"/>
          </w:tcPr>
          <w:p w14:paraId="2C1EFE2E">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570" w:type="pct"/>
            <w:vMerge w:val="continue"/>
            <w:vAlign w:val="center"/>
          </w:tcPr>
          <w:p w14:paraId="55407E83">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517" w:type="pct"/>
            <w:vMerge w:val="continue"/>
            <w:vAlign w:val="center"/>
          </w:tcPr>
          <w:p w14:paraId="2D07299D">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r>
      <w:tr w14:paraId="2860A5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0" w:type="pct"/>
            <w:vMerge w:val="continue"/>
            <w:vAlign w:val="center"/>
          </w:tcPr>
          <w:p w14:paraId="7F473353">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307" w:type="pct"/>
            <w:vMerge w:val="continue"/>
            <w:vAlign w:val="center"/>
          </w:tcPr>
          <w:p w14:paraId="1758DBF6">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149" w:type="pct"/>
            <w:vMerge w:val="continue"/>
            <w:vAlign w:val="center"/>
          </w:tcPr>
          <w:p w14:paraId="1B64B856">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464" w:type="pct"/>
            <w:vAlign w:val="center"/>
          </w:tcPr>
          <w:p w14:paraId="2DD6D991">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除油后水洗废水</w:t>
            </w:r>
          </w:p>
        </w:tc>
        <w:tc>
          <w:tcPr>
            <w:tcW w:w="670" w:type="pct"/>
            <w:vMerge w:val="continue"/>
            <w:vAlign w:val="center"/>
          </w:tcPr>
          <w:p w14:paraId="701BFAB9">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639" w:type="pct"/>
            <w:vMerge w:val="continue"/>
            <w:vAlign w:val="center"/>
          </w:tcPr>
          <w:p w14:paraId="5647F76A">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699" w:type="pct"/>
            <w:vMerge w:val="continue"/>
            <w:vAlign w:val="center"/>
          </w:tcPr>
          <w:p w14:paraId="6DEBC9EA">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719" w:type="pct"/>
            <w:vMerge w:val="continue"/>
            <w:vAlign w:val="center"/>
          </w:tcPr>
          <w:p w14:paraId="6CE3890C">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570" w:type="pct"/>
            <w:vMerge w:val="continue"/>
            <w:vAlign w:val="center"/>
          </w:tcPr>
          <w:p w14:paraId="56040E74">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517" w:type="pct"/>
            <w:vMerge w:val="continue"/>
            <w:vAlign w:val="center"/>
          </w:tcPr>
          <w:p w14:paraId="1F274982">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r>
      <w:tr w14:paraId="0652B1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397" w:hRule="atLeast"/>
        </w:trPr>
        <w:tc>
          <w:tcPr>
            <w:tcW w:w="260" w:type="pct"/>
            <w:vMerge w:val="continue"/>
            <w:vAlign w:val="center"/>
          </w:tcPr>
          <w:p w14:paraId="77605EF3">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307" w:type="pct"/>
            <w:vMerge w:val="restart"/>
            <w:vAlign w:val="center"/>
          </w:tcPr>
          <w:p w14:paraId="691D0779">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钢带线</w:t>
            </w:r>
          </w:p>
        </w:tc>
        <w:tc>
          <w:tcPr>
            <w:tcW w:w="149" w:type="pct"/>
            <w:vMerge w:val="continue"/>
            <w:vAlign w:val="center"/>
          </w:tcPr>
          <w:p w14:paraId="19C9CEE8">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464" w:type="pct"/>
            <w:vAlign w:val="center"/>
          </w:tcPr>
          <w:p w14:paraId="35FFAE6E">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化学除油废槽液</w:t>
            </w:r>
          </w:p>
        </w:tc>
        <w:tc>
          <w:tcPr>
            <w:tcW w:w="670" w:type="pct"/>
            <w:vMerge w:val="continue"/>
            <w:vAlign w:val="center"/>
          </w:tcPr>
          <w:p w14:paraId="0DB4F9C8">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639" w:type="pct"/>
            <w:vMerge w:val="continue"/>
            <w:vAlign w:val="center"/>
          </w:tcPr>
          <w:p w14:paraId="54DB229B">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699" w:type="pct"/>
            <w:vMerge w:val="continue"/>
            <w:vAlign w:val="center"/>
          </w:tcPr>
          <w:p w14:paraId="6EEC9997">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719" w:type="pct"/>
            <w:vMerge w:val="continue"/>
            <w:vAlign w:val="center"/>
          </w:tcPr>
          <w:p w14:paraId="63031D06">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570" w:type="pct"/>
            <w:vMerge w:val="continue"/>
            <w:vAlign w:val="center"/>
          </w:tcPr>
          <w:p w14:paraId="1EC500C3">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517" w:type="pct"/>
            <w:vMerge w:val="continue"/>
            <w:vAlign w:val="center"/>
          </w:tcPr>
          <w:p w14:paraId="40A24D6A">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r>
      <w:tr w14:paraId="564C91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397" w:hRule="atLeast"/>
        </w:trPr>
        <w:tc>
          <w:tcPr>
            <w:tcW w:w="260" w:type="pct"/>
            <w:vMerge w:val="continue"/>
            <w:vAlign w:val="center"/>
          </w:tcPr>
          <w:p w14:paraId="2E4E5A31">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307" w:type="pct"/>
            <w:vMerge w:val="continue"/>
            <w:vAlign w:val="center"/>
          </w:tcPr>
          <w:p w14:paraId="4B14EBF1">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149" w:type="pct"/>
            <w:vMerge w:val="continue"/>
            <w:vAlign w:val="center"/>
          </w:tcPr>
          <w:p w14:paraId="17929996">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464" w:type="pct"/>
            <w:vAlign w:val="center"/>
          </w:tcPr>
          <w:p w14:paraId="107D800F">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除油后水洗废水</w:t>
            </w:r>
          </w:p>
        </w:tc>
        <w:tc>
          <w:tcPr>
            <w:tcW w:w="670" w:type="pct"/>
            <w:vMerge w:val="continue"/>
            <w:vAlign w:val="center"/>
          </w:tcPr>
          <w:p w14:paraId="1265A603">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639" w:type="pct"/>
            <w:vMerge w:val="continue"/>
            <w:vAlign w:val="center"/>
          </w:tcPr>
          <w:p w14:paraId="60A8FC37">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699" w:type="pct"/>
            <w:vMerge w:val="continue"/>
            <w:vAlign w:val="center"/>
          </w:tcPr>
          <w:p w14:paraId="5D3AC7FC">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719" w:type="pct"/>
            <w:vMerge w:val="continue"/>
            <w:vAlign w:val="center"/>
          </w:tcPr>
          <w:p w14:paraId="4AC9646B">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570" w:type="pct"/>
            <w:vMerge w:val="continue"/>
            <w:vAlign w:val="center"/>
          </w:tcPr>
          <w:p w14:paraId="370A90B8">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517" w:type="pct"/>
            <w:vMerge w:val="continue"/>
            <w:vAlign w:val="center"/>
          </w:tcPr>
          <w:p w14:paraId="7405C725">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r>
      <w:tr w14:paraId="3740A2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0" w:type="pct"/>
            <w:vMerge w:val="continue"/>
            <w:vAlign w:val="center"/>
          </w:tcPr>
          <w:p w14:paraId="4F3D2AD2">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307" w:type="pct"/>
            <w:vMerge w:val="restart"/>
            <w:vAlign w:val="center"/>
          </w:tcPr>
          <w:p w14:paraId="7F675BF7">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镀锌线</w:t>
            </w:r>
          </w:p>
        </w:tc>
        <w:tc>
          <w:tcPr>
            <w:tcW w:w="149" w:type="pct"/>
            <w:vMerge w:val="restart"/>
            <w:vAlign w:val="center"/>
          </w:tcPr>
          <w:p w14:paraId="2BD0B2C5">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含酸废水</w:t>
            </w:r>
          </w:p>
        </w:tc>
        <w:tc>
          <w:tcPr>
            <w:tcW w:w="464" w:type="pct"/>
            <w:vAlign w:val="center"/>
          </w:tcPr>
          <w:p w14:paraId="6C636EE4">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酸洗废槽液</w:t>
            </w:r>
          </w:p>
        </w:tc>
        <w:tc>
          <w:tcPr>
            <w:tcW w:w="670" w:type="pct"/>
            <w:vMerge w:val="restart"/>
            <w:vAlign w:val="center"/>
          </w:tcPr>
          <w:p w14:paraId="5991D2F5">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pH、COD、NH</w:t>
            </w:r>
            <w:r>
              <w:rPr>
                <w:rFonts w:ascii="Times New Roman" w:hAnsi="Times New Roman" w:eastAsia="宋体" w:cs="Times New Roman"/>
                <w:color w:val="auto"/>
                <w:kern w:val="2"/>
                <w:sz w:val="21"/>
                <w:szCs w:val="21"/>
                <w:vertAlign w:val="subscript"/>
                <w:lang w:val="en-US" w:eastAsia="zh-CN" w:bidi="ar-SA"/>
              </w:rPr>
              <w:t>3</w:t>
            </w:r>
            <w:r>
              <w:rPr>
                <w:rFonts w:ascii="Times New Roman" w:hAnsi="Times New Roman" w:eastAsia="宋体" w:cs="Times New Roman"/>
                <w:color w:val="auto"/>
                <w:kern w:val="2"/>
                <w:sz w:val="21"/>
                <w:szCs w:val="21"/>
                <w:lang w:val="en-US" w:eastAsia="zh-CN" w:bidi="ar-SA"/>
              </w:rPr>
              <w:t>-N、TP、TN、总锌、六价铬、总铬、总镍</w:t>
            </w:r>
          </w:p>
        </w:tc>
        <w:tc>
          <w:tcPr>
            <w:tcW w:w="639" w:type="pct"/>
            <w:vMerge w:val="restart"/>
            <w:vAlign w:val="center"/>
          </w:tcPr>
          <w:p w14:paraId="164A5228">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还原+两级化学沉淀；新建</w:t>
            </w:r>
          </w:p>
        </w:tc>
        <w:tc>
          <w:tcPr>
            <w:tcW w:w="699" w:type="pct"/>
            <w:vMerge w:val="continue"/>
            <w:vAlign w:val="center"/>
          </w:tcPr>
          <w:p w14:paraId="09241099">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hint="default" w:ascii="Times New Roman" w:hAnsi="Times New Roman" w:eastAsia="宋体" w:cs="Times New Roman"/>
                <w:color w:val="auto"/>
                <w:kern w:val="2"/>
                <w:sz w:val="21"/>
                <w:szCs w:val="21"/>
                <w:lang w:val="en-US" w:eastAsia="zh-CN" w:bidi="ar-SA"/>
              </w:rPr>
            </w:pPr>
          </w:p>
        </w:tc>
        <w:tc>
          <w:tcPr>
            <w:tcW w:w="719" w:type="pct"/>
            <w:vMerge w:val="restart"/>
            <w:vAlign w:val="center"/>
          </w:tcPr>
          <w:p w14:paraId="02799B74">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还原+两级化学沉淀；新建</w:t>
            </w:r>
          </w:p>
        </w:tc>
        <w:tc>
          <w:tcPr>
            <w:tcW w:w="570" w:type="pct"/>
            <w:vMerge w:val="continue"/>
            <w:vAlign w:val="center"/>
          </w:tcPr>
          <w:p w14:paraId="70BAC28F">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hint="default" w:ascii="Times New Roman" w:hAnsi="Times New Roman" w:eastAsia="宋体" w:cs="Times New Roman"/>
                <w:color w:val="auto"/>
                <w:kern w:val="2"/>
                <w:sz w:val="21"/>
                <w:szCs w:val="21"/>
                <w:lang w:val="en-US" w:eastAsia="zh-CN" w:bidi="ar-SA"/>
              </w:rPr>
            </w:pPr>
          </w:p>
        </w:tc>
        <w:tc>
          <w:tcPr>
            <w:tcW w:w="517" w:type="pct"/>
            <w:vMerge w:val="restart"/>
            <w:vAlign w:val="center"/>
          </w:tcPr>
          <w:p w14:paraId="7157C2D9">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一致</w:t>
            </w:r>
          </w:p>
        </w:tc>
      </w:tr>
      <w:tr w14:paraId="09C45E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0" w:type="pct"/>
            <w:vMerge w:val="continue"/>
            <w:vAlign w:val="center"/>
          </w:tcPr>
          <w:p w14:paraId="68459CD8">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307" w:type="pct"/>
            <w:vMerge w:val="continue"/>
            <w:vAlign w:val="center"/>
          </w:tcPr>
          <w:p w14:paraId="5F861833">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149" w:type="pct"/>
            <w:vMerge w:val="continue"/>
            <w:vAlign w:val="center"/>
          </w:tcPr>
          <w:p w14:paraId="48DC9D75">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464" w:type="pct"/>
            <w:vAlign w:val="center"/>
          </w:tcPr>
          <w:p w14:paraId="7E497E2E">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酸洗后水洗废水</w:t>
            </w:r>
          </w:p>
        </w:tc>
        <w:tc>
          <w:tcPr>
            <w:tcW w:w="670" w:type="pct"/>
            <w:vMerge w:val="continue"/>
            <w:vAlign w:val="center"/>
          </w:tcPr>
          <w:p w14:paraId="4EF6E83D">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639" w:type="pct"/>
            <w:vMerge w:val="continue"/>
            <w:vAlign w:val="center"/>
          </w:tcPr>
          <w:p w14:paraId="7C51AB48">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699" w:type="pct"/>
            <w:vMerge w:val="continue"/>
            <w:vAlign w:val="center"/>
          </w:tcPr>
          <w:p w14:paraId="510D374F">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719" w:type="pct"/>
            <w:vMerge w:val="continue"/>
            <w:vAlign w:val="center"/>
          </w:tcPr>
          <w:p w14:paraId="4DA6283B">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570" w:type="pct"/>
            <w:vMerge w:val="continue"/>
            <w:vAlign w:val="center"/>
          </w:tcPr>
          <w:p w14:paraId="73623803">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517" w:type="pct"/>
            <w:vMerge w:val="continue"/>
            <w:vAlign w:val="center"/>
          </w:tcPr>
          <w:p w14:paraId="7C19B0DD">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r>
      <w:tr w14:paraId="08DA15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0" w:type="pct"/>
            <w:vMerge w:val="continue"/>
            <w:vAlign w:val="center"/>
          </w:tcPr>
          <w:p w14:paraId="4BAF8980">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307" w:type="pct"/>
            <w:vMerge w:val="continue"/>
            <w:vAlign w:val="center"/>
          </w:tcPr>
          <w:p w14:paraId="05BD5217">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149" w:type="pct"/>
            <w:vMerge w:val="continue"/>
            <w:vAlign w:val="center"/>
          </w:tcPr>
          <w:p w14:paraId="435FC1E2">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464" w:type="pct"/>
            <w:vAlign w:val="center"/>
          </w:tcPr>
          <w:p w14:paraId="5D94BC76">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活化废槽液</w:t>
            </w:r>
          </w:p>
        </w:tc>
        <w:tc>
          <w:tcPr>
            <w:tcW w:w="670" w:type="pct"/>
            <w:vMerge w:val="continue"/>
            <w:vAlign w:val="center"/>
          </w:tcPr>
          <w:p w14:paraId="23BA8064">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639" w:type="pct"/>
            <w:vMerge w:val="continue"/>
            <w:vAlign w:val="center"/>
          </w:tcPr>
          <w:p w14:paraId="611981CC">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699" w:type="pct"/>
            <w:vMerge w:val="continue"/>
            <w:vAlign w:val="center"/>
          </w:tcPr>
          <w:p w14:paraId="7163925C">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719" w:type="pct"/>
            <w:vMerge w:val="continue"/>
            <w:vAlign w:val="center"/>
          </w:tcPr>
          <w:p w14:paraId="765F495A">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570" w:type="pct"/>
            <w:vMerge w:val="continue"/>
            <w:vAlign w:val="center"/>
          </w:tcPr>
          <w:p w14:paraId="4EE67E6F">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517" w:type="pct"/>
            <w:vMerge w:val="continue"/>
            <w:vAlign w:val="center"/>
          </w:tcPr>
          <w:p w14:paraId="07D96E24">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r>
      <w:tr w14:paraId="638BB4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0" w:type="pct"/>
            <w:vMerge w:val="continue"/>
            <w:vAlign w:val="center"/>
          </w:tcPr>
          <w:p w14:paraId="3E320490">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307" w:type="pct"/>
            <w:vMerge w:val="continue"/>
            <w:vAlign w:val="center"/>
          </w:tcPr>
          <w:p w14:paraId="06036E22">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149" w:type="pct"/>
            <w:vMerge w:val="continue"/>
            <w:vAlign w:val="center"/>
          </w:tcPr>
          <w:p w14:paraId="22D7DE97">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464" w:type="pct"/>
            <w:vAlign w:val="center"/>
          </w:tcPr>
          <w:p w14:paraId="78A7DE05">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活化后水洗废水</w:t>
            </w:r>
          </w:p>
        </w:tc>
        <w:tc>
          <w:tcPr>
            <w:tcW w:w="670" w:type="pct"/>
            <w:vMerge w:val="continue"/>
            <w:vAlign w:val="center"/>
          </w:tcPr>
          <w:p w14:paraId="3186FB9F">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639" w:type="pct"/>
            <w:vMerge w:val="continue"/>
            <w:vAlign w:val="center"/>
          </w:tcPr>
          <w:p w14:paraId="0597D5FC">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699" w:type="pct"/>
            <w:vMerge w:val="continue"/>
            <w:vAlign w:val="center"/>
          </w:tcPr>
          <w:p w14:paraId="1B74CF34">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719" w:type="pct"/>
            <w:vMerge w:val="continue"/>
            <w:vAlign w:val="center"/>
          </w:tcPr>
          <w:p w14:paraId="2DCFD32E">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570" w:type="pct"/>
            <w:vMerge w:val="continue"/>
            <w:vAlign w:val="center"/>
          </w:tcPr>
          <w:p w14:paraId="1FC550CD">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517" w:type="pct"/>
            <w:vMerge w:val="continue"/>
            <w:vAlign w:val="center"/>
          </w:tcPr>
          <w:p w14:paraId="33663064">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r>
      <w:tr w14:paraId="39CD5D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0" w:type="pct"/>
            <w:vMerge w:val="continue"/>
            <w:vAlign w:val="center"/>
          </w:tcPr>
          <w:p w14:paraId="2C78C330">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307" w:type="pct"/>
            <w:vMerge w:val="restart"/>
            <w:vAlign w:val="center"/>
          </w:tcPr>
          <w:p w14:paraId="3221B11C">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钢带线</w:t>
            </w:r>
          </w:p>
        </w:tc>
        <w:tc>
          <w:tcPr>
            <w:tcW w:w="149" w:type="pct"/>
            <w:vMerge w:val="continue"/>
            <w:vAlign w:val="center"/>
          </w:tcPr>
          <w:p w14:paraId="798156D8">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464" w:type="pct"/>
            <w:vAlign w:val="center"/>
          </w:tcPr>
          <w:p w14:paraId="5DC59C08">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活化废槽液</w:t>
            </w:r>
          </w:p>
        </w:tc>
        <w:tc>
          <w:tcPr>
            <w:tcW w:w="670" w:type="pct"/>
            <w:vMerge w:val="continue"/>
            <w:vAlign w:val="center"/>
          </w:tcPr>
          <w:p w14:paraId="58841AE2">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639" w:type="pct"/>
            <w:vMerge w:val="continue"/>
            <w:vAlign w:val="center"/>
          </w:tcPr>
          <w:p w14:paraId="3E88C059">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699" w:type="pct"/>
            <w:vMerge w:val="continue"/>
            <w:vAlign w:val="center"/>
          </w:tcPr>
          <w:p w14:paraId="69EDFAE1">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719" w:type="pct"/>
            <w:vMerge w:val="continue"/>
            <w:vAlign w:val="center"/>
          </w:tcPr>
          <w:p w14:paraId="72EE2A35">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570" w:type="pct"/>
            <w:vMerge w:val="continue"/>
            <w:vAlign w:val="center"/>
          </w:tcPr>
          <w:p w14:paraId="49C7796A">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517" w:type="pct"/>
            <w:vMerge w:val="continue"/>
            <w:vAlign w:val="center"/>
          </w:tcPr>
          <w:p w14:paraId="44DA3EF0">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r>
      <w:tr w14:paraId="75686F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0" w:type="pct"/>
            <w:vMerge w:val="continue"/>
            <w:vAlign w:val="center"/>
          </w:tcPr>
          <w:p w14:paraId="4A53AB2D">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307" w:type="pct"/>
            <w:vMerge w:val="continue"/>
            <w:vAlign w:val="center"/>
          </w:tcPr>
          <w:p w14:paraId="12F1B8AE">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149" w:type="pct"/>
            <w:vMerge w:val="continue"/>
            <w:vAlign w:val="center"/>
          </w:tcPr>
          <w:p w14:paraId="12848F53">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464" w:type="pct"/>
            <w:vAlign w:val="center"/>
          </w:tcPr>
          <w:p w14:paraId="08903305">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活化后水洗废水</w:t>
            </w:r>
          </w:p>
        </w:tc>
        <w:tc>
          <w:tcPr>
            <w:tcW w:w="670" w:type="pct"/>
            <w:vMerge w:val="continue"/>
            <w:vAlign w:val="center"/>
          </w:tcPr>
          <w:p w14:paraId="48B2E46B">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639" w:type="pct"/>
            <w:vMerge w:val="continue"/>
            <w:vAlign w:val="center"/>
          </w:tcPr>
          <w:p w14:paraId="08498374">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699" w:type="pct"/>
            <w:vMerge w:val="continue"/>
            <w:vAlign w:val="center"/>
          </w:tcPr>
          <w:p w14:paraId="00DF1AE5">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719" w:type="pct"/>
            <w:vMerge w:val="continue"/>
            <w:vAlign w:val="center"/>
          </w:tcPr>
          <w:p w14:paraId="02B4D5D3">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570" w:type="pct"/>
            <w:vMerge w:val="continue"/>
            <w:vAlign w:val="center"/>
          </w:tcPr>
          <w:p w14:paraId="128828E1">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517" w:type="pct"/>
            <w:vMerge w:val="continue"/>
            <w:vAlign w:val="center"/>
          </w:tcPr>
          <w:p w14:paraId="1112CF87">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r>
      <w:tr w14:paraId="067B6F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0" w:type="pct"/>
            <w:vMerge w:val="continue"/>
            <w:vAlign w:val="center"/>
          </w:tcPr>
          <w:p w14:paraId="10CC6FAA">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922" w:type="pct"/>
            <w:gridSpan w:val="3"/>
            <w:vAlign w:val="center"/>
          </w:tcPr>
          <w:p w14:paraId="021077D1">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bCs/>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生活污水</w:t>
            </w:r>
          </w:p>
        </w:tc>
        <w:tc>
          <w:tcPr>
            <w:tcW w:w="670" w:type="pct"/>
            <w:vAlign w:val="center"/>
          </w:tcPr>
          <w:p w14:paraId="45F0314A">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COD、</w:t>
            </w:r>
            <w:r>
              <w:rPr>
                <w:rFonts w:ascii="Times New Roman" w:hAnsi="Times New Roman" w:eastAsia="宋体" w:cs="Times New Roman"/>
                <w:color w:val="auto"/>
                <w:spacing w:val="-8"/>
                <w:kern w:val="2"/>
                <w:sz w:val="21"/>
                <w:szCs w:val="21"/>
                <w:lang w:val="en-US" w:eastAsia="zh-CN" w:bidi="ar-SA"/>
              </w:rPr>
              <w:t>SS</w:t>
            </w:r>
            <w:r>
              <w:rPr>
                <w:rFonts w:ascii="Times New Roman" w:hAnsi="Times New Roman" w:eastAsia="宋体" w:cs="Times New Roman"/>
                <w:color w:val="auto"/>
                <w:kern w:val="2"/>
                <w:sz w:val="21"/>
                <w:szCs w:val="21"/>
                <w:lang w:val="en-US" w:eastAsia="zh-CN" w:bidi="ar-SA"/>
              </w:rPr>
              <w:t>、NH</w:t>
            </w:r>
            <w:r>
              <w:rPr>
                <w:rFonts w:ascii="Times New Roman" w:hAnsi="Times New Roman" w:eastAsia="宋体" w:cs="Times New Roman"/>
                <w:color w:val="auto"/>
                <w:kern w:val="2"/>
                <w:sz w:val="21"/>
                <w:szCs w:val="21"/>
                <w:vertAlign w:val="subscript"/>
                <w:lang w:val="en-US" w:eastAsia="zh-CN" w:bidi="ar-SA"/>
              </w:rPr>
              <w:t>3</w:t>
            </w:r>
            <w:r>
              <w:rPr>
                <w:rFonts w:ascii="Times New Roman" w:hAnsi="Times New Roman" w:eastAsia="宋体" w:cs="Times New Roman"/>
                <w:color w:val="auto"/>
                <w:kern w:val="2"/>
                <w:sz w:val="21"/>
                <w:szCs w:val="21"/>
                <w:lang w:val="en-US" w:eastAsia="zh-CN" w:bidi="ar-SA"/>
              </w:rPr>
              <w:t>-N、TP、TN</w:t>
            </w:r>
          </w:p>
        </w:tc>
        <w:tc>
          <w:tcPr>
            <w:tcW w:w="1338" w:type="pct"/>
            <w:gridSpan w:val="2"/>
            <w:vAlign w:val="center"/>
          </w:tcPr>
          <w:p w14:paraId="41A5E48E">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化粪池</w:t>
            </w:r>
          </w:p>
        </w:tc>
        <w:tc>
          <w:tcPr>
            <w:tcW w:w="1290" w:type="pct"/>
            <w:gridSpan w:val="2"/>
            <w:vAlign w:val="center"/>
          </w:tcPr>
          <w:p w14:paraId="28695FED">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化粪池</w:t>
            </w:r>
          </w:p>
        </w:tc>
        <w:tc>
          <w:tcPr>
            <w:tcW w:w="517" w:type="pct"/>
            <w:vAlign w:val="center"/>
          </w:tcPr>
          <w:p w14:paraId="33687508">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一致</w:t>
            </w:r>
          </w:p>
        </w:tc>
      </w:tr>
      <w:tr w14:paraId="0EAE96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0" w:type="pct"/>
            <w:vMerge w:val="continue"/>
            <w:vAlign w:val="center"/>
          </w:tcPr>
          <w:p w14:paraId="6F991E44">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922" w:type="pct"/>
            <w:gridSpan w:val="3"/>
            <w:vAlign w:val="center"/>
          </w:tcPr>
          <w:p w14:paraId="145CB65F">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bCs/>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纯水制备浓水</w:t>
            </w:r>
          </w:p>
        </w:tc>
        <w:tc>
          <w:tcPr>
            <w:tcW w:w="670" w:type="pct"/>
            <w:vAlign w:val="center"/>
          </w:tcPr>
          <w:p w14:paraId="4DD976A6">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COD、</w:t>
            </w:r>
            <w:r>
              <w:rPr>
                <w:rFonts w:ascii="Times New Roman" w:hAnsi="Times New Roman" w:eastAsia="宋体" w:cs="Times New Roman"/>
                <w:color w:val="auto"/>
                <w:spacing w:val="-8"/>
                <w:kern w:val="2"/>
                <w:sz w:val="21"/>
                <w:szCs w:val="21"/>
                <w:lang w:val="en-US" w:eastAsia="zh-CN" w:bidi="ar-SA"/>
              </w:rPr>
              <w:t>SS</w:t>
            </w:r>
          </w:p>
        </w:tc>
        <w:tc>
          <w:tcPr>
            <w:tcW w:w="1338" w:type="pct"/>
            <w:gridSpan w:val="2"/>
            <w:vAlign w:val="center"/>
          </w:tcPr>
          <w:p w14:paraId="20AD0F29">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w:t>
            </w:r>
          </w:p>
        </w:tc>
        <w:tc>
          <w:tcPr>
            <w:tcW w:w="1290" w:type="pct"/>
            <w:gridSpan w:val="2"/>
            <w:vAlign w:val="center"/>
          </w:tcPr>
          <w:p w14:paraId="2728A94A">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w:t>
            </w:r>
          </w:p>
        </w:tc>
        <w:tc>
          <w:tcPr>
            <w:tcW w:w="517" w:type="pct"/>
            <w:vAlign w:val="center"/>
          </w:tcPr>
          <w:p w14:paraId="4AABC9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auto"/>
                <w:kern w:val="2"/>
                <w:sz w:val="21"/>
                <w:szCs w:val="21"/>
              </w:rPr>
            </w:pPr>
            <w:r>
              <w:rPr>
                <w:rFonts w:ascii="Times New Roman" w:hAnsi="Times New Roman" w:eastAsia="宋体" w:cs="Times New Roman"/>
                <w:color w:val="auto"/>
                <w:kern w:val="2"/>
                <w:sz w:val="21"/>
                <w:szCs w:val="21"/>
              </w:rPr>
              <w:t>一致</w:t>
            </w:r>
          </w:p>
        </w:tc>
      </w:tr>
      <w:tr w14:paraId="3B4227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0" w:type="pct"/>
            <w:vMerge w:val="continue"/>
            <w:vAlign w:val="center"/>
          </w:tcPr>
          <w:p w14:paraId="6442138A">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922" w:type="pct"/>
            <w:gridSpan w:val="3"/>
            <w:vAlign w:val="center"/>
          </w:tcPr>
          <w:p w14:paraId="14C6BF7A">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bCs/>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冲压冷却水</w:t>
            </w:r>
          </w:p>
        </w:tc>
        <w:tc>
          <w:tcPr>
            <w:tcW w:w="670" w:type="pct"/>
            <w:vAlign w:val="center"/>
          </w:tcPr>
          <w:p w14:paraId="7C4E112D">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COD、</w:t>
            </w:r>
            <w:r>
              <w:rPr>
                <w:rFonts w:ascii="Times New Roman" w:hAnsi="Times New Roman" w:eastAsia="宋体" w:cs="Times New Roman"/>
                <w:color w:val="auto"/>
                <w:spacing w:val="-8"/>
                <w:kern w:val="2"/>
                <w:sz w:val="21"/>
                <w:szCs w:val="21"/>
                <w:lang w:val="en-US" w:eastAsia="zh-CN" w:bidi="ar-SA"/>
              </w:rPr>
              <w:t>SS</w:t>
            </w:r>
          </w:p>
        </w:tc>
        <w:tc>
          <w:tcPr>
            <w:tcW w:w="1338" w:type="pct"/>
            <w:gridSpan w:val="2"/>
            <w:vAlign w:val="center"/>
          </w:tcPr>
          <w:p w14:paraId="60DC27E1">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w:t>
            </w:r>
          </w:p>
        </w:tc>
        <w:tc>
          <w:tcPr>
            <w:tcW w:w="1290" w:type="pct"/>
            <w:gridSpan w:val="2"/>
            <w:vAlign w:val="center"/>
          </w:tcPr>
          <w:p w14:paraId="211121F9">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w:t>
            </w:r>
          </w:p>
        </w:tc>
        <w:tc>
          <w:tcPr>
            <w:tcW w:w="517" w:type="pct"/>
            <w:vAlign w:val="center"/>
          </w:tcPr>
          <w:p w14:paraId="7A491DC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auto"/>
                <w:kern w:val="2"/>
                <w:sz w:val="21"/>
                <w:szCs w:val="21"/>
              </w:rPr>
            </w:pPr>
            <w:r>
              <w:rPr>
                <w:rFonts w:ascii="Times New Roman" w:hAnsi="Times New Roman" w:eastAsia="宋体" w:cs="Times New Roman"/>
                <w:color w:val="auto"/>
                <w:kern w:val="2"/>
                <w:sz w:val="21"/>
                <w:szCs w:val="21"/>
              </w:rPr>
              <w:t>一致</w:t>
            </w:r>
          </w:p>
        </w:tc>
      </w:tr>
      <w:tr w14:paraId="38ABAA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0" w:type="pct"/>
            <w:vMerge w:val="restart"/>
            <w:vAlign w:val="center"/>
          </w:tcPr>
          <w:p w14:paraId="1007EDA3">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固废</w:t>
            </w:r>
          </w:p>
        </w:tc>
        <w:tc>
          <w:tcPr>
            <w:tcW w:w="922" w:type="pct"/>
            <w:gridSpan w:val="3"/>
            <w:vAlign w:val="center"/>
          </w:tcPr>
          <w:p w14:paraId="545ED386">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机加工</w:t>
            </w:r>
          </w:p>
        </w:tc>
        <w:tc>
          <w:tcPr>
            <w:tcW w:w="670" w:type="pct"/>
            <w:vAlign w:val="center"/>
          </w:tcPr>
          <w:p w14:paraId="2224477E">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废边角料</w:t>
            </w:r>
          </w:p>
        </w:tc>
        <w:tc>
          <w:tcPr>
            <w:tcW w:w="1338" w:type="pct"/>
            <w:gridSpan w:val="2"/>
            <w:vAlign w:val="center"/>
          </w:tcPr>
          <w:p w14:paraId="122D3331">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外售综合利用</w:t>
            </w:r>
          </w:p>
        </w:tc>
        <w:tc>
          <w:tcPr>
            <w:tcW w:w="1290" w:type="pct"/>
            <w:gridSpan w:val="2"/>
            <w:vAlign w:val="center"/>
          </w:tcPr>
          <w:p w14:paraId="7CB6BA5D">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外售综合利用</w:t>
            </w:r>
          </w:p>
        </w:tc>
        <w:tc>
          <w:tcPr>
            <w:tcW w:w="517" w:type="pct"/>
            <w:vAlign w:val="center"/>
          </w:tcPr>
          <w:p w14:paraId="4E7EAA7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auto"/>
                <w:kern w:val="2"/>
                <w:sz w:val="21"/>
                <w:szCs w:val="21"/>
              </w:rPr>
            </w:pPr>
            <w:r>
              <w:rPr>
                <w:rFonts w:ascii="Times New Roman" w:hAnsi="Times New Roman" w:eastAsia="宋体" w:cs="Times New Roman"/>
                <w:color w:val="auto"/>
                <w:kern w:val="2"/>
                <w:sz w:val="21"/>
                <w:szCs w:val="21"/>
              </w:rPr>
              <w:t>一致</w:t>
            </w:r>
          </w:p>
        </w:tc>
      </w:tr>
      <w:tr w14:paraId="13B9ED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0" w:type="pct"/>
            <w:vMerge w:val="continue"/>
            <w:vAlign w:val="center"/>
          </w:tcPr>
          <w:p w14:paraId="4A833040">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922" w:type="pct"/>
            <w:gridSpan w:val="3"/>
            <w:vAlign w:val="center"/>
          </w:tcPr>
          <w:p w14:paraId="1AD99DE1">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检验</w:t>
            </w:r>
          </w:p>
        </w:tc>
        <w:tc>
          <w:tcPr>
            <w:tcW w:w="670" w:type="pct"/>
            <w:vAlign w:val="center"/>
          </w:tcPr>
          <w:p w14:paraId="5A0E2D47">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废钢带</w:t>
            </w:r>
          </w:p>
        </w:tc>
        <w:tc>
          <w:tcPr>
            <w:tcW w:w="1338" w:type="pct"/>
            <w:gridSpan w:val="2"/>
            <w:vAlign w:val="center"/>
          </w:tcPr>
          <w:p w14:paraId="42B2E44E">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外售综合利用</w:t>
            </w:r>
          </w:p>
        </w:tc>
        <w:tc>
          <w:tcPr>
            <w:tcW w:w="1290" w:type="pct"/>
            <w:gridSpan w:val="2"/>
            <w:vAlign w:val="center"/>
          </w:tcPr>
          <w:p w14:paraId="1DC989D7">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外售综合利用</w:t>
            </w:r>
          </w:p>
        </w:tc>
        <w:tc>
          <w:tcPr>
            <w:tcW w:w="517" w:type="pct"/>
            <w:vAlign w:val="center"/>
          </w:tcPr>
          <w:p w14:paraId="3DDD10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auto"/>
                <w:kern w:val="2"/>
                <w:sz w:val="21"/>
                <w:szCs w:val="21"/>
              </w:rPr>
            </w:pPr>
            <w:r>
              <w:rPr>
                <w:rFonts w:ascii="Times New Roman" w:hAnsi="Times New Roman" w:eastAsia="宋体" w:cs="Times New Roman"/>
                <w:color w:val="auto"/>
                <w:kern w:val="2"/>
                <w:sz w:val="21"/>
                <w:szCs w:val="21"/>
              </w:rPr>
              <w:t>一致</w:t>
            </w:r>
          </w:p>
        </w:tc>
      </w:tr>
      <w:tr w14:paraId="0ABFA6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0" w:type="pct"/>
            <w:vMerge w:val="continue"/>
            <w:vAlign w:val="center"/>
          </w:tcPr>
          <w:p w14:paraId="3407F33F">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922" w:type="pct"/>
            <w:gridSpan w:val="3"/>
            <w:vAlign w:val="center"/>
          </w:tcPr>
          <w:p w14:paraId="43D06925">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综合污水处理系统</w:t>
            </w:r>
          </w:p>
        </w:tc>
        <w:tc>
          <w:tcPr>
            <w:tcW w:w="670" w:type="pct"/>
            <w:vAlign w:val="center"/>
          </w:tcPr>
          <w:p w14:paraId="7A6EEC25">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生化污泥</w:t>
            </w:r>
          </w:p>
        </w:tc>
        <w:tc>
          <w:tcPr>
            <w:tcW w:w="1338" w:type="pct"/>
            <w:gridSpan w:val="2"/>
            <w:vAlign w:val="center"/>
          </w:tcPr>
          <w:p w14:paraId="73D8B9D8">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外售建材厂综合利用</w:t>
            </w:r>
          </w:p>
        </w:tc>
        <w:tc>
          <w:tcPr>
            <w:tcW w:w="1290" w:type="pct"/>
            <w:gridSpan w:val="2"/>
            <w:vAlign w:val="center"/>
          </w:tcPr>
          <w:p w14:paraId="52A7E5FD">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外售建材厂综合利用</w:t>
            </w:r>
          </w:p>
        </w:tc>
        <w:tc>
          <w:tcPr>
            <w:tcW w:w="517" w:type="pct"/>
            <w:vAlign w:val="center"/>
          </w:tcPr>
          <w:p w14:paraId="660D1EF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auto"/>
                <w:kern w:val="2"/>
                <w:sz w:val="21"/>
                <w:szCs w:val="21"/>
              </w:rPr>
            </w:pPr>
            <w:r>
              <w:rPr>
                <w:rFonts w:ascii="Times New Roman" w:hAnsi="Times New Roman" w:eastAsia="宋体" w:cs="Times New Roman"/>
                <w:color w:val="auto"/>
                <w:kern w:val="2"/>
                <w:sz w:val="21"/>
                <w:szCs w:val="21"/>
              </w:rPr>
              <w:t>一致</w:t>
            </w:r>
          </w:p>
        </w:tc>
      </w:tr>
      <w:tr w14:paraId="7FE5C7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0" w:type="pct"/>
            <w:vMerge w:val="continue"/>
            <w:vAlign w:val="center"/>
          </w:tcPr>
          <w:p w14:paraId="29A567F1">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922" w:type="pct"/>
            <w:gridSpan w:val="3"/>
            <w:vAlign w:val="center"/>
          </w:tcPr>
          <w:p w14:paraId="2E3B1A54">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纯水制备</w:t>
            </w:r>
          </w:p>
        </w:tc>
        <w:tc>
          <w:tcPr>
            <w:tcW w:w="670" w:type="pct"/>
            <w:vAlign w:val="center"/>
          </w:tcPr>
          <w:p w14:paraId="4BC36F3A">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bookmarkStart w:id="24" w:name="OLE_LINK83"/>
            <w:r>
              <w:rPr>
                <w:rFonts w:ascii="Times New Roman" w:hAnsi="Times New Roman" w:eastAsia="宋体" w:cs="Times New Roman"/>
                <w:color w:val="auto"/>
                <w:kern w:val="2"/>
                <w:sz w:val="21"/>
                <w:szCs w:val="21"/>
                <w:lang w:val="en-US" w:eastAsia="zh-CN" w:bidi="ar-SA"/>
              </w:rPr>
              <w:t>废过滤器、废活性炭</w:t>
            </w:r>
            <w:bookmarkEnd w:id="24"/>
            <w:r>
              <w:rPr>
                <w:rFonts w:ascii="Times New Roman" w:hAnsi="Times New Roman" w:eastAsia="宋体" w:cs="Times New Roman"/>
                <w:color w:val="auto"/>
                <w:kern w:val="2"/>
                <w:sz w:val="21"/>
                <w:szCs w:val="21"/>
                <w:lang w:val="en-US" w:eastAsia="zh-CN" w:bidi="ar-SA"/>
              </w:rPr>
              <w:t>、废RO膜</w:t>
            </w:r>
          </w:p>
        </w:tc>
        <w:tc>
          <w:tcPr>
            <w:tcW w:w="1338" w:type="pct"/>
            <w:gridSpan w:val="2"/>
            <w:vAlign w:val="center"/>
          </w:tcPr>
          <w:p w14:paraId="6F5E02B4">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厂家回收</w:t>
            </w:r>
          </w:p>
        </w:tc>
        <w:tc>
          <w:tcPr>
            <w:tcW w:w="1290" w:type="pct"/>
            <w:gridSpan w:val="2"/>
            <w:vAlign w:val="center"/>
          </w:tcPr>
          <w:p w14:paraId="2D94013C">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厂家回收</w:t>
            </w:r>
          </w:p>
        </w:tc>
        <w:tc>
          <w:tcPr>
            <w:tcW w:w="517" w:type="pct"/>
            <w:vAlign w:val="center"/>
          </w:tcPr>
          <w:p w14:paraId="782BF32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auto"/>
                <w:kern w:val="2"/>
                <w:sz w:val="21"/>
                <w:szCs w:val="21"/>
              </w:rPr>
            </w:pPr>
            <w:r>
              <w:rPr>
                <w:rFonts w:ascii="Times New Roman" w:hAnsi="Times New Roman" w:eastAsia="宋体" w:cs="Times New Roman"/>
                <w:color w:val="auto"/>
                <w:kern w:val="2"/>
                <w:sz w:val="21"/>
                <w:szCs w:val="21"/>
              </w:rPr>
              <w:t>一致</w:t>
            </w:r>
          </w:p>
        </w:tc>
      </w:tr>
      <w:tr w14:paraId="36C2FB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0" w:type="pct"/>
            <w:vMerge w:val="continue"/>
            <w:vAlign w:val="center"/>
          </w:tcPr>
          <w:p w14:paraId="16DDB81C">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922" w:type="pct"/>
            <w:gridSpan w:val="3"/>
            <w:vAlign w:val="center"/>
          </w:tcPr>
          <w:p w14:paraId="0C43966C">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原料使用</w:t>
            </w:r>
          </w:p>
        </w:tc>
        <w:tc>
          <w:tcPr>
            <w:tcW w:w="670" w:type="pct"/>
            <w:vAlign w:val="center"/>
          </w:tcPr>
          <w:p w14:paraId="6620303D">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废包装物</w:t>
            </w:r>
          </w:p>
        </w:tc>
        <w:tc>
          <w:tcPr>
            <w:tcW w:w="1338" w:type="pct"/>
            <w:gridSpan w:val="2"/>
            <w:vMerge w:val="restart"/>
            <w:vAlign w:val="center"/>
          </w:tcPr>
          <w:p w14:paraId="5AEAFDC5">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专用容器收集，在危废储存间分类暂存，定期送有相应危废处置资质的单位处置；新建</w:t>
            </w:r>
          </w:p>
        </w:tc>
        <w:tc>
          <w:tcPr>
            <w:tcW w:w="1290" w:type="pct"/>
            <w:gridSpan w:val="2"/>
            <w:vMerge w:val="restart"/>
            <w:vAlign w:val="center"/>
          </w:tcPr>
          <w:p w14:paraId="07BF64A9">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专用容器收集，在危废储存间分类暂存，定期送有相应危废处置资质的单位处置；新建</w:t>
            </w:r>
          </w:p>
        </w:tc>
        <w:tc>
          <w:tcPr>
            <w:tcW w:w="517" w:type="pct"/>
            <w:vAlign w:val="center"/>
          </w:tcPr>
          <w:p w14:paraId="7524E6A2">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一致</w:t>
            </w:r>
          </w:p>
        </w:tc>
      </w:tr>
      <w:tr w14:paraId="3747BA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0" w:type="pct"/>
            <w:vMerge w:val="continue"/>
            <w:vAlign w:val="center"/>
          </w:tcPr>
          <w:p w14:paraId="5BDFFED5">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922" w:type="pct"/>
            <w:gridSpan w:val="3"/>
            <w:vMerge w:val="restart"/>
            <w:vAlign w:val="center"/>
          </w:tcPr>
          <w:p w14:paraId="631340DE">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机加工</w:t>
            </w:r>
          </w:p>
        </w:tc>
        <w:tc>
          <w:tcPr>
            <w:tcW w:w="670" w:type="pct"/>
            <w:vAlign w:val="center"/>
          </w:tcPr>
          <w:p w14:paraId="79757EA1">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废切削液</w:t>
            </w:r>
          </w:p>
        </w:tc>
        <w:tc>
          <w:tcPr>
            <w:tcW w:w="1338" w:type="pct"/>
            <w:gridSpan w:val="2"/>
            <w:vMerge w:val="continue"/>
            <w:vAlign w:val="center"/>
          </w:tcPr>
          <w:p w14:paraId="0081F0D6">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1290" w:type="pct"/>
            <w:gridSpan w:val="2"/>
            <w:vMerge w:val="continue"/>
            <w:vAlign w:val="center"/>
          </w:tcPr>
          <w:p w14:paraId="1D8ED059">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517" w:type="pct"/>
            <w:vAlign w:val="center"/>
          </w:tcPr>
          <w:p w14:paraId="3B8686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auto"/>
                <w:kern w:val="2"/>
                <w:sz w:val="21"/>
                <w:szCs w:val="21"/>
              </w:rPr>
            </w:pPr>
            <w:r>
              <w:rPr>
                <w:rFonts w:ascii="Times New Roman" w:hAnsi="Times New Roman" w:eastAsia="宋体" w:cs="Times New Roman"/>
                <w:color w:val="auto"/>
                <w:kern w:val="2"/>
                <w:sz w:val="21"/>
                <w:szCs w:val="21"/>
              </w:rPr>
              <w:t>一致</w:t>
            </w:r>
          </w:p>
        </w:tc>
      </w:tr>
      <w:tr w14:paraId="36545A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0" w:type="pct"/>
            <w:vMerge w:val="continue"/>
            <w:vAlign w:val="center"/>
          </w:tcPr>
          <w:p w14:paraId="0856D7A3">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922" w:type="pct"/>
            <w:gridSpan w:val="3"/>
            <w:vMerge w:val="continue"/>
            <w:vAlign w:val="center"/>
          </w:tcPr>
          <w:p w14:paraId="3CA25E4E">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670" w:type="pct"/>
            <w:vAlign w:val="center"/>
          </w:tcPr>
          <w:p w14:paraId="357A012C">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废拉伸油</w:t>
            </w:r>
          </w:p>
        </w:tc>
        <w:tc>
          <w:tcPr>
            <w:tcW w:w="1338" w:type="pct"/>
            <w:gridSpan w:val="2"/>
            <w:vMerge w:val="continue"/>
            <w:vAlign w:val="center"/>
          </w:tcPr>
          <w:p w14:paraId="4D467489">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1290" w:type="pct"/>
            <w:gridSpan w:val="2"/>
            <w:vMerge w:val="continue"/>
            <w:vAlign w:val="center"/>
          </w:tcPr>
          <w:p w14:paraId="518F298F">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517" w:type="pct"/>
            <w:vAlign w:val="center"/>
          </w:tcPr>
          <w:p w14:paraId="564E097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auto"/>
                <w:kern w:val="2"/>
                <w:sz w:val="21"/>
                <w:szCs w:val="21"/>
              </w:rPr>
            </w:pPr>
            <w:r>
              <w:rPr>
                <w:rFonts w:ascii="Times New Roman" w:hAnsi="Times New Roman" w:eastAsia="宋体" w:cs="Times New Roman"/>
                <w:color w:val="auto"/>
                <w:kern w:val="2"/>
                <w:sz w:val="21"/>
                <w:szCs w:val="21"/>
              </w:rPr>
              <w:t>一致</w:t>
            </w:r>
          </w:p>
        </w:tc>
      </w:tr>
      <w:tr w14:paraId="75DAAA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0" w:type="pct"/>
            <w:vMerge w:val="continue"/>
            <w:vAlign w:val="center"/>
          </w:tcPr>
          <w:p w14:paraId="4D592A57">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922" w:type="pct"/>
            <w:gridSpan w:val="3"/>
            <w:vMerge w:val="restart"/>
            <w:vAlign w:val="center"/>
          </w:tcPr>
          <w:p w14:paraId="79DF9F7F">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电镀线</w:t>
            </w:r>
          </w:p>
        </w:tc>
        <w:tc>
          <w:tcPr>
            <w:tcW w:w="670" w:type="pct"/>
            <w:vAlign w:val="center"/>
          </w:tcPr>
          <w:p w14:paraId="17BD2B80">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废油渣</w:t>
            </w:r>
          </w:p>
        </w:tc>
        <w:tc>
          <w:tcPr>
            <w:tcW w:w="1338" w:type="pct"/>
            <w:gridSpan w:val="2"/>
            <w:vMerge w:val="continue"/>
            <w:vAlign w:val="center"/>
          </w:tcPr>
          <w:p w14:paraId="5FCE68F7">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1290" w:type="pct"/>
            <w:gridSpan w:val="2"/>
            <w:vMerge w:val="continue"/>
            <w:vAlign w:val="center"/>
          </w:tcPr>
          <w:p w14:paraId="689C57CC">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517" w:type="pct"/>
            <w:vAlign w:val="center"/>
          </w:tcPr>
          <w:p w14:paraId="6AC028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auto"/>
                <w:kern w:val="2"/>
                <w:sz w:val="21"/>
                <w:szCs w:val="21"/>
              </w:rPr>
            </w:pPr>
            <w:r>
              <w:rPr>
                <w:rFonts w:ascii="Times New Roman" w:hAnsi="Times New Roman" w:eastAsia="宋体" w:cs="Times New Roman"/>
                <w:color w:val="auto"/>
                <w:kern w:val="2"/>
                <w:sz w:val="21"/>
                <w:szCs w:val="21"/>
              </w:rPr>
              <w:t>一致</w:t>
            </w:r>
          </w:p>
        </w:tc>
      </w:tr>
      <w:tr w14:paraId="50F4C7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0" w:type="pct"/>
            <w:vMerge w:val="continue"/>
            <w:vAlign w:val="center"/>
          </w:tcPr>
          <w:p w14:paraId="48ED4C1F">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922" w:type="pct"/>
            <w:gridSpan w:val="3"/>
            <w:vMerge w:val="continue"/>
            <w:vAlign w:val="center"/>
          </w:tcPr>
          <w:p w14:paraId="0015BF06">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670" w:type="pct"/>
            <w:vAlign w:val="center"/>
          </w:tcPr>
          <w:p w14:paraId="7861C075">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含镍废槽液</w:t>
            </w:r>
          </w:p>
        </w:tc>
        <w:tc>
          <w:tcPr>
            <w:tcW w:w="1338" w:type="pct"/>
            <w:gridSpan w:val="2"/>
            <w:vMerge w:val="continue"/>
            <w:vAlign w:val="center"/>
          </w:tcPr>
          <w:p w14:paraId="76FABF19">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1290" w:type="pct"/>
            <w:gridSpan w:val="2"/>
            <w:vMerge w:val="continue"/>
            <w:vAlign w:val="center"/>
          </w:tcPr>
          <w:p w14:paraId="5D350221">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517" w:type="pct"/>
            <w:vAlign w:val="center"/>
          </w:tcPr>
          <w:p w14:paraId="698B7B6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auto"/>
                <w:kern w:val="2"/>
                <w:sz w:val="21"/>
                <w:szCs w:val="21"/>
              </w:rPr>
            </w:pPr>
            <w:r>
              <w:rPr>
                <w:rFonts w:ascii="Times New Roman" w:hAnsi="Times New Roman" w:eastAsia="宋体" w:cs="Times New Roman"/>
                <w:color w:val="auto"/>
                <w:kern w:val="2"/>
                <w:sz w:val="21"/>
                <w:szCs w:val="21"/>
              </w:rPr>
              <w:t>一致</w:t>
            </w:r>
          </w:p>
        </w:tc>
      </w:tr>
      <w:tr w14:paraId="0DD744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0" w:type="pct"/>
            <w:vMerge w:val="continue"/>
            <w:vAlign w:val="center"/>
          </w:tcPr>
          <w:p w14:paraId="1BBD0724">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922" w:type="pct"/>
            <w:gridSpan w:val="3"/>
            <w:vMerge w:val="continue"/>
            <w:vAlign w:val="center"/>
          </w:tcPr>
          <w:p w14:paraId="5A710F17">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670" w:type="pct"/>
            <w:vAlign w:val="center"/>
          </w:tcPr>
          <w:p w14:paraId="79AF030F">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含镍废槽渣</w:t>
            </w:r>
          </w:p>
        </w:tc>
        <w:tc>
          <w:tcPr>
            <w:tcW w:w="1338" w:type="pct"/>
            <w:gridSpan w:val="2"/>
            <w:vMerge w:val="continue"/>
            <w:vAlign w:val="center"/>
          </w:tcPr>
          <w:p w14:paraId="01F9395C">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1290" w:type="pct"/>
            <w:gridSpan w:val="2"/>
            <w:vMerge w:val="continue"/>
            <w:vAlign w:val="center"/>
          </w:tcPr>
          <w:p w14:paraId="04F94314">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517" w:type="pct"/>
            <w:vAlign w:val="center"/>
          </w:tcPr>
          <w:p w14:paraId="1523C61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auto"/>
                <w:kern w:val="2"/>
                <w:sz w:val="21"/>
                <w:szCs w:val="21"/>
              </w:rPr>
            </w:pPr>
            <w:r>
              <w:rPr>
                <w:rFonts w:ascii="Times New Roman" w:hAnsi="Times New Roman" w:eastAsia="宋体" w:cs="Times New Roman"/>
                <w:color w:val="auto"/>
                <w:kern w:val="2"/>
                <w:sz w:val="21"/>
                <w:szCs w:val="21"/>
              </w:rPr>
              <w:t>一致</w:t>
            </w:r>
          </w:p>
        </w:tc>
      </w:tr>
      <w:tr w14:paraId="10098B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0" w:type="pct"/>
            <w:vMerge w:val="continue"/>
            <w:vAlign w:val="center"/>
          </w:tcPr>
          <w:p w14:paraId="402DA627">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922" w:type="pct"/>
            <w:gridSpan w:val="3"/>
            <w:vMerge w:val="continue"/>
            <w:vAlign w:val="center"/>
          </w:tcPr>
          <w:p w14:paraId="043588CE">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670" w:type="pct"/>
            <w:vAlign w:val="center"/>
          </w:tcPr>
          <w:p w14:paraId="35606269">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含锌废槽液</w:t>
            </w:r>
          </w:p>
        </w:tc>
        <w:tc>
          <w:tcPr>
            <w:tcW w:w="1338" w:type="pct"/>
            <w:gridSpan w:val="2"/>
            <w:vMerge w:val="continue"/>
            <w:vAlign w:val="center"/>
          </w:tcPr>
          <w:p w14:paraId="227E59B3">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1290" w:type="pct"/>
            <w:gridSpan w:val="2"/>
            <w:vMerge w:val="continue"/>
            <w:vAlign w:val="center"/>
          </w:tcPr>
          <w:p w14:paraId="34509C95">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517" w:type="pct"/>
            <w:vAlign w:val="center"/>
          </w:tcPr>
          <w:p w14:paraId="328034B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auto"/>
                <w:kern w:val="2"/>
                <w:sz w:val="21"/>
                <w:szCs w:val="21"/>
              </w:rPr>
            </w:pPr>
            <w:r>
              <w:rPr>
                <w:rFonts w:ascii="Times New Roman" w:hAnsi="Times New Roman" w:eastAsia="宋体" w:cs="Times New Roman"/>
                <w:color w:val="auto"/>
                <w:kern w:val="2"/>
                <w:sz w:val="21"/>
                <w:szCs w:val="21"/>
              </w:rPr>
              <w:t>一致</w:t>
            </w:r>
          </w:p>
        </w:tc>
      </w:tr>
      <w:tr w14:paraId="4DBF29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0" w:type="pct"/>
            <w:vMerge w:val="continue"/>
            <w:vAlign w:val="center"/>
          </w:tcPr>
          <w:p w14:paraId="43744061">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922" w:type="pct"/>
            <w:gridSpan w:val="3"/>
            <w:vMerge w:val="continue"/>
            <w:vAlign w:val="center"/>
          </w:tcPr>
          <w:p w14:paraId="0B8451E4">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670" w:type="pct"/>
            <w:vAlign w:val="center"/>
          </w:tcPr>
          <w:p w14:paraId="073DBA6C">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含锌废槽渣</w:t>
            </w:r>
          </w:p>
        </w:tc>
        <w:tc>
          <w:tcPr>
            <w:tcW w:w="1338" w:type="pct"/>
            <w:gridSpan w:val="2"/>
            <w:vMerge w:val="continue"/>
            <w:vAlign w:val="center"/>
          </w:tcPr>
          <w:p w14:paraId="4430D1D1">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1290" w:type="pct"/>
            <w:gridSpan w:val="2"/>
            <w:vMerge w:val="continue"/>
            <w:vAlign w:val="center"/>
          </w:tcPr>
          <w:p w14:paraId="6A9DC152">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517" w:type="pct"/>
            <w:vAlign w:val="center"/>
          </w:tcPr>
          <w:p w14:paraId="164B51B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auto"/>
                <w:kern w:val="2"/>
                <w:sz w:val="21"/>
                <w:szCs w:val="21"/>
              </w:rPr>
            </w:pPr>
            <w:r>
              <w:rPr>
                <w:rFonts w:ascii="Times New Roman" w:hAnsi="Times New Roman" w:eastAsia="宋体" w:cs="Times New Roman"/>
                <w:color w:val="auto"/>
                <w:kern w:val="2"/>
                <w:sz w:val="21"/>
                <w:szCs w:val="21"/>
              </w:rPr>
              <w:t>一致</w:t>
            </w:r>
          </w:p>
        </w:tc>
      </w:tr>
      <w:tr w14:paraId="0667E5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0" w:type="pct"/>
            <w:vMerge w:val="continue"/>
            <w:vAlign w:val="center"/>
          </w:tcPr>
          <w:p w14:paraId="2AC0813A">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922" w:type="pct"/>
            <w:gridSpan w:val="3"/>
            <w:vMerge w:val="continue"/>
            <w:vAlign w:val="center"/>
          </w:tcPr>
          <w:p w14:paraId="2FBF5E06">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670" w:type="pct"/>
            <w:vAlign w:val="center"/>
          </w:tcPr>
          <w:p w14:paraId="1162606E">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废滤芯</w:t>
            </w:r>
          </w:p>
        </w:tc>
        <w:tc>
          <w:tcPr>
            <w:tcW w:w="1338" w:type="pct"/>
            <w:gridSpan w:val="2"/>
            <w:vMerge w:val="continue"/>
            <w:vAlign w:val="center"/>
          </w:tcPr>
          <w:p w14:paraId="1CF44DEB">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1290" w:type="pct"/>
            <w:gridSpan w:val="2"/>
            <w:vMerge w:val="continue"/>
            <w:vAlign w:val="center"/>
          </w:tcPr>
          <w:p w14:paraId="65B6CA7F">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517" w:type="pct"/>
            <w:vAlign w:val="center"/>
          </w:tcPr>
          <w:p w14:paraId="00E18B5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auto"/>
                <w:kern w:val="2"/>
                <w:sz w:val="21"/>
                <w:szCs w:val="21"/>
              </w:rPr>
            </w:pPr>
            <w:r>
              <w:rPr>
                <w:rFonts w:ascii="Times New Roman" w:hAnsi="Times New Roman" w:eastAsia="宋体" w:cs="Times New Roman"/>
                <w:color w:val="auto"/>
                <w:kern w:val="2"/>
                <w:sz w:val="21"/>
                <w:szCs w:val="21"/>
              </w:rPr>
              <w:t>一致</w:t>
            </w:r>
          </w:p>
        </w:tc>
      </w:tr>
      <w:tr w14:paraId="044949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0" w:type="pct"/>
            <w:vMerge w:val="continue"/>
            <w:vAlign w:val="center"/>
          </w:tcPr>
          <w:p w14:paraId="6681F431">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bookmarkStart w:id="25" w:name="_Hlk195275232"/>
          </w:p>
        </w:tc>
        <w:tc>
          <w:tcPr>
            <w:tcW w:w="922" w:type="pct"/>
            <w:gridSpan w:val="3"/>
            <w:vAlign w:val="center"/>
          </w:tcPr>
          <w:p w14:paraId="7970F13E">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退镀线</w:t>
            </w:r>
          </w:p>
        </w:tc>
        <w:tc>
          <w:tcPr>
            <w:tcW w:w="670" w:type="pct"/>
            <w:vAlign w:val="center"/>
          </w:tcPr>
          <w:p w14:paraId="69431FCE">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退锌槽含锌废槽液</w:t>
            </w:r>
          </w:p>
        </w:tc>
        <w:tc>
          <w:tcPr>
            <w:tcW w:w="1338" w:type="pct"/>
            <w:gridSpan w:val="2"/>
            <w:vMerge w:val="continue"/>
            <w:vAlign w:val="center"/>
          </w:tcPr>
          <w:p w14:paraId="2BBFE3AF">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1290" w:type="pct"/>
            <w:gridSpan w:val="2"/>
            <w:vMerge w:val="continue"/>
            <w:vAlign w:val="center"/>
          </w:tcPr>
          <w:p w14:paraId="2370CFEF">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517" w:type="pct"/>
            <w:vAlign w:val="center"/>
          </w:tcPr>
          <w:p w14:paraId="7D90FDB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auto"/>
                <w:kern w:val="2"/>
                <w:sz w:val="21"/>
                <w:szCs w:val="21"/>
              </w:rPr>
            </w:pPr>
            <w:r>
              <w:rPr>
                <w:rFonts w:ascii="Times New Roman" w:hAnsi="Times New Roman" w:eastAsia="宋体" w:cs="Times New Roman"/>
                <w:color w:val="auto"/>
                <w:kern w:val="2"/>
                <w:sz w:val="21"/>
                <w:szCs w:val="21"/>
              </w:rPr>
              <w:t>一致</w:t>
            </w:r>
          </w:p>
        </w:tc>
      </w:tr>
      <w:tr w14:paraId="3F663B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0" w:type="pct"/>
            <w:vMerge w:val="continue"/>
            <w:vAlign w:val="center"/>
          </w:tcPr>
          <w:p w14:paraId="1269157F">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922" w:type="pct"/>
            <w:gridSpan w:val="3"/>
            <w:vAlign w:val="center"/>
          </w:tcPr>
          <w:p w14:paraId="15B7910A">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气浮池</w:t>
            </w:r>
          </w:p>
        </w:tc>
        <w:tc>
          <w:tcPr>
            <w:tcW w:w="670" w:type="pct"/>
            <w:vAlign w:val="center"/>
          </w:tcPr>
          <w:p w14:paraId="2603D389">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废油渣</w:t>
            </w:r>
          </w:p>
        </w:tc>
        <w:tc>
          <w:tcPr>
            <w:tcW w:w="1338" w:type="pct"/>
            <w:gridSpan w:val="2"/>
            <w:vMerge w:val="continue"/>
            <w:vAlign w:val="center"/>
          </w:tcPr>
          <w:p w14:paraId="46ED7ABE">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1290" w:type="pct"/>
            <w:gridSpan w:val="2"/>
            <w:vMerge w:val="continue"/>
            <w:vAlign w:val="center"/>
          </w:tcPr>
          <w:p w14:paraId="353D4A35">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517" w:type="pct"/>
            <w:vAlign w:val="center"/>
          </w:tcPr>
          <w:p w14:paraId="531F70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auto"/>
                <w:kern w:val="2"/>
                <w:sz w:val="21"/>
                <w:szCs w:val="21"/>
              </w:rPr>
            </w:pPr>
            <w:r>
              <w:rPr>
                <w:rFonts w:ascii="Times New Roman" w:hAnsi="Times New Roman" w:eastAsia="宋体" w:cs="Times New Roman"/>
                <w:color w:val="auto"/>
                <w:kern w:val="2"/>
                <w:sz w:val="21"/>
                <w:szCs w:val="21"/>
              </w:rPr>
              <w:t>一致</w:t>
            </w:r>
          </w:p>
        </w:tc>
      </w:tr>
      <w:tr w14:paraId="4DD898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0" w:type="pct"/>
            <w:vMerge w:val="continue"/>
            <w:vAlign w:val="center"/>
          </w:tcPr>
          <w:p w14:paraId="5A70E1D4">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922" w:type="pct"/>
            <w:gridSpan w:val="3"/>
            <w:vAlign w:val="center"/>
          </w:tcPr>
          <w:p w14:paraId="7E7FB0D6">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重金属预处理系统</w:t>
            </w:r>
          </w:p>
        </w:tc>
        <w:tc>
          <w:tcPr>
            <w:tcW w:w="670" w:type="pct"/>
            <w:vAlign w:val="center"/>
          </w:tcPr>
          <w:p w14:paraId="49C68FB3">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含重金属污泥</w:t>
            </w:r>
          </w:p>
        </w:tc>
        <w:tc>
          <w:tcPr>
            <w:tcW w:w="1338" w:type="pct"/>
            <w:gridSpan w:val="2"/>
            <w:vMerge w:val="continue"/>
            <w:vAlign w:val="center"/>
          </w:tcPr>
          <w:p w14:paraId="6DE247D5">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1290" w:type="pct"/>
            <w:gridSpan w:val="2"/>
            <w:vMerge w:val="continue"/>
            <w:vAlign w:val="center"/>
          </w:tcPr>
          <w:p w14:paraId="19A3EAA9">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517" w:type="pct"/>
            <w:vAlign w:val="center"/>
          </w:tcPr>
          <w:p w14:paraId="23A235B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auto"/>
                <w:kern w:val="2"/>
                <w:sz w:val="21"/>
                <w:szCs w:val="21"/>
              </w:rPr>
            </w:pPr>
            <w:r>
              <w:rPr>
                <w:rFonts w:ascii="Times New Roman" w:hAnsi="Times New Roman" w:eastAsia="宋体" w:cs="Times New Roman"/>
                <w:color w:val="auto"/>
                <w:kern w:val="2"/>
                <w:sz w:val="21"/>
                <w:szCs w:val="21"/>
              </w:rPr>
              <w:t>一致</w:t>
            </w:r>
          </w:p>
        </w:tc>
      </w:tr>
      <w:tr w14:paraId="43EE1A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0" w:type="pct"/>
            <w:vMerge w:val="continue"/>
            <w:vAlign w:val="center"/>
          </w:tcPr>
          <w:p w14:paraId="00BE99ED">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922" w:type="pct"/>
            <w:gridSpan w:val="3"/>
            <w:vMerge w:val="restart"/>
            <w:vAlign w:val="center"/>
          </w:tcPr>
          <w:p w14:paraId="64FA8FC9">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含镍废水处理设施</w:t>
            </w:r>
          </w:p>
        </w:tc>
        <w:tc>
          <w:tcPr>
            <w:tcW w:w="670" w:type="pct"/>
            <w:vAlign w:val="center"/>
          </w:tcPr>
          <w:p w14:paraId="746AE738">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含镍废活性炭</w:t>
            </w:r>
          </w:p>
        </w:tc>
        <w:tc>
          <w:tcPr>
            <w:tcW w:w="1338" w:type="pct"/>
            <w:gridSpan w:val="2"/>
            <w:vMerge w:val="continue"/>
            <w:vAlign w:val="center"/>
          </w:tcPr>
          <w:p w14:paraId="4A2703EA">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1290" w:type="pct"/>
            <w:gridSpan w:val="2"/>
            <w:vMerge w:val="continue"/>
            <w:vAlign w:val="center"/>
          </w:tcPr>
          <w:p w14:paraId="36D43B8C">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517" w:type="pct"/>
            <w:vAlign w:val="center"/>
          </w:tcPr>
          <w:p w14:paraId="2F2B892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auto"/>
                <w:kern w:val="2"/>
                <w:sz w:val="21"/>
                <w:szCs w:val="21"/>
              </w:rPr>
            </w:pPr>
            <w:r>
              <w:rPr>
                <w:rFonts w:ascii="Times New Roman" w:hAnsi="Times New Roman" w:eastAsia="宋体" w:cs="Times New Roman"/>
                <w:color w:val="auto"/>
                <w:kern w:val="2"/>
                <w:sz w:val="21"/>
                <w:szCs w:val="21"/>
              </w:rPr>
              <w:t>一致</w:t>
            </w:r>
          </w:p>
        </w:tc>
      </w:tr>
      <w:tr w14:paraId="574B35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0" w:type="pct"/>
            <w:vMerge w:val="continue"/>
            <w:vAlign w:val="center"/>
          </w:tcPr>
          <w:p w14:paraId="002BE1BA">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922" w:type="pct"/>
            <w:gridSpan w:val="3"/>
            <w:vMerge w:val="continue"/>
            <w:vAlign w:val="center"/>
          </w:tcPr>
          <w:p w14:paraId="3C136EA2">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670" w:type="pct"/>
            <w:vAlign w:val="center"/>
          </w:tcPr>
          <w:p w14:paraId="7FA10417">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含镍废过滤膜</w:t>
            </w:r>
          </w:p>
        </w:tc>
        <w:tc>
          <w:tcPr>
            <w:tcW w:w="1338" w:type="pct"/>
            <w:gridSpan w:val="2"/>
            <w:vMerge w:val="continue"/>
            <w:vAlign w:val="center"/>
          </w:tcPr>
          <w:p w14:paraId="468B1F47">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1290" w:type="pct"/>
            <w:gridSpan w:val="2"/>
            <w:vMerge w:val="continue"/>
            <w:vAlign w:val="center"/>
          </w:tcPr>
          <w:p w14:paraId="06222621">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517" w:type="pct"/>
            <w:vAlign w:val="center"/>
          </w:tcPr>
          <w:p w14:paraId="5AE5BDF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auto"/>
                <w:kern w:val="2"/>
                <w:sz w:val="21"/>
                <w:szCs w:val="21"/>
              </w:rPr>
            </w:pPr>
            <w:r>
              <w:rPr>
                <w:rFonts w:ascii="Times New Roman" w:hAnsi="Times New Roman" w:eastAsia="宋体" w:cs="Times New Roman"/>
                <w:color w:val="auto"/>
                <w:kern w:val="2"/>
                <w:sz w:val="21"/>
                <w:szCs w:val="21"/>
              </w:rPr>
              <w:t>一致</w:t>
            </w:r>
          </w:p>
        </w:tc>
      </w:tr>
      <w:tr w14:paraId="589CED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0" w:type="pct"/>
            <w:vMerge w:val="continue"/>
            <w:vAlign w:val="center"/>
          </w:tcPr>
          <w:p w14:paraId="3B64795C">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922" w:type="pct"/>
            <w:gridSpan w:val="3"/>
            <w:vMerge w:val="continue"/>
            <w:vAlign w:val="center"/>
          </w:tcPr>
          <w:p w14:paraId="73A52DDE">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670" w:type="pct"/>
            <w:vAlign w:val="center"/>
          </w:tcPr>
          <w:p w14:paraId="7518D144">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含镍污泥</w:t>
            </w:r>
          </w:p>
        </w:tc>
        <w:tc>
          <w:tcPr>
            <w:tcW w:w="1338" w:type="pct"/>
            <w:gridSpan w:val="2"/>
            <w:vMerge w:val="continue"/>
            <w:vAlign w:val="center"/>
          </w:tcPr>
          <w:p w14:paraId="7A7ADD20">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1290" w:type="pct"/>
            <w:gridSpan w:val="2"/>
            <w:vMerge w:val="continue"/>
            <w:vAlign w:val="center"/>
          </w:tcPr>
          <w:p w14:paraId="11E5AAD1">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517" w:type="pct"/>
            <w:vAlign w:val="center"/>
          </w:tcPr>
          <w:p w14:paraId="431D9E7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auto"/>
                <w:kern w:val="2"/>
                <w:sz w:val="21"/>
                <w:szCs w:val="21"/>
              </w:rPr>
            </w:pPr>
            <w:r>
              <w:rPr>
                <w:rFonts w:ascii="Times New Roman" w:hAnsi="Times New Roman" w:eastAsia="宋体" w:cs="Times New Roman"/>
                <w:color w:val="auto"/>
                <w:kern w:val="2"/>
                <w:sz w:val="21"/>
                <w:szCs w:val="21"/>
              </w:rPr>
              <w:t>一致</w:t>
            </w:r>
          </w:p>
        </w:tc>
      </w:tr>
      <w:tr w14:paraId="2A9201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0" w:type="pct"/>
            <w:vMerge w:val="continue"/>
            <w:vAlign w:val="center"/>
          </w:tcPr>
          <w:p w14:paraId="08678C8F">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922" w:type="pct"/>
            <w:gridSpan w:val="3"/>
            <w:vMerge w:val="restart"/>
            <w:vAlign w:val="center"/>
          </w:tcPr>
          <w:p w14:paraId="3346E7C1">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含铬废水处理设施</w:t>
            </w:r>
          </w:p>
        </w:tc>
        <w:tc>
          <w:tcPr>
            <w:tcW w:w="670" w:type="pct"/>
            <w:vAlign w:val="center"/>
          </w:tcPr>
          <w:p w14:paraId="728A67FA">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含铬废活性炭</w:t>
            </w:r>
          </w:p>
        </w:tc>
        <w:tc>
          <w:tcPr>
            <w:tcW w:w="1338" w:type="pct"/>
            <w:gridSpan w:val="2"/>
            <w:vMerge w:val="continue"/>
            <w:vAlign w:val="center"/>
          </w:tcPr>
          <w:p w14:paraId="0731A568">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1290" w:type="pct"/>
            <w:gridSpan w:val="2"/>
            <w:vMerge w:val="continue"/>
            <w:vAlign w:val="center"/>
          </w:tcPr>
          <w:p w14:paraId="15A88266">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517" w:type="pct"/>
            <w:vAlign w:val="center"/>
          </w:tcPr>
          <w:p w14:paraId="6437018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auto"/>
                <w:kern w:val="2"/>
                <w:sz w:val="21"/>
                <w:szCs w:val="21"/>
              </w:rPr>
            </w:pPr>
            <w:r>
              <w:rPr>
                <w:rFonts w:ascii="Times New Roman" w:hAnsi="Times New Roman" w:eastAsia="宋体" w:cs="Times New Roman"/>
                <w:color w:val="auto"/>
                <w:kern w:val="2"/>
                <w:sz w:val="21"/>
                <w:szCs w:val="21"/>
              </w:rPr>
              <w:t>一致</w:t>
            </w:r>
          </w:p>
        </w:tc>
      </w:tr>
      <w:tr w14:paraId="4B3561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0" w:type="pct"/>
            <w:vMerge w:val="continue"/>
            <w:vAlign w:val="center"/>
          </w:tcPr>
          <w:p w14:paraId="0F5ED837">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922" w:type="pct"/>
            <w:gridSpan w:val="3"/>
            <w:vMerge w:val="continue"/>
            <w:vAlign w:val="center"/>
          </w:tcPr>
          <w:p w14:paraId="24DCABB9">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670" w:type="pct"/>
            <w:vAlign w:val="center"/>
          </w:tcPr>
          <w:p w14:paraId="0B8A0319">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含铬废过滤膜</w:t>
            </w:r>
          </w:p>
        </w:tc>
        <w:tc>
          <w:tcPr>
            <w:tcW w:w="1338" w:type="pct"/>
            <w:gridSpan w:val="2"/>
            <w:vMerge w:val="continue"/>
            <w:vAlign w:val="center"/>
          </w:tcPr>
          <w:p w14:paraId="4CE52ABB">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1290" w:type="pct"/>
            <w:gridSpan w:val="2"/>
            <w:vMerge w:val="continue"/>
            <w:vAlign w:val="center"/>
          </w:tcPr>
          <w:p w14:paraId="65D5147C">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517" w:type="pct"/>
            <w:vAlign w:val="center"/>
          </w:tcPr>
          <w:p w14:paraId="5221283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auto"/>
                <w:kern w:val="2"/>
                <w:sz w:val="21"/>
                <w:szCs w:val="21"/>
              </w:rPr>
            </w:pPr>
            <w:r>
              <w:rPr>
                <w:rFonts w:ascii="Times New Roman" w:hAnsi="Times New Roman" w:eastAsia="宋体" w:cs="Times New Roman"/>
                <w:color w:val="auto"/>
                <w:kern w:val="2"/>
                <w:sz w:val="21"/>
                <w:szCs w:val="21"/>
              </w:rPr>
              <w:t>一致</w:t>
            </w:r>
          </w:p>
        </w:tc>
      </w:tr>
      <w:tr w14:paraId="552DD4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0" w:type="pct"/>
            <w:vMerge w:val="continue"/>
            <w:vAlign w:val="center"/>
          </w:tcPr>
          <w:p w14:paraId="3747199E">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922" w:type="pct"/>
            <w:gridSpan w:val="3"/>
            <w:vMerge w:val="continue"/>
            <w:vAlign w:val="center"/>
          </w:tcPr>
          <w:p w14:paraId="0914A620">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670" w:type="pct"/>
            <w:vAlign w:val="center"/>
          </w:tcPr>
          <w:p w14:paraId="50C98C5D">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含铬污泥</w:t>
            </w:r>
          </w:p>
        </w:tc>
        <w:tc>
          <w:tcPr>
            <w:tcW w:w="1338" w:type="pct"/>
            <w:gridSpan w:val="2"/>
            <w:vMerge w:val="continue"/>
            <w:vAlign w:val="center"/>
          </w:tcPr>
          <w:p w14:paraId="1E24FFB2">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1290" w:type="pct"/>
            <w:gridSpan w:val="2"/>
            <w:vMerge w:val="continue"/>
            <w:vAlign w:val="center"/>
          </w:tcPr>
          <w:p w14:paraId="31253307">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517" w:type="pct"/>
            <w:vAlign w:val="center"/>
          </w:tcPr>
          <w:p w14:paraId="184C7DB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auto"/>
                <w:kern w:val="2"/>
                <w:sz w:val="21"/>
                <w:szCs w:val="21"/>
              </w:rPr>
            </w:pPr>
            <w:r>
              <w:rPr>
                <w:rFonts w:ascii="Times New Roman" w:hAnsi="Times New Roman" w:eastAsia="宋体" w:cs="Times New Roman"/>
                <w:color w:val="auto"/>
                <w:kern w:val="2"/>
                <w:sz w:val="21"/>
                <w:szCs w:val="21"/>
              </w:rPr>
              <w:t>一致</w:t>
            </w:r>
          </w:p>
        </w:tc>
      </w:tr>
      <w:tr w14:paraId="29AB7C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0" w:type="pct"/>
            <w:vMerge w:val="continue"/>
            <w:vAlign w:val="center"/>
          </w:tcPr>
          <w:p w14:paraId="0D0B08DD">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922" w:type="pct"/>
            <w:gridSpan w:val="3"/>
            <w:vMerge w:val="restart"/>
            <w:vAlign w:val="center"/>
          </w:tcPr>
          <w:p w14:paraId="2F2BE2A7">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含锌废水处理设施</w:t>
            </w:r>
          </w:p>
        </w:tc>
        <w:tc>
          <w:tcPr>
            <w:tcW w:w="670" w:type="pct"/>
            <w:vAlign w:val="center"/>
          </w:tcPr>
          <w:p w14:paraId="16238FD9">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含锌废活性炭</w:t>
            </w:r>
          </w:p>
        </w:tc>
        <w:tc>
          <w:tcPr>
            <w:tcW w:w="1338" w:type="pct"/>
            <w:gridSpan w:val="2"/>
            <w:vMerge w:val="continue"/>
            <w:vAlign w:val="center"/>
          </w:tcPr>
          <w:p w14:paraId="24276898">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1290" w:type="pct"/>
            <w:gridSpan w:val="2"/>
            <w:vMerge w:val="continue"/>
            <w:vAlign w:val="center"/>
          </w:tcPr>
          <w:p w14:paraId="0292643E">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517" w:type="pct"/>
            <w:vAlign w:val="center"/>
          </w:tcPr>
          <w:p w14:paraId="1E43052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auto"/>
                <w:kern w:val="2"/>
                <w:sz w:val="21"/>
                <w:szCs w:val="21"/>
              </w:rPr>
            </w:pPr>
            <w:r>
              <w:rPr>
                <w:rFonts w:ascii="Times New Roman" w:hAnsi="Times New Roman" w:eastAsia="宋体" w:cs="Times New Roman"/>
                <w:color w:val="auto"/>
                <w:kern w:val="2"/>
                <w:sz w:val="21"/>
                <w:szCs w:val="21"/>
              </w:rPr>
              <w:t>一致</w:t>
            </w:r>
          </w:p>
        </w:tc>
      </w:tr>
      <w:tr w14:paraId="34A805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0" w:type="pct"/>
            <w:vMerge w:val="continue"/>
            <w:vAlign w:val="center"/>
          </w:tcPr>
          <w:p w14:paraId="73AE60C8">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922" w:type="pct"/>
            <w:gridSpan w:val="3"/>
            <w:vMerge w:val="continue"/>
            <w:vAlign w:val="center"/>
          </w:tcPr>
          <w:p w14:paraId="24008820">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670" w:type="pct"/>
            <w:vAlign w:val="center"/>
          </w:tcPr>
          <w:p w14:paraId="73F25EF6">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含锌废过滤膜</w:t>
            </w:r>
          </w:p>
        </w:tc>
        <w:tc>
          <w:tcPr>
            <w:tcW w:w="1338" w:type="pct"/>
            <w:gridSpan w:val="2"/>
            <w:vMerge w:val="continue"/>
            <w:vAlign w:val="center"/>
          </w:tcPr>
          <w:p w14:paraId="0D99F88A">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1290" w:type="pct"/>
            <w:gridSpan w:val="2"/>
            <w:vMerge w:val="continue"/>
            <w:vAlign w:val="center"/>
          </w:tcPr>
          <w:p w14:paraId="65550EA9">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517" w:type="pct"/>
            <w:vAlign w:val="center"/>
          </w:tcPr>
          <w:p w14:paraId="46690A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auto"/>
                <w:kern w:val="2"/>
                <w:sz w:val="21"/>
                <w:szCs w:val="21"/>
              </w:rPr>
            </w:pPr>
            <w:r>
              <w:rPr>
                <w:rFonts w:ascii="Times New Roman" w:hAnsi="Times New Roman" w:eastAsia="宋体" w:cs="Times New Roman"/>
                <w:color w:val="auto"/>
                <w:kern w:val="2"/>
                <w:sz w:val="21"/>
                <w:szCs w:val="21"/>
              </w:rPr>
              <w:t>一致</w:t>
            </w:r>
          </w:p>
        </w:tc>
      </w:tr>
      <w:tr w14:paraId="2134BE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0" w:type="pct"/>
            <w:vMerge w:val="continue"/>
            <w:vAlign w:val="center"/>
          </w:tcPr>
          <w:p w14:paraId="27FEBD08">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922" w:type="pct"/>
            <w:gridSpan w:val="3"/>
            <w:vMerge w:val="continue"/>
            <w:vAlign w:val="center"/>
          </w:tcPr>
          <w:p w14:paraId="20DD4E0D">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670" w:type="pct"/>
            <w:vAlign w:val="center"/>
          </w:tcPr>
          <w:p w14:paraId="649F0FD7">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含锌污泥</w:t>
            </w:r>
          </w:p>
        </w:tc>
        <w:tc>
          <w:tcPr>
            <w:tcW w:w="1338" w:type="pct"/>
            <w:gridSpan w:val="2"/>
            <w:vMerge w:val="continue"/>
            <w:vAlign w:val="center"/>
          </w:tcPr>
          <w:p w14:paraId="00439BDB">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1290" w:type="pct"/>
            <w:gridSpan w:val="2"/>
            <w:vMerge w:val="continue"/>
            <w:vAlign w:val="center"/>
          </w:tcPr>
          <w:p w14:paraId="0407851A">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517" w:type="pct"/>
            <w:vAlign w:val="center"/>
          </w:tcPr>
          <w:p w14:paraId="262DF4A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auto"/>
                <w:kern w:val="2"/>
                <w:sz w:val="21"/>
                <w:szCs w:val="21"/>
              </w:rPr>
            </w:pPr>
            <w:r>
              <w:rPr>
                <w:rFonts w:ascii="Times New Roman" w:hAnsi="Times New Roman" w:eastAsia="宋体" w:cs="Times New Roman"/>
                <w:color w:val="auto"/>
                <w:kern w:val="2"/>
                <w:sz w:val="21"/>
                <w:szCs w:val="21"/>
              </w:rPr>
              <w:t>一致</w:t>
            </w:r>
          </w:p>
        </w:tc>
      </w:tr>
      <w:tr w14:paraId="4C6B21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0" w:type="pct"/>
            <w:vMerge w:val="continue"/>
            <w:vAlign w:val="center"/>
          </w:tcPr>
          <w:p w14:paraId="6E1D1EC8">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922" w:type="pct"/>
            <w:gridSpan w:val="3"/>
            <w:vMerge w:val="restart"/>
            <w:vAlign w:val="center"/>
          </w:tcPr>
          <w:p w14:paraId="7EABCCA0">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含高COD废水处理设施</w:t>
            </w:r>
          </w:p>
        </w:tc>
        <w:tc>
          <w:tcPr>
            <w:tcW w:w="670" w:type="pct"/>
            <w:vAlign w:val="center"/>
          </w:tcPr>
          <w:p w14:paraId="59DA598F">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含铬镍废活性炭</w:t>
            </w:r>
          </w:p>
        </w:tc>
        <w:tc>
          <w:tcPr>
            <w:tcW w:w="1338" w:type="pct"/>
            <w:gridSpan w:val="2"/>
            <w:vMerge w:val="continue"/>
            <w:vAlign w:val="center"/>
          </w:tcPr>
          <w:p w14:paraId="4C2E8687">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1290" w:type="pct"/>
            <w:gridSpan w:val="2"/>
            <w:vMerge w:val="continue"/>
            <w:vAlign w:val="center"/>
          </w:tcPr>
          <w:p w14:paraId="5718B201">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517" w:type="pct"/>
            <w:vAlign w:val="center"/>
          </w:tcPr>
          <w:p w14:paraId="2F721B1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auto"/>
                <w:kern w:val="2"/>
                <w:sz w:val="21"/>
                <w:szCs w:val="21"/>
              </w:rPr>
            </w:pPr>
            <w:r>
              <w:rPr>
                <w:rFonts w:ascii="Times New Roman" w:hAnsi="Times New Roman" w:eastAsia="宋体" w:cs="Times New Roman"/>
                <w:color w:val="auto"/>
                <w:kern w:val="2"/>
                <w:sz w:val="21"/>
                <w:szCs w:val="21"/>
              </w:rPr>
              <w:t>一致</w:t>
            </w:r>
          </w:p>
        </w:tc>
      </w:tr>
      <w:tr w14:paraId="05B07B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0" w:type="pct"/>
            <w:vMerge w:val="continue"/>
            <w:vAlign w:val="center"/>
          </w:tcPr>
          <w:p w14:paraId="1F329B19">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922" w:type="pct"/>
            <w:gridSpan w:val="3"/>
            <w:vMerge w:val="continue"/>
            <w:vAlign w:val="center"/>
          </w:tcPr>
          <w:p w14:paraId="7AF31823">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670" w:type="pct"/>
            <w:vAlign w:val="center"/>
          </w:tcPr>
          <w:p w14:paraId="4B8D95FE">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含铬镍废过滤膜</w:t>
            </w:r>
          </w:p>
        </w:tc>
        <w:tc>
          <w:tcPr>
            <w:tcW w:w="1338" w:type="pct"/>
            <w:gridSpan w:val="2"/>
            <w:vMerge w:val="continue"/>
            <w:vAlign w:val="center"/>
          </w:tcPr>
          <w:p w14:paraId="2DB9AE8C">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1290" w:type="pct"/>
            <w:gridSpan w:val="2"/>
            <w:vMerge w:val="continue"/>
            <w:vAlign w:val="center"/>
          </w:tcPr>
          <w:p w14:paraId="36331AB8">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517" w:type="pct"/>
            <w:vAlign w:val="center"/>
          </w:tcPr>
          <w:p w14:paraId="4B0CE3B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auto"/>
                <w:kern w:val="2"/>
                <w:sz w:val="21"/>
                <w:szCs w:val="21"/>
              </w:rPr>
            </w:pPr>
            <w:r>
              <w:rPr>
                <w:rFonts w:ascii="Times New Roman" w:hAnsi="Times New Roman" w:eastAsia="宋体" w:cs="Times New Roman"/>
                <w:color w:val="auto"/>
                <w:kern w:val="2"/>
                <w:sz w:val="21"/>
                <w:szCs w:val="21"/>
              </w:rPr>
              <w:t>一致</w:t>
            </w:r>
          </w:p>
        </w:tc>
      </w:tr>
      <w:tr w14:paraId="543702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0" w:type="pct"/>
            <w:vMerge w:val="continue"/>
            <w:vAlign w:val="center"/>
          </w:tcPr>
          <w:p w14:paraId="228C0F41">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922" w:type="pct"/>
            <w:gridSpan w:val="3"/>
            <w:vMerge w:val="continue"/>
            <w:vAlign w:val="center"/>
          </w:tcPr>
          <w:p w14:paraId="3A5103AC">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670" w:type="pct"/>
            <w:vAlign w:val="center"/>
          </w:tcPr>
          <w:p w14:paraId="24544CFF">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含铬镍污泥</w:t>
            </w:r>
          </w:p>
        </w:tc>
        <w:tc>
          <w:tcPr>
            <w:tcW w:w="1338" w:type="pct"/>
            <w:gridSpan w:val="2"/>
            <w:vMerge w:val="continue"/>
            <w:vAlign w:val="center"/>
          </w:tcPr>
          <w:p w14:paraId="42026DAB">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1290" w:type="pct"/>
            <w:gridSpan w:val="2"/>
            <w:vMerge w:val="continue"/>
            <w:vAlign w:val="center"/>
          </w:tcPr>
          <w:p w14:paraId="4DD17E52">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517" w:type="pct"/>
            <w:vAlign w:val="center"/>
          </w:tcPr>
          <w:p w14:paraId="28F3BE3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auto"/>
                <w:kern w:val="2"/>
                <w:sz w:val="21"/>
                <w:szCs w:val="21"/>
              </w:rPr>
            </w:pPr>
            <w:r>
              <w:rPr>
                <w:rFonts w:ascii="Times New Roman" w:hAnsi="Times New Roman" w:eastAsia="宋体" w:cs="Times New Roman"/>
                <w:color w:val="auto"/>
                <w:kern w:val="2"/>
                <w:sz w:val="21"/>
                <w:szCs w:val="21"/>
              </w:rPr>
              <w:t>一致</w:t>
            </w:r>
          </w:p>
        </w:tc>
      </w:tr>
      <w:tr w14:paraId="4EBE92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0" w:type="pct"/>
            <w:vMerge w:val="continue"/>
            <w:vAlign w:val="center"/>
          </w:tcPr>
          <w:p w14:paraId="79E83732">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922" w:type="pct"/>
            <w:gridSpan w:val="3"/>
            <w:vAlign w:val="center"/>
          </w:tcPr>
          <w:p w14:paraId="4C2F2D58">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蒸发</w:t>
            </w:r>
          </w:p>
        </w:tc>
        <w:tc>
          <w:tcPr>
            <w:tcW w:w="670" w:type="pct"/>
            <w:vAlign w:val="center"/>
          </w:tcPr>
          <w:p w14:paraId="70AADB88">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蒸发浓液</w:t>
            </w:r>
          </w:p>
        </w:tc>
        <w:tc>
          <w:tcPr>
            <w:tcW w:w="1338" w:type="pct"/>
            <w:gridSpan w:val="2"/>
            <w:vMerge w:val="continue"/>
            <w:vAlign w:val="center"/>
          </w:tcPr>
          <w:p w14:paraId="7D480A51">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1290" w:type="pct"/>
            <w:gridSpan w:val="2"/>
            <w:vMerge w:val="continue"/>
            <w:vAlign w:val="center"/>
          </w:tcPr>
          <w:p w14:paraId="0734D677">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p>
        </w:tc>
        <w:tc>
          <w:tcPr>
            <w:tcW w:w="517" w:type="pct"/>
            <w:vAlign w:val="center"/>
          </w:tcPr>
          <w:p w14:paraId="2D1BA3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auto"/>
                <w:kern w:val="2"/>
                <w:sz w:val="21"/>
                <w:szCs w:val="21"/>
              </w:rPr>
            </w:pPr>
            <w:r>
              <w:rPr>
                <w:rFonts w:ascii="Times New Roman" w:hAnsi="Times New Roman" w:eastAsia="宋体" w:cs="Times New Roman"/>
                <w:color w:val="auto"/>
                <w:kern w:val="2"/>
                <w:sz w:val="21"/>
                <w:szCs w:val="21"/>
              </w:rPr>
              <w:t>一致</w:t>
            </w:r>
          </w:p>
        </w:tc>
      </w:tr>
      <w:bookmarkEnd w:id="25"/>
      <w:tr w14:paraId="3EC0E1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0" w:type="pct"/>
            <w:vAlign w:val="center"/>
          </w:tcPr>
          <w:p w14:paraId="3DBB203B">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噪声</w:t>
            </w:r>
          </w:p>
        </w:tc>
        <w:tc>
          <w:tcPr>
            <w:tcW w:w="922" w:type="pct"/>
            <w:gridSpan w:val="3"/>
            <w:vAlign w:val="center"/>
          </w:tcPr>
          <w:p w14:paraId="78D0D2EB">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折弯机、车床、铣床、风机等</w:t>
            </w:r>
          </w:p>
        </w:tc>
        <w:tc>
          <w:tcPr>
            <w:tcW w:w="670" w:type="pct"/>
            <w:vAlign w:val="center"/>
          </w:tcPr>
          <w:p w14:paraId="1939FD11">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机械噪声</w:t>
            </w:r>
          </w:p>
        </w:tc>
        <w:tc>
          <w:tcPr>
            <w:tcW w:w="1338" w:type="pct"/>
            <w:gridSpan w:val="2"/>
            <w:vAlign w:val="center"/>
          </w:tcPr>
          <w:p w14:paraId="1479C80C">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减振、隔声</w:t>
            </w:r>
          </w:p>
        </w:tc>
        <w:tc>
          <w:tcPr>
            <w:tcW w:w="1290" w:type="pct"/>
            <w:gridSpan w:val="2"/>
            <w:vAlign w:val="center"/>
          </w:tcPr>
          <w:p w14:paraId="7BADB59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auto"/>
                <w:kern w:val="2"/>
                <w:sz w:val="21"/>
                <w:szCs w:val="21"/>
              </w:rPr>
            </w:pPr>
            <w:r>
              <w:rPr>
                <w:rFonts w:ascii="Times New Roman" w:hAnsi="Times New Roman" w:eastAsia="宋体" w:cs="Times New Roman"/>
                <w:color w:val="auto"/>
                <w:kern w:val="2"/>
                <w:sz w:val="21"/>
                <w:szCs w:val="21"/>
              </w:rPr>
              <w:t>减振、隔声</w:t>
            </w:r>
          </w:p>
        </w:tc>
        <w:tc>
          <w:tcPr>
            <w:tcW w:w="517" w:type="pct"/>
            <w:vAlign w:val="center"/>
          </w:tcPr>
          <w:p w14:paraId="5D453132">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t>一致</w:t>
            </w:r>
          </w:p>
        </w:tc>
      </w:tr>
      <w:bookmarkEnd w:id="15"/>
    </w:tbl>
    <w:p w14:paraId="48DC90D5">
      <w:pPr>
        <w:widowControl w:val="0"/>
        <w:adjustRightInd/>
        <w:snapToGrid/>
        <w:spacing w:line="520" w:lineRule="exact"/>
        <w:ind w:firstLine="480" w:firstLineChars="200"/>
        <w:jc w:val="both"/>
        <w:rPr>
          <w:rFonts w:hint="eastAsia" w:ascii="Times New Roman" w:hAnsi="Times New Roman" w:eastAsia="宋体" w:cs="Times New Roman"/>
          <w:color w:val="000000"/>
          <w:kern w:val="2"/>
          <w:sz w:val="24"/>
          <w:szCs w:val="24"/>
        </w:rPr>
        <w:sectPr>
          <w:pgSz w:w="16838" w:h="11906" w:orient="landscape"/>
          <w:pgMar w:top="1417" w:right="1417" w:bottom="1417" w:left="1417" w:header="851" w:footer="992" w:gutter="0"/>
          <w:cols w:space="425" w:num="1"/>
          <w:docGrid w:type="lines" w:linePitch="326" w:charSpace="0"/>
        </w:sectPr>
      </w:pPr>
    </w:p>
    <w:p w14:paraId="273D1601">
      <w:pPr>
        <w:keepNext w:val="0"/>
        <w:keepLines w:val="0"/>
        <w:pageBreakBefore w:val="0"/>
        <w:widowControl w:val="0"/>
        <w:kinsoku/>
        <w:wordWrap/>
        <w:overflowPunct/>
        <w:topLinePunct w:val="0"/>
        <w:autoSpaceDE/>
        <w:autoSpaceDN/>
        <w:bidi w:val="0"/>
        <w:adjustRightInd/>
        <w:snapToGrid w:val="0"/>
        <w:spacing w:line="520" w:lineRule="atLeast"/>
        <w:ind w:firstLine="480" w:firstLineChars="200"/>
        <w:jc w:val="both"/>
        <w:textAlignment w:val="auto"/>
        <w:rPr>
          <w:rFonts w:hint="eastAsia" w:ascii="Times New Roman" w:hAnsi="Times New Roman" w:eastAsia="宋体" w:cs="Times New Roman"/>
          <w:color w:val="000000"/>
          <w:kern w:val="2"/>
          <w:sz w:val="24"/>
          <w:szCs w:val="24"/>
        </w:rPr>
      </w:pPr>
      <w:r>
        <w:rPr>
          <w:rFonts w:hint="eastAsia" w:ascii="Times New Roman" w:hAnsi="Times New Roman" w:eastAsia="宋体" w:cs="Times New Roman"/>
          <w:color w:val="000000"/>
          <w:kern w:val="2"/>
          <w:sz w:val="24"/>
          <w:szCs w:val="24"/>
        </w:rPr>
        <w:t>经核对，本次一期项目实际建设的生产线产污环节和原环评的基本一致，污染物治理措施一致。</w:t>
      </w:r>
      <w:r>
        <w:rPr>
          <w:rFonts w:hint="eastAsia" w:ascii="Times New Roman" w:hAnsi="Times New Roman" w:eastAsia="宋体" w:cs="Times New Roman"/>
          <w:color w:val="FF0000"/>
          <w:kern w:val="2"/>
          <w:sz w:val="24"/>
          <w:szCs w:val="24"/>
        </w:rPr>
        <w:t>不一致</w:t>
      </w:r>
      <w:r>
        <w:rPr>
          <w:rFonts w:hint="eastAsia" w:cs="Times New Roman"/>
          <w:color w:val="FF0000"/>
          <w:kern w:val="2"/>
          <w:sz w:val="24"/>
          <w:szCs w:val="24"/>
          <w:lang w:val="en-US" w:eastAsia="zh-CN"/>
        </w:rPr>
        <w:t>的内容</w:t>
      </w:r>
      <w:r>
        <w:rPr>
          <w:rFonts w:hint="eastAsia" w:ascii="Times New Roman" w:hAnsi="Times New Roman" w:eastAsia="宋体" w:cs="Times New Roman"/>
          <w:color w:val="000000"/>
          <w:kern w:val="2"/>
          <w:sz w:val="24"/>
          <w:szCs w:val="24"/>
        </w:rPr>
        <w:t>如下：</w:t>
      </w:r>
    </w:p>
    <w:p w14:paraId="0C617538">
      <w:pPr>
        <w:keepNext w:val="0"/>
        <w:keepLines w:val="0"/>
        <w:pageBreakBefore w:val="0"/>
        <w:widowControl w:val="0"/>
        <w:kinsoku/>
        <w:wordWrap/>
        <w:overflowPunct/>
        <w:topLinePunct w:val="0"/>
        <w:autoSpaceDE/>
        <w:autoSpaceDN/>
        <w:bidi w:val="0"/>
        <w:adjustRightInd/>
        <w:snapToGrid w:val="0"/>
        <w:spacing w:line="520" w:lineRule="atLeast"/>
        <w:ind w:firstLine="480" w:firstLineChars="200"/>
        <w:jc w:val="both"/>
        <w:textAlignment w:val="auto"/>
        <w:rPr>
          <w:rFonts w:hint="eastAsia" w:ascii="Times New Roman" w:hAnsi="Times New Roman" w:eastAsia="宋体" w:cs="Times New Roman"/>
          <w:color w:val="000000"/>
          <w:kern w:val="2"/>
          <w:sz w:val="24"/>
          <w:szCs w:val="24"/>
        </w:rPr>
      </w:pPr>
      <w:r>
        <w:rPr>
          <w:rFonts w:ascii="Times New Roman" w:hAnsi="Times New Roman" w:eastAsia="宋体" w:cs="Times New Roman"/>
          <w:color w:val="000000"/>
          <w:kern w:val="2"/>
          <w:sz w:val="24"/>
          <w:szCs w:val="24"/>
        </w:rPr>
        <w:t>①</w:t>
      </w:r>
      <w:r>
        <w:rPr>
          <w:rFonts w:hint="eastAsia" w:ascii="Times New Roman" w:hAnsi="Times New Roman" w:eastAsia="宋体" w:cs="Times New Roman"/>
          <w:color w:val="000000"/>
          <w:kern w:val="2"/>
          <w:sz w:val="24"/>
          <w:szCs w:val="24"/>
        </w:rPr>
        <w:t>原环评批复中1#钢带镀镍线工序中的活化和槽液调配产生的酸雾经新建的一套“两级酸雾吸收塔1#+15m排气筒DA003”排放；实际建设中，活化和槽液调配产生的酸雾依托现有钢帽生产线一套“两级酸雾吸收塔1#+15m排气筒”排放，</w:t>
      </w:r>
      <w:r>
        <w:rPr>
          <w:rFonts w:hint="eastAsia" w:ascii="Times New Roman" w:hAnsi="Times New Roman" w:eastAsia="宋体" w:cs="Times New Roman"/>
          <w:color w:val="000000"/>
          <w:kern w:val="2"/>
          <w:sz w:val="24"/>
          <w:szCs w:val="24"/>
          <w:lang w:val="en-US" w:eastAsia="zh-CN"/>
        </w:rPr>
        <w:t>与环评批复</w:t>
      </w:r>
      <w:r>
        <w:rPr>
          <w:rFonts w:hint="eastAsia" w:ascii="Times New Roman" w:hAnsi="Times New Roman" w:eastAsia="宋体" w:cs="Times New Roman"/>
          <w:color w:val="000000"/>
          <w:kern w:val="2"/>
          <w:sz w:val="24"/>
          <w:szCs w:val="24"/>
        </w:rPr>
        <w:t>一致，由新建改为依托现有</w:t>
      </w:r>
      <w:r>
        <w:rPr>
          <w:rFonts w:hint="eastAsia" w:ascii="Times New Roman" w:hAnsi="Times New Roman" w:eastAsia="宋体" w:cs="Times New Roman"/>
          <w:color w:val="000000"/>
          <w:kern w:val="2"/>
          <w:sz w:val="24"/>
          <w:szCs w:val="24"/>
          <w:lang w:eastAsia="zh-CN"/>
        </w:rPr>
        <w:t>，</w:t>
      </w:r>
      <w:r>
        <w:rPr>
          <w:rFonts w:hint="eastAsia" w:ascii="Times New Roman" w:hAnsi="Times New Roman" w:eastAsia="宋体" w:cs="Times New Roman"/>
          <w:color w:val="000000"/>
          <w:kern w:val="2"/>
          <w:sz w:val="24"/>
          <w:szCs w:val="24"/>
        </w:rPr>
        <w:t>现有处理能力能满足要求。</w:t>
      </w:r>
    </w:p>
    <w:p w14:paraId="69824563">
      <w:pPr>
        <w:keepNext w:val="0"/>
        <w:keepLines w:val="0"/>
        <w:pageBreakBefore w:val="0"/>
        <w:widowControl w:val="0"/>
        <w:kinsoku/>
        <w:wordWrap/>
        <w:overflowPunct/>
        <w:topLinePunct w:val="0"/>
        <w:autoSpaceDE/>
        <w:autoSpaceDN/>
        <w:bidi w:val="0"/>
        <w:adjustRightInd/>
        <w:snapToGrid w:val="0"/>
        <w:spacing w:line="520" w:lineRule="atLeast"/>
        <w:ind w:firstLine="480" w:firstLineChars="200"/>
        <w:jc w:val="both"/>
        <w:textAlignment w:val="auto"/>
        <w:rPr>
          <w:rFonts w:hint="eastAsia" w:ascii="Times New Roman" w:hAnsi="Times New Roman" w:eastAsia="宋体" w:cs="Times New Roman"/>
          <w:color w:val="000000"/>
          <w:kern w:val="2"/>
          <w:sz w:val="24"/>
          <w:szCs w:val="24"/>
        </w:rPr>
      </w:pPr>
      <w:r>
        <w:rPr>
          <w:rFonts w:hint="eastAsia" w:ascii="Times New Roman" w:hAnsi="Times New Roman" w:eastAsia="宋体" w:cs="Times New Roman"/>
          <w:color w:val="000000"/>
          <w:kern w:val="2"/>
          <w:sz w:val="24"/>
          <w:szCs w:val="24"/>
        </w:rPr>
        <w:t>②原环评批复中，镀锌线、退锌线和酸雾吸收塔的含铬废水经一套新建含铬废水处理设施（调节+还原+混凝沉淀+砂滤+碳滤+超滤+反渗透+蒸发）处理后回用；实际建设中，镀锌线、退锌线和酸雾吸收塔的含铬废水依托现有含铬废水处理设施（调节+还原+混凝沉淀+砂滤+碳滤+超滤+反渗透+蒸发）处理后回用。废水处理工艺与环评批复一致</w:t>
      </w:r>
      <w:r>
        <w:rPr>
          <w:rFonts w:hint="eastAsia" w:ascii="Times New Roman" w:hAnsi="Times New Roman" w:eastAsia="宋体" w:cs="Times New Roman"/>
          <w:color w:val="000000"/>
          <w:kern w:val="2"/>
          <w:sz w:val="24"/>
          <w:szCs w:val="24"/>
          <w:lang w:eastAsia="zh-CN"/>
        </w:rPr>
        <w:t>，</w:t>
      </w:r>
      <w:r>
        <w:rPr>
          <w:rFonts w:hint="eastAsia" w:ascii="Times New Roman" w:hAnsi="Times New Roman" w:eastAsia="宋体" w:cs="Times New Roman"/>
          <w:color w:val="000000"/>
          <w:kern w:val="2"/>
          <w:sz w:val="24"/>
          <w:szCs w:val="24"/>
        </w:rPr>
        <w:t>由新建改为依托现有。</w:t>
      </w:r>
    </w:p>
    <w:p w14:paraId="0DC8AC3F">
      <w:pPr>
        <w:keepNext w:val="0"/>
        <w:keepLines w:val="0"/>
        <w:pageBreakBefore w:val="0"/>
        <w:widowControl w:val="0"/>
        <w:kinsoku/>
        <w:wordWrap/>
        <w:overflowPunct/>
        <w:topLinePunct w:val="0"/>
        <w:autoSpaceDE/>
        <w:autoSpaceDN/>
        <w:bidi w:val="0"/>
        <w:adjustRightInd/>
        <w:snapToGrid w:val="0"/>
        <w:spacing w:line="520" w:lineRule="atLeast"/>
        <w:ind w:firstLine="480" w:firstLineChars="200"/>
        <w:jc w:val="both"/>
        <w:textAlignment w:val="auto"/>
        <w:rPr>
          <w:rFonts w:hint="eastAsia" w:ascii="Times New Roman" w:hAnsi="Times New Roman" w:eastAsia="宋体" w:cs="Times New Roman"/>
          <w:color w:val="FF0000"/>
          <w:kern w:val="2"/>
          <w:sz w:val="24"/>
          <w:szCs w:val="24"/>
          <w:lang w:eastAsia="zh-CN"/>
        </w:rPr>
      </w:pPr>
      <w:r>
        <w:rPr>
          <w:rFonts w:hint="eastAsia" w:cs="Times New Roman"/>
          <w:color w:val="FF0000"/>
          <w:kern w:val="2"/>
          <w:sz w:val="24"/>
          <w:szCs w:val="24"/>
          <w:lang w:val="en-US" w:eastAsia="zh-CN"/>
        </w:rPr>
        <w:t>现有工程含铬废水排放量为1.26m</w:t>
      </w:r>
      <w:r>
        <w:rPr>
          <w:rFonts w:hint="eastAsia" w:cs="Times New Roman"/>
          <w:color w:val="FF0000"/>
          <w:kern w:val="2"/>
          <w:sz w:val="24"/>
          <w:szCs w:val="24"/>
          <w:vertAlign w:val="superscript"/>
          <w:lang w:val="en-US" w:eastAsia="zh-CN"/>
        </w:rPr>
        <w:t>3</w:t>
      </w:r>
      <w:r>
        <w:rPr>
          <w:rFonts w:hint="eastAsia" w:cs="Times New Roman"/>
          <w:color w:val="FF0000"/>
          <w:kern w:val="2"/>
          <w:sz w:val="24"/>
          <w:szCs w:val="24"/>
          <w:lang w:val="en-US" w:eastAsia="zh-CN"/>
        </w:rPr>
        <w:t>/h，本次一期项目含铬废水排放量为0.75m</w:t>
      </w:r>
      <w:r>
        <w:rPr>
          <w:rFonts w:hint="eastAsia" w:cs="Times New Roman"/>
          <w:color w:val="FF0000"/>
          <w:kern w:val="2"/>
          <w:sz w:val="24"/>
          <w:szCs w:val="24"/>
          <w:vertAlign w:val="superscript"/>
          <w:lang w:val="en-US" w:eastAsia="zh-CN"/>
        </w:rPr>
        <w:t>3</w:t>
      </w:r>
      <w:r>
        <w:rPr>
          <w:rFonts w:hint="eastAsia" w:cs="Times New Roman"/>
          <w:color w:val="FF0000"/>
          <w:kern w:val="2"/>
          <w:sz w:val="24"/>
          <w:szCs w:val="24"/>
          <w:lang w:val="en-US" w:eastAsia="zh-CN"/>
        </w:rPr>
        <w:t>/h，</w:t>
      </w:r>
      <w:r>
        <w:rPr>
          <w:rFonts w:hint="eastAsia" w:ascii="Times New Roman" w:hAnsi="Times New Roman" w:eastAsia="宋体" w:cs="Times New Roman"/>
          <w:color w:val="FF0000"/>
          <w:kern w:val="2"/>
          <w:sz w:val="24"/>
          <w:szCs w:val="24"/>
        </w:rPr>
        <w:t>现有含铬废水处理设施处理能力</w:t>
      </w:r>
      <w:r>
        <w:rPr>
          <w:rFonts w:hint="eastAsia" w:cs="Times New Roman"/>
          <w:color w:val="FF0000"/>
          <w:kern w:val="2"/>
          <w:sz w:val="24"/>
          <w:szCs w:val="24"/>
          <w:lang w:val="en-US" w:eastAsia="zh-CN"/>
        </w:rPr>
        <w:t>为2.1m</w:t>
      </w:r>
      <w:r>
        <w:rPr>
          <w:rFonts w:hint="eastAsia" w:cs="Times New Roman"/>
          <w:color w:val="FF0000"/>
          <w:kern w:val="2"/>
          <w:sz w:val="24"/>
          <w:szCs w:val="24"/>
          <w:vertAlign w:val="superscript"/>
          <w:lang w:val="en-US" w:eastAsia="zh-CN"/>
        </w:rPr>
        <w:t>3</w:t>
      </w:r>
      <w:r>
        <w:rPr>
          <w:rFonts w:hint="eastAsia" w:cs="Times New Roman"/>
          <w:color w:val="FF0000"/>
          <w:kern w:val="2"/>
          <w:sz w:val="24"/>
          <w:szCs w:val="24"/>
          <w:lang w:val="en-US" w:eastAsia="zh-CN"/>
        </w:rPr>
        <w:t>/h，</w:t>
      </w:r>
      <w:r>
        <w:rPr>
          <w:rFonts w:hint="eastAsia" w:ascii="Times New Roman" w:hAnsi="Times New Roman" w:eastAsia="宋体" w:cs="Times New Roman"/>
          <w:color w:val="FF0000"/>
          <w:kern w:val="2"/>
          <w:sz w:val="24"/>
          <w:szCs w:val="24"/>
        </w:rPr>
        <w:t>能满足</w:t>
      </w:r>
      <w:r>
        <w:rPr>
          <w:rFonts w:hint="eastAsia" w:cs="Times New Roman"/>
          <w:color w:val="FF0000"/>
          <w:kern w:val="2"/>
          <w:sz w:val="24"/>
          <w:szCs w:val="24"/>
          <w:lang w:val="en-US" w:eastAsia="zh-CN"/>
        </w:rPr>
        <w:t>废水处理</w:t>
      </w:r>
      <w:r>
        <w:rPr>
          <w:rFonts w:hint="eastAsia" w:ascii="Times New Roman" w:hAnsi="Times New Roman" w:eastAsia="宋体" w:cs="Times New Roman"/>
          <w:color w:val="FF0000"/>
          <w:kern w:val="2"/>
          <w:sz w:val="24"/>
          <w:szCs w:val="24"/>
        </w:rPr>
        <w:t>要求</w:t>
      </w:r>
      <w:r>
        <w:rPr>
          <w:rFonts w:hint="eastAsia" w:ascii="Times New Roman" w:hAnsi="Times New Roman" w:eastAsia="宋体" w:cs="Times New Roman"/>
          <w:color w:val="FF0000"/>
          <w:kern w:val="2"/>
          <w:sz w:val="24"/>
          <w:szCs w:val="24"/>
          <w:lang w:eastAsia="zh-CN"/>
        </w:rPr>
        <w:t>。</w:t>
      </w:r>
    </w:p>
    <w:p w14:paraId="55B203B9">
      <w:pPr>
        <w:keepNext w:val="0"/>
        <w:keepLines w:val="0"/>
        <w:pageBreakBefore w:val="0"/>
        <w:widowControl w:val="0"/>
        <w:kinsoku/>
        <w:wordWrap/>
        <w:overflowPunct/>
        <w:topLinePunct w:val="0"/>
        <w:autoSpaceDE/>
        <w:autoSpaceDN/>
        <w:bidi w:val="0"/>
        <w:adjustRightInd/>
        <w:snapToGrid w:val="0"/>
        <w:spacing w:line="520" w:lineRule="atLeast"/>
        <w:ind w:firstLine="480" w:firstLineChars="200"/>
        <w:jc w:val="both"/>
        <w:textAlignment w:val="auto"/>
        <w:rPr>
          <w:rFonts w:hint="eastAsia" w:cs="Times New Roman"/>
          <w:color w:val="000000"/>
          <w:kern w:val="2"/>
          <w:sz w:val="24"/>
          <w:szCs w:val="24"/>
          <w:lang w:eastAsia="zh-CN"/>
        </w:rPr>
      </w:pPr>
      <w:r>
        <w:rPr>
          <w:rFonts w:ascii="Times New Roman" w:hAnsi="Times New Roman" w:eastAsia="宋体" w:cs="Times New Roman"/>
          <w:color w:val="000000"/>
          <w:kern w:val="2"/>
          <w:sz w:val="24"/>
          <w:szCs w:val="24"/>
        </w:rPr>
        <w:t>③</w:t>
      </w:r>
      <w:r>
        <w:rPr>
          <w:rFonts w:hint="eastAsia" w:ascii="Times New Roman" w:hAnsi="Times New Roman" w:eastAsia="宋体" w:cs="Times New Roman"/>
          <w:color w:val="000000"/>
          <w:kern w:val="2"/>
          <w:sz w:val="24"/>
          <w:szCs w:val="24"/>
        </w:rPr>
        <w:t>原环评批复中，镀镍后的水洗废水送一套新建的含镍废水处理设施（调节+混凝沉淀+砂滤+碳滤+超滤+反渗透+蒸发）处理后回用；实际建设中，镀镍后的水洗废水依托现有含镍废水处理设施（调节+混凝沉淀+砂滤+碳滤+超滤+反渗透+蒸发）处理后回用，废水处理工艺与环评批复一致</w:t>
      </w:r>
      <w:r>
        <w:rPr>
          <w:rFonts w:hint="eastAsia" w:ascii="Times New Roman" w:hAnsi="Times New Roman" w:eastAsia="宋体" w:cs="Times New Roman"/>
          <w:color w:val="000000"/>
          <w:kern w:val="2"/>
          <w:sz w:val="24"/>
          <w:szCs w:val="24"/>
          <w:lang w:eastAsia="zh-CN"/>
        </w:rPr>
        <w:t>，</w:t>
      </w:r>
      <w:r>
        <w:rPr>
          <w:rFonts w:hint="eastAsia" w:ascii="Times New Roman" w:hAnsi="Times New Roman" w:eastAsia="宋体" w:cs="Times New Roman"/>
          <w:color w:val="000000"/>
          <w:kern w:val="2"/>
          <w:sz w:val="24"/>
          <w:szCs w:val="24"/>
        </w:rPr>
        <w:t>由新建改为依托现有</w:t>
      </w:r>
      <w:r>
        <w:rPr>
          <w:rFonts w:hint="eastAsia" w:cs="Times New Roman"/>
          <w:color w:val="000000"/>
          <w:kern w:val="2"/>
          <w:sz w:val="24"/>
          <w:szCs w:val="24"/>
          <w:lang w:eastAsia="zh-CN"/>
        </w:rPr>
        <w:t>。</w:t>
      </w:r>
    </w:p>
    <w:p w14:paraId="2922BD5C">
      <w:pPr>
        <w:keepNext w:val="0"/>
        <w:keepLines w:val="0"/>
        <w:pageBreakBefore w:val="0"/>
        <w:widowControl w:val="0"/>
        <w:kinsoku/>
        <w:wordWrap/>
        <w:overflowPunct/>
        <w:topLinePunct w:val="0"/>
        <w:autoSpaceDE/>
        <w:autoSpaceDN/>
        <w:bidi w:val="0"/>
        <w:adjustRightInd/>
        <w:snapToGrid w:val="0"/>
        <w:spacing w:line="520" w:lineRule="atLeast"/>
        <w:ind w:firstLine="480" w:firstLineChars="200"/>
        <w:jc w:val="both"/>
        <w:textAlignment w:val="auto"/>
        <w:rPr>
          <w:rFonts w:hint="eastAsia" w:ascii="Times New Roman" w:hAnsi="Times New Roman" w:eastAsia="宋体" w:cs="Times New Roman"/>
          <w:color w:val="000000"/>
          <w:kern w:val="2"/>
          <w:sz w:val="24"/>
          <w:szCs w:val="24"/>
          <w:lang w:eastAsia="zh-CN"/>
        </w:rPr>
      </w:pPr>
      <w:r>
        <w:rPr>
          <w:rFonts w:hint="eastAsia" w:cs="Times New Roman"/>
          <w:color w:val="FF0000"/>
          <w:kern w:val="2"/>
          <w:sz w:val="24"/>
          <w:szCs w:val="24"/>
          <w:lang w:val="en-US" w:eastAsia="zh-CN"/>
        </w:rPr>
        <w:t>现有工程含镍废水排放量为1.17m</w:t>
      </w:r>
      <w:r>
        <w:rPr>
          <w:rFonts w:hint="eastAsia" w:cs="Times New Roman"/>
          <w:color w:val="FF0000"/>
          <w:kern w:val="2"/>
          <w:sz w:val="24"/>
          <w:szCs w:val="24"/>
          <w:vertAlign w:val="superscript"/>
          <w:lang w:val="en-US" w:eastAsia="zh-CN"/>
        </w:rPr>
        <w:t>3</w:t>
      </w:r>
      <w:r>
        <w:rPr>
          <w:rFonts w:hint="eastAsia" w:cs="Times New Roman"/>
          <w:color w:val="FF0000"/>
          <w:kern w:val="2"/>
          <w:sz w:val="24"/>
          <w:szCs w:val="24"/>
          <w:lang w:val="en-US" w:eastAsia="zh-CN"/>
        </w:rPr>
        <w:t>/h，本次一期项目含镍废水排放量为0.92m</w:t>
      </w:r>
      <w:r>
        <w:rPr>
          <w:rFonts w:hint="eastAsia" w:cs="Times New Roman"/>
          <w:color w:val="FF0000"/>
          <w:kern w:val="2"/>
          <w:sz w:val="24"/>
          <w:szCs w:val="24"/>
          <w:vertAlign w:val="superscript"/>
          <w:lang w:val="en-US" w:eastAsia="zh-CN"/>
        </w:rPr>
        <w:t>3</w:t>
      </w:r>
      <w:r>
        <w:rPr>
          <w:rFonts w:hint="eastAsia" w:cs="Times New Roman"/>
          <w:color w:val="FF0000"/>
          <w:kern w:val="2"/>
          <w:sz w:val="24"/>
          <w:szCs w:val="24"/>
          <w:lang w:val="en-US" w:eastAsia="zh-CN"/>
        </w:rPr>
        <w:t>/h，</w:t>
      </w:r>
      <w:r>
        <w:rPr>
          <w:rFonts w:hint="eastAsia" w:ascii="Times New Roman" w:hAnsi="Times New Roman" w:eastAsia="宋体" w:cs="Times New Roman"/>
          <w:color w:val="FF0000"/>
          <w:kern w:val="2"/>
          <w:sz w:val="24"/>
          <w:szCs w:val="24"/>
        </w:rPr>
        <w:t>现有含铬废水处理设施处理能力</w:t>
      </w:r>
      <w:r>
        <w:rPr>
          <w:rFonts w:hint="eastAsia" w:cs="Times New Roman"/>
          <w:color w:val="FF0000"/>
          <w:kern w:val="2"/>
          <w:sz w:val="24"/>
          <w:szCs w:val="24"/>
          <w:lang w:val="en-US" w:eastAsia="zh-CN"/>
        </w:rPr>
        <w:t>为2.1m</w:t>
      </w:r>
      <w:r>
        <w:rPr>
          <w:rFonts w:hint="eastAsia" w:cs="Times New Roman"/>
          <w:color w:val="FF0000"/>
          <w:kern w:val="2"/>
          <w:sz w:val="24"/>
          <w:szCs w:val="24"/>
          <w:vertAlign w:val="superscript"/>
          <w:lang w:val="en-US" w:eastAsia="zh-CN"/>
        </w:rPr>
        <w:t>3</w:t>
      </w:r>
      <w:r>
        <w:rPr>
          <w:rFonts w:hint="eastAsia" w:cs="Times New Roman"/>
          <w:color w:val="FF0000"/>
          <w:kern w:val="2"/>
          <w:sz w:val="24"/>
          <w:szCs w:val="24"/>
          <w:lang w:val="en-US" w:eastAsia="zh-CN"/>
        </w:rPr>
        <w:t>/h，</w:t>
      </w:r>
      <w:r>
        <w:rPr>
          <w:rFonts w:hint="eastAsia" w:ascii="Times New Roman" w:hAnsi="Times New Roman" w:eastAsia="宋体" w:cs="Times New Roman"/>
          <w:color w:val="FF0000"/>
          <w:kern w:val="2"/>
          <w:sz w:val="24"/>
          <w:szCs w:val="24"/>
        </w:rPr>
        <w:t>能满足</w:t>
      </w:r>
      <w:r>
        <w:rPr>
          <w:rFonts w:hint="eastAsia" w:cs="Times New Roman"/>
          <w:color w:val="FF0000"/>
          <w:kern w:val="2"/>
          <w:sz w:val="24"/>
          <w:szCs w:val="24"/>
          <w:lang w:val="en-US" w:eastAsia="zh-CN"/>
        </w:rPr>
        <w:t>废水处理</w:t>
      </w:r>
      <w:r>
        <w:rPr>
          <w:rFonts w:hint="eastAsia" w:ascii="Times New Roman" w:hAnsi="Times New Roman" w:eastAsia="宋体" w:cs="Times New Roman"/>
          <w:color w:val="FF0000"/>
          <w:kern w:val="2"/>
          <w:sz w:val="24"/>
          <w:szCs w:val="24"/>
        </w:rPr>
        <w:t>要求</w:t>
      </w:r>
      <w:r>
        <w:rPr>
          <w:rFonts w:hint="eastAsia" w:ascii="Times New Roman" w:hAnsi="Times New Roman" w:eastAsia="宋体" w:cs="Times New Roman"/>
          <w:color w:val="FF0000"/>
          <w:kern w:val="2"/>
          <w:sz w:val="24"/>
          <w:szCs w:val="24"/>
          <w:lang w:eastAsia="zh-CN"/>
        </w:rPr>
        <w:t>。</w:t>
      </w:r>
      <w:r>
        <w:rPr>
          <w:rFonts w:hint="eastAsia" w:ascii="Times New Roman" w:hAnsi="Times New Roman" w:eastAsia="宋体" w:cs="Times New Roman"/>
          <w:color w:val="000000"/>
          <w:kern w:val="2"/>
          <w:sz w:val="24"/>
          <w:szCs w:val="24"/>
        </w:rPr>
        <w:t>现有处理能力能满足要求</w:t>
      </w:r>
      <w:r>
        <w:rPr>
          <w:rFonts w:hint="eastAsia" w:ascii="Times New Roman" w:hAnsi="Times New Roman" w:eastAsia="宋体" w:cs="Times New Roman"/>
          <w:color w:val="000000"/>
          <w:kern w:val="2"/>
          <w:sz w:val="24"/>
          <w:szCs w:val="24"/>
          <w:lang w:eastAsia="zh-CN"/>
        </w:rPr>
        <w:t>。</w:t>
      </w:r>
    </w:p>
    <w:p w14:paraId="418A35C1">
      <w:pPr>
        <w:keepNext w:val="0"/>
        <w:keepLines w:val="0"/>
        <w:pageBreakBefore w:val="0"/>
        <w:widowControl w:val="0"/>
        <w:kinsoku/>
        <w:wordWrap/>
        <w:overflowPunct/>
        <w:topLinePunct w:val="0"/>
        <w:autoSpaceDE/>
        <w:autoSpaceDN/>
        <w:bidi w:val="0"/>
        <w:adjustRightInd/>
        <w:snapToGrid w:val="0"/>
        <w:spacing w:line="520" w:lineRule="atLeast"/>
        <w:ind w:firstLine="480" w:firstLineChars="200"/>
        <w:jc w:val="both"/>
        <w:textAlignment w:val="auto"/>
        <w:rPr>
          <w:rFonts w:ascii="Times New Roman" w:hAnsi="Times New Roman" w:eastAsia="宋体" w:cs="Times New Roman"/>
          <w:color w:val="000000"/>
          <w:kern w:val="2"/>
          <w:sz w:val="24"/>
          <w:szCs w:val="24"/>
        </w:rPr>
      </w:pPr>
      <w:r>
        <w:rPr>
          <w:rFonts w:hint="eastAsia" w:ascii="Times New Roman" w:hAnsi="Times New Roman" w:eastAsia="宋体" w:cs="Times New Roman"/>
          <w:color w:val="000000"/>
          <w:kern w:val="2"/>
          <w:sz w:val="24"/>
          <w:szCs w:val="24"/>
        </w:rPr>
        <w:t>对照《</w:t>
      </w:r>
      <w:r>
        <w:rPr>
          <w:rFonts w:ascii="Times New Roman" w:hAnsi="Times New Roman" w:eastAsia="宋体" w:cs="Times New Roman"/>
          <w:color w:val="000000"/>
          <w:kern w:val="2"/>
          <w:sz w:val="24"/>
          <w:szCs w:val="24"/>
        </w:rPr>
        <w:t>关于印发制浆造纸等十四个行业建设项目重大变动清单的通知</w:t>
      </w:r>
      <w:r>
        <w:rPr>
          <w:rFonts w:hint="eastAsia" w:ascii="Times New Roman" w:hAnsi="Times New Roman" w:eastAsia="宋体" w:cs="Times New Roman"/>
          <w:color w:val="000000"/>
          <w:kern w:val="2"/>
          <w:sz w:val="24"/>
          <w:szCs w:val="24"/>
        </w:rPr>
        <w:t>》</w:t>
      </w:r>
      <w:r>
        <w:rPr>
          <w:rFonts w:ascii="Times New Roman" w:hAnsi="Times New Roman" w:eastAsia="宋体" w:cs="Times New Roman"/>
          <w:color w:val="000000"/>
          <w:kern w:val="2"/>
          <w:sz w:val="24"/>
          <w:szCs w:val="24"/>
        </w:rPr>
        <w:t>（环办环评[2018]6号）</w:t>
      </w:r>
      <w:r>
        <w:rPr>
          <w:rFonts w:hint="eastAsia" w:ascii="Times New Roman" w:hAnsi="Times New Roman" w:eastAsia="宋体" w:cs="Times New Roman"/>
          <w:color w:val="000000"/>
          <w:kern w:val="2"/>
          <w:sz w:val="24"/>
          <w:szCs w:val="24"/>
        </w:rPr>
        <w:t>中《电镀建设项目重大变动清单》，其环境保护措施中要求为“5.废水、废气处理工艺变化，导致新增污染物或污染物排放量增加（废气无组织排放改为有组织排放除外）。6.排气筒高度降低 10%及以上。7.新增废水排放口；废水排放去向由间接排放改为直接排放；直接排放口位置变化导致不利环境影响加重。”</w:t>
      </w:r>
    </w:p>
    <w:p w14:paraId="6042ADBB">
      <w:pPr>
        <w:pStyle w:val="51"/>
        <w:keepNext w:val="0"/>
        <w:keepLines w:val="0"/>
        <w:pageBreakBefore w:val="0"/>
        <w:widowControl w:val="0"/>
        <w:kinsoku/>
        <w:wordWrap/>
        <w:overflowPunct/>
        <w:topLinePunct w:val="0"/>
        <w:autoSpaceDE/>
        <w:autoSpaceDN/>
        <w:bidi w:val="0"/>
        <w:adjustRightInd/>
        <w:snapToGrid w:val="0"/>
        <w:spacing w:line="520" w:lineRule="atLeast"/>
        <w:ind w:left="0" w:leftChars="0" w:firstLine="504" w:firstLineChars="200"/>
        <w:textAlignment w:val="auto"/>
        <w:rPr>
          <w:color w:val="FF0000"/>
        </w:rPr>
      </w:pPr>
      <w:r>
        <w:rPr>
          <w:rFonts w:hint="eastAsia" w:ascii="Times New Roman" w:hAnsi="Times New Roman" w:eastAsia="宋体" w:cs="Times New Roman"/>
          <w:color w:val="000000"/>
          <w:kern w:val="2"/>
          <w:sz w:val="24"/>
          <w:szCs w:val="24"/>
        </w:rPr>
        <w:t>本次一期项目废水、废气处理工艺未发生变动，未导致新增污染物或污染物排放量增加；排气筒高度未降低；未新增废水排放口；废水排放去向为间接排放，未改为直接排放，废水排放口未发生变动；故本次一期项目变动情况不会导致第5条、第6条、第7条所列情形，因此不属于重大变动。</w:t>
      </w:r>
    </w:p>
    <w:p w14:paraId="516BA125">
      <w:pPr>
        <w:pStyle w:val="3"/>
        <w:spacing w:before="163" w:after="163"/>
        <w:ind w:firstLine="643"/>
        <w:rPr>
          <w:rFonts w:cs="Times New Roman"/>
          <w:color w:val="FF0000"/>
        </w:rPr>
        <w:sectPr>
          <w:pgSz w:w="11906" w:h="16838"/>
          <w:pgMar w:top="1417" w:right="1417" w:bottom="1417" w:left="1417" w:header="851" w:footer="992" w:gutter="0"/>
          <w:cols w:space="425" w:num="1"/>
          <w:docGrid w:type="lines" w:linePitch="326" w:charSpace="0"/>
        </w:sectPr>
      </w:pPr>
      <w:bookmarkStart w:id="26" w:name="_Toc172712292"/>
    </w:p>
    <w:p w14:paraId="2A8B81B3">
      <w:pPr>
        <w:pStyle w:val="3"/>
        <w:spacing w:before="163" w:after="163"/>
        <w:ind w:firstLine="643"/>
        <w:rPr>
          <w:rFonts w:cs="Times New Roman"/>
          <w:color w:val="auto"/>
        </w:rPr>
      </w:pPr>
      <w:r>
        <w:rPr>
          <w:rFonts w:cs="Times New Roman"/>
          <w:color w:val="auto"/>
        </w:rPr>
        <w:t>3.8项目变动情况</w:t>
      </w:r>
      <w:bookmarkEnd w:id="26"/>
    </w:p>
    <w:p w14:paraId="15A73CC0">
      <w:pPr>
        <w:ind w:firstLine="480"/>
        <w:jc w:val="both"/>
        <w:rPr>
          <w:rFonts w:cs="Times New Roman"/>
          <w:color w:val="auto"/>
        </w:rPr>
      </w:pPr>
      <w:r>
        <w:rPr>
          <w:rFonts w:hint="eastAsia" w:cs="Times New Roman"/>
          <w:color w:val="auto"/>
        </w:rPr>
        <w:t>本项目</w:t>
      </w:r>
      <w:r>
        <w:rPr>
          <w:rFonts w:hint="eastAsia" w:cs="Times New Roman"/>
          <w:color w:val="auto"/>
          <w:lang w:val="en-US" w:eastAsia="zh-CN"/>
        </w:rPr>
        <w:t>分期建设，实际建设中与</w:t>
      </w:r>
      <w:r>
        <w:rPr>
          <w:rFonts w:cs="Times New Roman"/>
          <w:color w:val="auto"/>
        </w:rPr>
        <w:t>环评及批复不一致的地方</w:t>
      </w:r>
      <w:r>
        <w:rPr>
          <w:rFonts w:hint="eastAsia" w:cs="Times New Roman"/>
          <w:color w:val="auto"/>
          <w:lang w:val="en-US" w:eastAsia="zh-CN"/>
        </w:rPr>
        <w:t>包括以下内容</w:t>
      </w:r>
      <w:r>
        <w:rPr>
          <w:rFonts w:hint="eastAsia" w:cs="Times New Roman"/>
          <w:color w:val="auto"/>
        </w:rPr>
        <w:t>：</w:t>
      </w:r>
    </w:p>
    <w:p w14:paraId="0BEAE348">
      <w:pPr>
        <w:ind w:firstLine="480"/>
        <w:jc w:val="both"/>
        <w:rPr>
          <w:rFonts w:hint="eastAsia" w:eastAsia="宋体" w:cs="Times New Roman"/>
          <w:color w:val="auto"/>
          <w:lang w:val="en-US" w:eastAsia="zh-CN"/>
        </w:rPr>
      </w:pPr>
      <w:r>
        <w:rPr>
          <w:rFonts w:hint="eastAsia" w:cs="Times New Roman"/>
          <w:color w:val="auto"/>
        </w:rPr>
        <w:t>1、</w:t>
      </w:r>
      <w:r>
        <w:rPr>
          <w:rFonts w:hint="eastAsia" w:cs="Times New Roman"/>
          <w:color w:val="auto"/>
          <w:lang w:val="en-US" w:eastAsia="zh-CN"/>
        </w:rPr>
        <w:t>生产线建设位置的变动：</w:t>
      </w:r>
      <w:r>
        <w:rPr>
          <w:rFonts w:hint="eastAsia" w:cs="Times New Roman"/>
          <w:color w:val="auto"/>
          <w:sz w:val="24"/>
          <w:szCs w:val="24"/>
          <w:lang w:val="en-US" w:eastAsia="zh-CN"/>
        </w:rPr>
        <w:t>2</w:t>
      </w:r>
      <w:r>
        <w:rPr>
          <w:rFonts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lang w:val="en-US" w:eastAsia="zh-CN"/>
        </w:rPr>
        <w:t>钢带镀镍</w:t>
      </w:r>
      <w:r>
        <w:rPr>
          <w:rFonts w:ascii="Times New Roman" w:hAnsi="Times New Roman" w:eastAsia="宋体" w:cs="Times New Roman"/>
          <w:color w:val="auto"/>
          <w:sz w:val="24"/>
          <w:szCs w:val="24"/>
        </w:rPr>
        <w:t>生产线由2</w:t>
      </w:r>
      <w:r>
        <w:rPr>
          <w:rFonts w:hint="eastAsia" w:ascii="Times New Roman" w:hAnsi="Times New Roman" w:eastAsia="宋体" w:cs="Times New Roman"/>
          <w:color w:val="auto"/>
          <w:sz w:val="24"/>
          <w:szCs w:val="24"/>
        </w:rPr>
        <w:t>#</w:t>
      </w:r>
      <w:r>
        <w:rPr>
          <w:rFonts w:ascii="Times New Roman" w:hAnsi="Times New Roman" w:eastAsia="宋体" w:cs="Times New Roman"/>
          <w:color w:val="auto"/>
          <w:sz w:val="24"/>
          <w:szCs w:val="24"/>
        </w:rPr>
        <w:t>车间调整到1</w:t>
      </w:r>
      <w:r>
        <w:rPr>
          <w:rFonts w:hint="eastAsia" w:ascii="Times New Roman" w:hAnsi="Times New Roman" w:eastAsia="宋体" w:cs="Times New Roman"/>
          <w:color w:val="auto"/>
          <w:sz w:val="24"/>
          <w:szCs w:val="24"/>
        </w:rPr>
        <w:t>#</w:t>
      </w:r>
      <w:r>
        <w:rPr>
          <w:rFonts w:ascii="Times New Roman" w:hAnsi="Times New Roman" w:eastAsia="宋体" w:cs="Times New Roman"/>
          <w:color w:val="auto"/>
          <w:sz w:val="24"/>
          <w:szCs w:val="24"/>
        </w:rPr>
        <w:t>车间</w:t>
      </w:r>
      <w:r>
        <w:rPr>
          <w:rFonts w:hint="eastAsia" w:cs="Times New Roman"/>
          <w:color w:val="auto"/>
          <w:sz w:val="24"/>
          <w:szCs w:val="24"/>
          <w:lang w:eastAsia="zh-CN"/>
        </w:rPr>
        <w:t>。</w:t>
      </w:r>
      <w:r>
        <w:rPr>
          <w:rFonts w:ascii="Times New Roman" w:hAnsi="Times New Roman" w:eastAsia="宋体" w:cs="Times New Roman"/>
          <w:color w:val="auto"/>
          <w:sz w:val="24"/>
          <w:szCs w:val="24"/>
        </w:rPr>
        <w:t>产品平面布置（生产线建设位置）变化调整后，未导致环境敏感程度增加或环境防护距离变化，不增加环境敏感点</w:t>
      </w:r>
      <w:r>
        <w:rPr>
          <w:rFonts w:hint="eastAsia"/>
          <w:color w:val="auto"/>
        </w:rPr>
        <w:t>，故不属于重大变动</w:t>
      </w:r>
      <w:r>
        <w:rPr>
          <w:rFonts w:ascii="Times New Roman" w:hAnsi="Times New Roman" w:eastAsia="宋体" w:cs="Times New Roman"/>
          <w:color w:val="auto"/>
          <w:sz w:val="24"/>
          <w:szCs w:val="24"/>
        </w:rPr>
        <w:t>。</w:t>
      </w:r>
    </w:p>
    <w:p w14:paraId="5BF52C34">
      <w:pPr>
        <w:ind w:firstLine="480"/>
        <w:jc w:val="both"/>
        <w:rPr>
          <w:color w:val="auto"/>
        </w:rPr>
      </w:pPr>
      <w:r>
        <w:rPr>
          <w:rFonts w:hint="eastAsia" w:cs="Times New Roman"/>
          <w:color w:val="auto"/>
          <w:lang w:val="en-US" w:eastAsia="zh-CN"/>
        </w:rPr>
        <w:t>2、</w:t>
      </w:r>
      <w:r>
        <w:rPr>
          <w:rFonts w:hint="eastAsia" w:cs="Times New Roman"/>
          <w:color w:val="auto"/>
        </w:rPr>
        <w:t>生产设备的变动：</w:t>
      </w:r>
      <w:r>
        <w:rPr>
          <w:rFonts w:hint="eastAsia"/>
          <w:color w:val="auto"/>
        </w:rPr>
        <w:t>考虑工件尺寸，因此</w:t>
      </w:r>
      <w:r>
        <w:rPr>
          <w:rFonts w:hint="eastAsia"/>
          <w:color w:val="auto"/>
          <w:lang w:val="en-US" w:eastAsia="zh-CN"/>
        </w:rPr>
        <w:t>各槽体</w:t>
      </w:r>
      <w:r>
        <w:rPr>
          <w:rFonts w:hint="eastAsia"/>
          <w:color w:val="auto"/>
        </w:rPr>
        <w:t>尺寸规格略有调整。</w:t>
      </w:r>
      <w:r>
        <w:rPr>
          <w:rFonts w:hint="eastAsia" w:ascii="Times New Roman" w:hAnsi="Times New Roman" w:eastAsia="宋体" w:cs="Times New Roman"/>
          <w:color w:val="auto"/>
          <w:kern w:val="2"/>
          <w:sz w:val="24"/>
          <w:szCs w:val="24"/>
        </w:rPr>
        <w:t>本项目</w:t>
      </w:r>
      <w:r>
        <w:rPr>
          <w:rFonts w:hint="eastAsia" w:cs="Times New Roman"/>
          <w:color w:val="auto"/>
          <w:kern w:val="2"/>
          <w:sz w:val="24"/>
          <w:szCs w:val="24"/>
          <w:lang w:eastAsia="zh-CN"/>
        </w:rPr>
        <w:t>（</w:t>
      </w:r>
      <w:r>
        <w:rPr>
          <w:rFonts w:hint="eastAsia" w:cs="Times New Roman"/>
          <w:color w:val="auto"/>
          <w:kern w:val="2"/>
          <w:sz w:val="24"/>
          <w:szCs w:val="24"/>
          <w:lang w:val="en-US" w:eastAsia="zh-CN"/>
        </w:rPr>
        <w:t>一期</w:t>
      </w:r>
      <w:r>
        <w:rPr>
          <w:rFonts w:hint="eastAsia" w:cs="Times New Roman"/>
          <w:color w:val="auto"/>
          <w:kern w:val="2"/>
          <w:sz w:val="24"/>
          <w:szCs w:val="24"/>
          <w:lang w:eastAsia="zh-CN"/>
        </w:rPr>
        <w:t>）</w:t>
      </w:r>
      <w:r>
        <w:rPr>
          <w:rFonts w:hint="eastAsia" w:ascii="Times New Roman" w:hAnsi="Times New Roman" w:eastAsia="宋体" w:cs="Times New Roman"/>
          <w:color w:val="auto"/>
          <w:kern w:val="2"/>
          <w:sz w:val="24"/>
          <w:szCs w:val="24"/>
        </w:rPr>
        <w:t>实际建设中</w:t>
      </w:r>
      <w:r>
        <w:rPr>
          <w:rFonts w:ascii="Times New Roman" w:hAnsi="Times New Roman" w:eastAsia="宋体" w:cs="Times New Roman"/>
          <w:color w:val="auto"/>
          <w:kern w:val="2"/>
          <w:sz w:val="24"/>
          <w:szCs w:val="24"/>
        </w:rPr>
        <w:t>，汽车配件挂镀锌工序生产线中主镀槽单槽容积增加，数量减少，</w:t>
      </w:r>
      <w:r>
        <w:rPr>
          <w:rFonts w:hint="eastAsia" w:ascii="Times New Roman" w:hAnsi="Times New Roman" w:eastAsia="宋体" w:cs="Times New Roman"/>
          <w:color w:val="auto"/>
          <w:kern w:val="2"/>
          <w:sz w:val="24"/>
          <w:szCs w:val="24"/>
        </w:rPr>
        <w:t>主镀槽总容积减小，</w:t>
      </w:r>
      <w:r>
        <w:rPr>
          <w:rFonts w:ascii="Times New Roman" w:hAnsi="Times New Roman" w:eastAsia="宋体" w:cs="Times New Roman"/>
          <w:color w:val="auto"/>
          <w:kern w:val="2"/>
          <w:sz w:val="24"/>
          <w:szCs w:val="24"/>
        </w:rPr>
        <w:t>其电镀能力</w:t>
      </w:r>
      <w:r>
        <w:rPr>
          <w:rFonts w:hint="eastAsia" w:ascii="Times New Roman" w:hAnsi="Times New Roman" w:eastAsia="宋体" w:cs="Times New Roman"/>
          <w:color w:val="auto"/>
          <w:kern w:val="2"/>
          <w:sz w:val="24"/>
          <w:szCs w:val="24"/>
          <w:lang w:val="en-US" w:eastAsia="zh-CN"/>
        </w:rPr>
        <w:t>减小，根据前文分析可知，实际建设电镀生产能力满足汽车配件8000吨/年的产能要求</w:t>
      </w:r>
      <w:r>
        <w:rPr>
          <w:rFonts w:hint="eastAsia" w:ascii="Times New Roman" w:hAnsi="Times New Roman" w:eastAsia="宋体" w:cs="Times New Roman"/>
          <w:color w:val="auto"/>
          <w:kern w:val="2"/>
          <w:sz w:val="24"/>
          <w:szCs w:val="24"/>
        </w:rPr>
        <w:t>。</w:t>
      </w:r>
      <w:r>
        <w:rPr>
          <w:rFonts w:ascii="Times New Roman" w:hAnsi="Times New Roman" w:eastAsia="宋体" w:cs="Times New Roman"/>
          <w:color w:val="auto"/>
          <w:kern w:val="2"/>
          <w:sz w:val="24"/>
          <w:szCs w:val="24"/>
        </w:rPr>
        <w:t>钢带1#镀镍线中主镀槽单槽容积增加，数量减小，</w:t>
      </w:r>
      <w:r>
        <w:rPr>
          <w:rFonts w:hint="eastAsia" w:ascii="Times New Roman" w:hAnsi="Times New Roman" w:eastAsia="宋体" w:cs="Times New Roman"/>
          <w:color w:val="auto"/>
          <w:kern w:val="2"/>
          <w:sz w:val="24"/>
          <w:szCs w:val="24"/>
        </w:rPr>
        <w:t>主镀槽总容积减小，</w:t>
      </w:r>
      <w:r>
        <w:rPr>
          <w:rFonts w:ascii="Times New Roman" w:hAnsi="Times New Roman" w:eastAsia="宋体" w:cs="Times New Roman"/>
          <w:color w:val="auto"/>
          <w:kern w:val="2"/>
          <w:sz w:val="24"/>
          <w:szCs w:val="24"/>
        </w:rPr>
        <w:t>其电镀能力不增加</w:t>
      </w:r>
      <w:r>
        <w:rPr>
          <w:rFonts w:hint="eastAsia" w:ascii="Times New Roman" w:hAnsi="Times New Roman" w:eastAsia="宋体" w:cs="Times New Roman"/>
          <w:color w:val="auto"/>
          <w:kern w:val="2"/>
          <w:sz w:val="24"/>
          <w:szCs w:val="24"/>
        </w:rPr>
        <w:t>。</w:t>
      </w:r>
      <w:r>
        <w:rPr>
          <w:rFonts w:ascii="Times New Roman" w:hAnsi="Times New Roman" w:eastAsia="宋体" w:cs="Times New Roman"/>
          <w:color w:val="auto"/>
          <w:kern w:val="2"/>
          <w:sz w:val="24"/>
          <w:szCs w:val="24"/>
        </w:rPr>
        <w:t>钢带2#镀镍线中主镀槽单槽容积增加，数量减小，</w:t>
      </w:r>
      <w:r>
        <w:rPr>
          <w:rFonts w:hint="eastAsia" w:ascii="Times New Roman" w:hAnsi="Times New Roman" w:eastAsia="宋体" w:cs="Times New Roman"/>
          <w:color w:val="auto"/>
          <w:kern w:val="2"/>
          <w:sz w:val="24"/>
          <w:szCs w:val="24"/>
        </w:rPr>
        <w:t>主镀槽总容积减小，</w:t>
      </w:r>
      <w:r>
        <w:rPr>
          <w:rFonts w:ascii="Times New Roman" w:hAnsi="Times New Roman" w:eastAsia="宋体" w:cs="Times New Roman"/>
          <w:color w:val="auto"/>
          <w:kern w:val="2"/>
          <w:sz w:val="24"/>
          <w:szCs w:val="24"/>
        </w:rPr>
        <w:t>其电镀能力不增加</w:t>
      </w:r>
      <w:r>
        <w:rPr>
          <w:rFonts w:hint="eastAsia" w:ascii="Times New Roman" w:hAnsi="Times New Roman" w:eastAsia="宋体" w:cs="Times New Roman"/>
          <w:color w:val="auto"/>
          <w:kern w:val="2"/>
          <w:sz w:val="24"/>
          <w:szCs w:val="24"/>
        </w:rPr>
        <w:t>。</w:t>
      </w:r>
      <w:r>
        <w:rPr>
          <w:rFonts w:ascii="Times New Roman" w:hAnsi="Times New Roman" w:eastAsia="宋体" w:cs="Times New Roman"/>
          <w:color w:val="auto"/>
          <w:kern w:val="2"/>
          <w:sz w:val="24"/>
          <w:szCs w:val="24"/>
        </w:rPr>
        <w:t>钢带</w:t>
      </w:r>
      <w:r>
        <w:rPr>
          <w:rFonts w:hint="eastAsia" w:ascii="Times New Roman" w:hAnsi="Times New Roman" w:eastAsia="宋体" w:cs="Times New Roman"/>
          <w:color w:val="auto"/>
          <w:kern w:val="2"/>
          <w:sz w:val="24"/>
          <w:szCs w:val="24"/>
          <w:lang w:val="en-US" w:eastAsia="zh-CN"/>
        </w:rPr>
        <w:t>3</w:t>
      </w:r>
      <w:r>
        <w:rPr>
          <w:rFonts w:ascii="Times New Roman" w:hAnsi="Times New Roman" w:eastAsia="宋体" w:cs="Times New Roman"/>
          <w:color w:val="auto"/>
          <w:kern w:val="2"/>
          <w:sz w:val="24"/>
          <w:szCs w:val="24"/>
        </w:rPr>
        <w:t>#镀镍线中主镀槽单槽容积</w:t>
      </w:r>
      <w:r>
        <w:rPr>
          <w:rFonts w:hint="eastAsia" w:ascii="Times New Roman" w:hAnsi="Times New Roman" w:eastAsia="宋体" w:cs="Times New Roman"/>
          <w:color w:val="auto"/>
          <w:kern w:val="2"/>
          <w:sz w:val="24"/>
          <w:szCs w:val="24"/>
          <w:lang w:val="en-US" w:eastAsia="zh-CN"/>
        </w:rPr>
        <w:t>减小</w:t>
      </w:r>
      <w:r>
        <w:rPr>
          <w:rFonts w:ascii="Times New Roman" w:hAnsi="Times New Roman" w:eastAsia="宋体" w:cs="Times New Roman"/>
          <w:color w:val="auto"/>
          <w:kern w:val="2"/>
          <w:sz w:val="24"/>
          <w:szCs w:val="24"/>
        </w:rPr>
        <w:t>，数量</w:t>
      </w:r>
      <w:r>
        <w:rPr>
          <w:rFonts w:hint="eastAsia" w:ascii="Times New Roman" w:hAnsi="Times New Roman" w:eastAsia="宋体" w:cs="Times New Roman"/>
          <w:color w:val="auto"/>
          <w:kern w:val="2"/>
          <w:sz w:val="24"/>
          <w:szCs w:val="24"/>
          <w:lang w:val="en-US" w:eastAsia="zh-CN"/>
        </w:rPr>
        <w:t>增加</w:t>
      </w:r>
      <w:r>
        <w:rPr>
          <w:rFonts w:ascii="Times New Roman" w:hAnsi="Times New Roman" w:eastAsia="宋体" w:cs="Times New Roman"/>
          <w:color w:val="auto"/>
          <w:kern w:val="2"/>
          <w:sz w:val="24"/>
          <w:szCs w:val="24"/>
        </w:rPr>
        <w:t>，</w:t>
      </w:r>
      <w:r>
        <w:rPr>
          <w:rFonts w:hint="eastAsia" w:ascii="Times New Roman" w:hAnsi="Times New Roman" w:eastAsia="宋体" w:cs="Times New Roman"/>
          <w:color w:val="auto"/>
          <w:kern w:val="2"/>
          <w:sz w:val="24"/>
          <w:szCs w:val="24"/>
        </w:rPr>
        <w:t>主镀槽总容积减小，</w:t>
      </w:r>
      <w:r>
        <w:rPr>
          <w:rFonts w:ascii="Times New Roman" w:hAnsi="Times New Roman" w:eastAsia="宋体" w:cs="Times New Roman"/>
          <w:color w:val="auto"/>
          <w:kern w:val="2"/>
          <w:sz w:val="24"/>
          <w:szCs w:val="24"/>
        </w:rPr>
        <w:t>其电镀能力不增加</w:t>
      </w:r>
      <w:r>
        <w:rPr>
          <w:rFonts w:hint="eastAsia" w:ascii="Times New Roman" w:hAnsi="Times New Roman" w:eastAsia="宋体" w:cs="Times New Roman"/>
          <w:color w:val="auto"/>
          <w:kern w:val="2"/>
          <w:sz w:val="24"/>
          <w:szCs w:val="24"/>
        </w:rPr>
        <w:t>。</w:t>
      </w:r>
      <w:r>
        <w:rPr>
          <w:rFonts w:hint="eastAsia" w:cs="Times New Roman"/>
          <w:color w:val="auto"/>
          <w:kern w:val="2"/>
          <w:sz w:val="24"/>
          <w:szCs w:val="24"/>
          <w:lang w:val="en-US" w:eastAsia="zh-CN"/>
        </w:rPr>
        <w:t>该变动不增加电镀能力，不增加产能</w:t>
      </w:r>
      <w:r>
        <w:rPr>
          <w:rFonts w:hint="eastAsia"/>
          <w:color w:val="auto"/>
        </w:rPr>
        <w:t>，不新增污染物，故不属于重大变动。</w:t>
      </w:r>
    </w:p>
    <w:p w14:paraId="628862FC">
      <w:pPr>
        <w:ind w:firstLine="480"/>
        <w:jc w:val="both"/>
        <w:rPr>
          <w:color w:val="auto"/>
        </w:rPr>
      </w:pPr>
      <w:r>
        <w:rPr>
          <w:rFonts w:hint="eastAsia"/>
          <w:color w:val="auto"/>
        </w:rPr>
        <w:t>2、</w:t>
      </w:r>
      <w:r>
        <w:rPr>
          <w:rFonts w:hint="eastAsia"/>
          <w:color w:val="FF0000"/>
          <w:lang w:val="en-US" w:eastAsia="zh-CN"/>
        </w:rPr>
        <w:t>废水措施变动</w:t>
      </w:r>
      <w:r>
        <w:rPr>
          <w:rFonts w:hint="eastAsia"/>
          <w:color w:val="auto"/>
        </w:rPr>
        <w:t>：原环评批复中</w:t>
      </w:r>
      <w:r>
        <w:rPr>
          <w:rFonts w:hint="eastAsia"/>
          <w:color w:val="auto"/>
          <w:lang w:val="en-US" w:eastAsia="zh-CN"/>
        </w:rPr>
        <w:t>镀锌线钝化废槽液、钝化后水洗废水及退锌线退镀后水洗废水、脱脂废水、水洗废水和酸雾吸收塔</w:t>
      </w:r>
      <w:r>
        <w:rPr>
          <w:rFonts w:hint="eastAsia"/>
          <w:color w:val="auto"/>
        </w:rPr>
        <w:t>废水进入</w:t>
      </w:r>
      <w:r>
        <w:rPr>
          <w:rFonts w:hint="eastAsia"/>
          <w:color w:val="auto"/>
          <w:lang w:val="en-US" w:eastAsia="zh-CN"/>
        </w:rPr>
        <w:t>1套新建的含铬废水处理设施处理后回用</w:t>
      </w:r>
      <w:r>
        <w:rPr>
          <w:rFonts w:hint="eastAsia"/>
          <w:color w:val="auto"/>
          <w:lang w:eastAsia="zh-CN"/>
        </w:rPr>
        <w:t>；</w:t>
      </w:r>
      <w:r>
        <w:rPr>
          <w:rFonts w:hint="eastAsia"/>
          <w:color w:val="auto"/>
        </w:rPr>
        <w:t>企业实际建设</w:t>
      </w:r>
      <w:r>
        <w:rPr>
          <w:rFonts w:hint="eastAsia"/>
          <w:color w:val="auto"/>
          <w:lang w:val="en-US" w:eastAsia="zh-CN"/>
        </w:rPr>
        <w:t>中依托现有1套含铬废水处理设施处理后回用</w:t>
      </w:r>
      <w:r>
        <w:rPr>
          <w:rFonts w:hint="eastAsia"/>
          <w:color w:val="auto"/>
          <w:lang w:eastAsia="zh-CN"/>
        </w:rPr>
        <w:t>。</w:t>
      </w:r>
      <w:r>
        <w:rPr>
          <w:rFonts w:hint="eastAsia"/>
          <w:color w:val="auto"/>
        </w:rPr>
        <w:t>原环评批复中</w:t>
      </w:r>
      <w:r>
        <w:rPr>
          <w:rFonts w:hint="eastAsia"/>
          <w:color w:val="auto"/>
          <w:lang w:val="en-US" w:eastAsia="zh-CN"/>
        </w:rPr>
        <w:t>钢带线镀镍后水洗</w:t>
      </w:r>
      <w:r>
        <w:rPr>
          <w:rFonts w:hint="eastAsia"/>
          <w:color w:val="auto"/>
        </w:rPr>
        <w:t>废水进入</w:t>
      </w:r>
      <w:r>
        <w:rPr>
          <w:rFonts w:hint="eastAsia"/>
          <w:color w:val="auto"/>
          <w:lang w:val="en-US" w:eastAsia="zh-CN"/>
        </w:rPr>
        <w:t>1套新建的含镍废水处理设施处理后回用</w:t>
      </w:r>
      <w:r>
        <w:rPr>
          <w:rFonts w:hint="eastAsia"/>
          <w:color w:val="auto"/>
          <w:lang w:eastAsia="zh-CN"/>
        </w:rPr>
        <w:t>；</w:t>
      </w:r>
      <w:r>
        <w:rPr>
          <w:rFonts w:hint="eastAsia"/>
          <w:color w:val="auto"/>
        </w:rPr>
        <w:t>企业实际建设</w:t>
      </w:r>
      <w:r>
        <w:rPr>
          <w:rFonts w:hint="eastAsia"/>
          <w:color w:val="auto"/>
          <w:lang w:val="en-US" w:eastAsia="zh-CN"/>
        </w:rPr>
        <w:t>中依托现有1套含镍废水处理设施处理后回用</w:t>
      </w:r>
      <w:r>
        <w:rPr>
          <w:rFonts w:hint="eastAsia"/>
          <w:color w:val="auto"/>
        </w:rPr>
        <w:t>。</w:t>
      </w:r>
    </w:p>
    <w:p w14:paraId="67ADAFF0">
      <w:pPr>
        <w:spacing w:line="480" w:lineRule="exact"/>
        <w:ind w:firstLine="480"/>
        <w:jc w:val="both"/>
        <w:rPr>
          <w:rFonts w:cs="Times New Roman"/>
          <w:color w:val="FF0000"/>
          <w:szCs w:val="24"/>
        </w:rPr>
      </w:pPr>
      <w:r>
        <w:rPr>
          <w:rFonts w:hint="eastAsia" w:cs="Times New Roman"/>
          <w:color w:val="auto"/>
          <w:szCs w:val="24"/>
        </w:rPr>
        <w:t>对照《</w:t>
      </w:r>
      <w:r>
        <w:rPr>
          <w:rFonts w:cs="Times New Roman"/>
          <w:color w:val="auto"/>
          <w:szCs w:val="24"/>
        </w:rPr>
        <w:t>关于印发制浆造纸等十四个行业建设项目重大变动清单的通知</w:t>
      </w:r>
      <w:r>
        <w:rPr>
          <w:rFonts w:hint="eastAsia" w:cs="Times New Roman"/>
          <w:color w:val="auto"/>
          <w:szCs w:val="24"/>
        </w:rPr>
        <w:t>》</w:t>
      </w:r>
      <w:r>
        <w:rPr>
          <w:rFonts w:cs="Times New Roman"/>
          <w:color w:val="auto"/>
          <w:szCs w:val="24"/>
        </w:rPr>
        <w:t>（环办环评[2018]6号）</w:t>
      </w:r>
      <w:r>
        <w:rPr>
          <w:rFonts w:hint="eastAsia" w:cs="Times New Roman"/>
          <w:color w:val="auto"/>
          <w:szCs w:val="24"/>
        </w:rPr>
        <w:t>中《电镀建设项目重大变动清单》，其规模中要求为：“</w:t>
      </w:r>
      <w:r>
        <w:rPr>
          <w:rFonts w:cs="Times New Roman"/>
          <w:color w:val="auto"/>
          <w:szCs w:val="24"/>
        </w:rPr>
        <w:t>1</w:t>
      </w:r>
      <w:r>
        <w:rPr>
          <w:rFonts w:hint="eastAsia" w:cs="Times New Roman"/>
          <w:color w:val="auto"/>
          <w:szCs w:val="24"/>
        </w:rPr>
        <w:t>、主镀槽规格增大或数量增加导致电镀生产能力增大3</w:t>
      </w:r>
      <w:r>
        <w:rPr>
          <w:rFonts w:cs="Times New Roman"/>
          <w:color w:val="auto"/>
          <w:szCs w:val="24"/>
        </w:rPr>
        <w:t>0%</w:t>
      </w:r>
      <w:r>
        <w:rPr>
          <w:rFonts w:hint="eastAsia" w:cs="Times New Roman"/>
          <w:color w:val="auto"/>
          <w:szCs w:val="24"/>
        </w:rPr>
        <w:t>及以上</w:t>
      </w:r>
      <w:r>
        <w:rPr>
          <w:rFonts w:cs="Times New Roman"/>
          <w:color w:val="auto"/>
          <w:szCs w:val="24"/>
        </w:rPr>
        <w:t>。</w:t>
      </w:r>
      <w:r>
        <w:rPr>
          <w:rFonts w:hint="eastAsia" w:cs="Times New Roman"/>
          <w:color w:val="auto"/>
          <w:szCs w:val="24"/>
        </w:rPr>
        <w:t>”的属于重大变动。</w:t>
      </w:r>
      <w:r>
        <w:rPr>
          <w:rFonts w:hint="eastAsia" w:cs="Times New Roman"/>
          <w:color w:val="auto"/>
          <w:szCs w:val="24"/>
          <w:lang w:val="en-US" w:eastAsia="zh-CN"/>
        </w:rPr>
        <w:t>本次一期项目</w:t>
      </w:r>
      <w:r>
        <w:rPr>
          <w:rFonts w:ascii="Times New Roman" w:hAnsi="Times New Roman" w:eastAsia="宋体" w:cs="Times New Roman"/>
          <w:color w:val="auto"/>
          <w:kern w:val="2"/>
          <w:sz w:val="24"/>
          <w:szCs w:val="24"/>
        </w:rPr>
        <w:t>汽车配件挂镀锌工序生产线中主镀槽单槽容积增加，数量减少，</w:t>
      </w:r>
      <w:r>
        <w:rPr>
          <w:rFonts w:hint="eastAsia" w:ascii="Times New Roman" w:hAnsi="Times New Roman" w:eastAsia="宋体" w:cs="Times New Roman"/>
          <w:color w:val="auto"/>
          <w:kern w:val="2"/>
          <w:sz w:val="24"/>
          <w:szCs w:val="24"/>
        </w:rPr>
        <w:t>主镀槽总容积减小，</w:t>
      </w:r>
      <w:r>
        <w:rPr>
          <w:rFonts w:ascii="Times New Roman" w:hAnsi="Times New Roman" w:eastAsia="宋体" w:cs="Times New Roman"/>
          <w:color w:val="auto"/>
          <w:kern w:val="2"/>
          <w:sz w:val="24"/>
          <w:szCs w:val="24"/>
        </w:rPr>
        <w:t>其电镀能力</w:t>
      </w:r>
      <w:r>
        <w:rPr>
          <w:rFonts w:hint="eastAsia" w:ascii="Times New Roman" w:hAnsi="Times New Roman" w:eastAsia="宋体" w:cs="Times New Roman"/>
          <w:color w:val="auto"/>
          <w:kern w:val="2"/>
          <w:sz w:val="24"/>
          <w:szCs w:val="24"/>
          <w:lang w:val="en-US" w:eastAsia="zh-CN"/>
        </w:rPr>
        <w:t>减小，根据前文分析可知，实际建设电镀生产能力满足汽车配件8000吨/年的产能要求</w:t>
      </w:r>
      <w:r>
        <w:rPr>
          <w:rFonts w:hint="eastAsia" w:ascii="Times New Roman" w:hAnsi="Times New Roman" w:eastAsia="宋体" w:cs="Times New Roman"/>
          <w:color w:val="auto"/>
          <w:kern w:val="2"/>
          <w:sz w:val="24"/>
          <w:szCs w:val="24"/>
        </w:rPr>
        <w:t>。</w:t>
      </w:r>
      <w:r>
        <w:rPr>
          <w:rFonts w:ascii="Times New Roman" w:hAnsi="Times New Roman" w:eastAsia="宋体" w:cs="Times New Roman"/>
          <w:color w:val="auto"/>
          <w:kern w:val="2"/>
          <w:sz w:val="24"/>
          <w:szCs w:val="24"/>
        </w:rPr>
        <w:t>钢带1#镀镍线中主镀槽单槽容积增加，数量减小，</w:t>
      </w:r>
      <w:r>
        <w:rPr>
          <w:rFonts w:hint="eastAsia" w:ascii="Times New Roman" w:hAnsi="Times New Roman" w:eastAsia="宋体" w:cs="Times New Roman"/>
          <w:color w:val="auto"/>
          <w:kern w:val="2"/>
          <w:sz w:val="24"/>
          <w:szCs w:val="24"/>
        </w:rPr>
        <w:t>主镀槽总容积减小，</w:t>
      </w:r>
      <w:r>
        <w:rPr>
          <w:rFonts w:ascii="Times New Roman" w:hAnsi="Times New Roman" w:eastAsia="宋体" w:cs="Times New Roman"/>
          <w:color w:val="auto"/>
          <w:kern w:val="2"/>
          <w:sz w:val="24"/>
          <w:szCs w:val="24"/>
        </w:rPr>
        <w:t>其电镀能力不增加</w:t>
      </w:r>
      <w:r>
        <w:rPr>
          <w:rFonts w:hint="eastAsia" w:ascii="Times New Roman" w:hAnsi="Times New Roman" w:eastAsia="宋体" w:cs="Times New Roman"/>
          <w:color w:val="auto"/>
          <w:kern w:val="2"/>
          <w:sz w:val="24"/>
          <w:szCs w:val="24"/>
        </w:rPr>
        <w:t>。</w:t>
      </w:r>
      <w:r>
        <w:rPr>
          <w:rFonts w:ascii="Times New Roman" w:hAnsi="Times New Roman" w:eastAsia="宋体" w:cs="Times New Roman"/>
          <w:color w:val="auto"/>
          <w:kern w:val="2"/>
          <w:sz w:val="24"/>
          <w:szCs w:val="24"/>
        </w:rPr>
        <w:t>钢带2#镀镍线中主镀槽单槽容积增加，数量减小，</w:t>
      </w:r>
      <w:r>
        <w:rPr>
          <w:rFonts w:hint="eastAsia" w:ascii="Times New Roman" w:hAnsi="Times New Roman" w:eastAsia="宋体" w:cs="Times New Roman"/>
          <w:color w:val="auto"/>
          <w:kern w:val="2"/>
          <w:sz w:val="24"/>
          <w:szCs w:val="24"/>
        </w:rPr>
        <w:t>主镀槽总容积减小，</w:t>
      </w:r>
      <w:r>
        <w:rPr>
          <w:rFonts w:ascii="Times New Roman" w:hAnsi="Times New Roman" w:eastAsia="宋体" w:cs="Times New Roman"/>
          <w:color w:val="auto"/>
          <w:kern w:val="2"/>
          <w:sz w:val="24"/>
          <w:szCs w:val="24"/>
        </w:rPr>
        <w:t>其电镀能力不增加</w:t>
      </w:r>
      <w:r>
        <w:rPr>
          <w:rFonts w:hint="eastAsia" w:ascii="Times New Roman" w:hAnsi="Times New Roman" w:eastAsia="宋体" w:cs="Times New Roman"/>
          <w:color w:val="auto"/>
          <w:kern w:val="2"/>
          <w:sz w:val="24"/>
          <w:szCs w:val="24"/>
        </w:rPr>
        <w:t>。</w:t>
      </w:r>
      <w:r>
        <w:rPr>
          <w:rFonts w:ascii="Times New Roman" w:hAnsi="Times New Roman" w:eastAsia="宋体" w:cs="Times New Roman"/>
          <w:color w:val="auto"/>
          <w:kern w:val="2"/>
          <w:sz w:val="24"/>
          <w:szCs w:val="24"/>
        </w:rPr>
        <w:t>钢带</w:t>
      </w:r>
      <w:r>
        <w:rPr>
          <w:rFonts w:hint="eastAsia" w:ascii="Times New Roman" w:hAnsi="Times New Roman" w:eastAsia="宋体" w:cs="Times New Roman"/>
          <w:color w:val="auto"/>
          <w:kern w:val="2"/>
          <w:sz w:val="24"/>
          <w:szCs w:val="24"/>
          <w:lang w:val="en-US" w:eastAsia="zh-CN"/>
        </w:rPr>
        <w:t>3</w:t>
      </w:r>
      <w:r>
        <w:rPr>
          <w:rFonts w:ascii="Times New Roman" w:hAnsi="Times New Roman" w:eastAsia="宋体" w:cs="Times New Roman"/>
          <w:color w:val="auto"/>
          <w:kern w:val="2"/>
          <w:sz w:val="24"/>
          <w:szCs w:val="24"/>
        </w:rPr>
        <w:t>#镀镍线中主镀槽单槽容积</w:t>
      </w:r>
      <w:r>
        <w:rPr>
          <w:rFonts w:hint="eastAsia" w:ascii="Times New Roman" w:hAnsi="Times New Roman" w:eastAsia="宋体" w:cs="Times New Roman"/>
          <w:color w:val="auto"/>
          <w:kern w:val="2"/>
          <w:sz w:val="24"/>
          <w:szCs w:val="24"/>
          <w:lang w:val="en-US" w:eastAsia="zh-CN"/>
        </w:rPr>
        <w:t>减小</w:t>
      </w:r>
      <w:r>
        <w:rPr>
          <w:rFonts w:ascii="Times New Roman" w:hAnsi="Times New Roman" w:eastAsia="宋体" w:cs="Times New Roman"/>
          <w:color w:val="auto"/>
          <w:kern w:val="2"/>
          <w:sz w:val="24"/>
          <w:szCs w:val="24"/>
        </w:rPr>
        <w:t>，数量</w:t>
      </w:r>
      <w:r>
        <w:rPr>
          <w:rFonts w:hint="eastAsia" w:ascii="Times New Roman" w:hAnsi="Times New Roman" w:eastAsia="宋体" w:cs="Times New Roman"/>
          <w:color w:val="auto"/>
          <w:kern w:val="2"/>
          <w:sz w:val="24"/>
          <w:szCs w:val="24"/>
          <w:lang w:val="en-US" w:eastAsia="zh-CN"/>
        </w:rPr>
        <w:t>增加</w:t>
      </w:r>
      <w:r>
        <w:rPr>
          <w:rFonts w:ascii="Times New Roman" w:hAnsi="Times New Roman" w:eastAsia="宋体" w:cs="Times New Roman"/>
          <w:color w:val="auto"/>
          <w:kern w:val="2"/>
          <w:sz w:val="24"/>
          <w:szCs w:val="24"/>
        </w:rPr>
        <w:t>，</w:t>
      </w:r>
      <w:r>
        <w:rPr>
          <w:rFonts w:hint="eastAsia" w:ascii="Times New Roman" w:hAnsi="Times New Roman" w:eastAsia="宋体" w:cs="Times New Roman"/>
          <w:color w:val="auto"/>
          <w:kern w:val="2"/>
          <w:sz w:val="24"/>
          <w:szCs w:val="24"/>
        </w:rPr>
        <w:t>主镀槽总容积减小，</w:t>
      </w:r>
      <w:r>
        <w:rPr>
          <w:rFonts w:ascii="Times New Roman" w:hAnsi="Times New Roman" w:eastAsia="宋体" w:cs="Times New Roman"/>
          <w:color w:val="auto"/>
          <w:kern w:val="2"/>
          <w:sz w:val="24"/>
          <w:szCs w:val="24"/>
        </w:rPr>
        <w:t>其电镀能力不增加</w:t>
      </w:r>
      <w:r>
        <w:rPr>
          <w:rFonts w:hint="eastAsia" w:ascii="Times New Roman" w:hAnsi="Times New Roman" w:eastAsia="宋体" w:cs="Times New Roman"/>
          <w:color w:val="auto"/>
          <w:kern w:val="2"/>
          <w:sz w:val="24"/>
          <w:szCs w:val="24"/>
        </w:rPr>
        <w:t>。</w:t>
      </w:r>
    </w:p>
    <w:p w14:paraId="607B1584">
      <w:pPr>
        <w:ind w:firstLine="480"/>
        <w:jc w:val="both"/>
        <w:rPr>
          <w:rFonts w:hint="eastAsia"/>
          <w:color w:val="auto"/>
          <w:szCs w:val="24"/>
        </w:rPr>
      </w:pPr>
      <w:r>
        <w:rPr>
          <w:color w:val="auto"/>
          <w:szCs w:val="24"/>
        </w:rPr>
        <w:t>本项目实际建设情况与</w:t>
      </w:r>
      <w:r>
        <w:rPr>
          <w:rFonts w:hint="eastAsia"/>
          <w:color w:val="auto"/>
          <w:szCs w:val="24"/>
        </w:rPr>
        <w:t>《关于印发制浆造纸等十四个行业建设项目重大变动清单的通知》（环办环评〔2018〕6号）中《电镀建设项目重大变动清单》（试行）对比分析见下表。</w:t>
      </w:r>
    </w:p>
    <w:p w14:paraId="30BDC21E">
      <w:pPr>
        <w:spacing w:line="460" w:lineRule="exact"/>
        <w:ind w:firstLine="480"/>
        <w:jc w:val="both"/>
        <w:textAlignment w:val="baseline"/>
        <w:rPr>
          <w:rFonts w:eastAsia="黑体"/>
          <w:bCs/>
          <w:color w:val="auto"/>
          <w:szCs w:val="24"/>
        </w:rPr>
      </w:pPr>
      <w:r>
        <w:rPr>
          <w:rFonts w:eastAsia="黑体"/>
          <w:bCs/>
          <w:color w:val="auto"/>
          <w:szCs w:val="24"/>
        </w:rPr>
        <w:t>表3</w:t>
      </w:r>
      <w:r>
        <w:rPr>
          <w:rFonts w:hint="eastAsia" w:eastAsia="黑体"/>
          <w:bCs/>
          <w:color w:val="auto"/>
          <w:szCs w:val="24"/>
        </w:rPr>
        <w:t>-</w:t>
      </w:r>
      <w:r>
        <w:rPr>
          <w:rFonts w:eastAsia="黑体"/>
          <w:bCs/>
          <w:color w:val="auto"/>
          <w:szCs w:val="24"/>
        </w:rPr>
        <w:t xml:space="preserve">8         </w:t>
      </w:r>
      <w:r>
        <w:rPr>
          <w:rFonts w:hint="eastAsia" w:eastAsia="黑体"/>
          <w:bCs/>
          <w:color w:val="auto"/>
          <w:szCs w:val="24"/>
        </w:rPr>
        <w:t xml:space="preserve">     </w:t>
      </w:r>
      <w:r>
        <w:rPr>
          <w:rFonts w:eastAsia="黑体"/>
          <w:bCs/>
          <w:color w:val="auto"/>
          <w:szCs w:val="24"/>
        </w:rPr>
        <w:t xml:space="preserve"> </w:t>
      </w:r>
      <w:r>
        <w:rPr>
          <w:rFonts w:hint="eastAsia" w:eastAsia="黑体"/>
          <w:bCs/>
          <w:color w:val="auto"/>
          <w:szCs w:val="24"/>
          <w:lang w:val="en-US" w:eastAsia="zh-CN"/>
        </w:rPr>
        <w:t xml:space="preserve">         </w:t>
      </w:r>
      <w:r>
        <w:rPr>
          <w:rFonts w:eastAsia="黑体"/>
          <w:bCs/>
          <w:color w:val="auto"/>
          <w:szCs w:val="24"/>
        </w:rPr>
        <w:t xml:space="preserve">     </w:t>
      </w:r>
      <w:r>
        <w:rPr>
          <w:rFonts w:hint="eastAsia" w:eastAsia="黑体"/>
          <w:bCs/>
          <w:color w:val="auto"/>
          <w:szCs w:val="24"/>
        </w:rPr>
        <w:t>本项目与《通知》的对比分析</w:t>
      </w:r>
    </w:p>
    <w:tbl>
      <w:tblPr>
        <w:tblStyle w:val="26"/>
        <w:tblW w:w="918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97"/>
        <w:gridCol w:w="3788"/>
        <w:gridCol w:w="4125"/>
        <w:gridCol w:w="670"/>
      </w:tblGrid>
      <w:tr w14:paraId="6CF7CB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jc w:val="center"/>
        </w:trPr>
        <w:tc>
          <w:tcPr>
            <w:tcW w:w="597" w:type="dxa"/>
            <w:vAlign w:val="center"/>
          </w:tcPr>
          <w:p w14:paraId="0BFE3E46">
            <w:pPr>
              <w:widowControl w:val="0"/>
              <w:adjustRightInd/>
              <w:snapToGrid/>
              <w:spacing w:line="240" w:lineRule="auto"/>
              <w:ind w:firstLine="0" w:firstLineChars="0"/>
              <w:jc w:val="center"/>
              <w:rPr>
                <w:rFonts w:ascii="Times New Roman" w:hAnsi="Times New Roman" w:eastAsia="宋体" w:cs="Times New Roman"/>
                <w:b/>
                <w:bCs/>
                <w:kern w:val="2"/>
                <w:sz w:val="21"/>
                <w:szCs w:val="21"/>
              </w:rPr>
            </w:pPr>
            <w:r>
              <w:rPr>
                <w:rFonts w:ascii="Times New Roman" w:hAnsi="Times New Roman" w:eastAsia="宋体" w:cs="Times New Roman"/>
                <w:b/>
                <w:bCs/>
                <w:kern w:val="2"/>
                <w:sz w:val="21"/>
                <w:szCs w:val="21"/>
              </w:rPr>
              <w:t>类别</w:t>
            </w:r>
          </w:p>
        </w:tc>
        <w:tc>
          <w:tcPr>
            <w:tcW w:w="3788" w:type="dxa"/>
            <w:vAlign w:val="center"/>
          </w:tcPr>
          <w:p w14:paraId="2562AE5A">
            <w:pPr>
              <w:widowControl w:val="0"/>
              <w:adjustRightInd/>
              <w:snapToGrid/>
              <w:spacing w:line="240" w:lineRule="auto"/>
              <w:ind w:firstLine="0" w:firstLineChars="0"/>
              <w:jc w:val="center"/>
              <w:rPr>
                <w:rFonts w:ascii="Times New Roman" w:hAnsi="Times New Roman" w:eastAsia="宋体" w:cs="Times New Roman"/>
                <w:b/>
                <w:bCs/>
                <w:kern w:val="2"/>
                <w:sz w:val="21"/>
                <w:szCs w:val="21"/>
              </w:rPr>
            </w:pPr>
            <w:r>
              <w:rPr>
                <w:rFonts w:ascii="Times New Roman" w:hAnsi="Times New Roman" w:eastAsia="宋体" w:cs="Times New Roman"/>
                <w:b/>
                <w:bCs/>
                <w:kern w:val="2"/>
                <w:sz w:val="21"/>
                <w:szCs w:val="21"/>
              </w:rPr>
              <w:t>内容</w:t>
            </w:r>
          </w:p>
        </w:tc>
        <w:tc>
          <w:tcPr>
            <w:tcW w:w="4125" w:type="dxa"/>
            <w:vAlign w:val="center"/>
          </w:tcPr>
          <w:p w14:paraId="237F5187">
            <w:pPr>
              <w:widowControl w:val="0"/>
              <w:adjustRightInd/>
              <w:snapToGrid/>
              <w:spacing w:line="240" w:lineRule="auto"/>
              <w:ind w:firstLine="0" w:firstLineChars="0"/>
              <w:jc w:val="center"/>
              <w:rPr>
                <w:rFonts w:ascii="Times New Roman" w:hAnsi="Times New Roman" w:eastAsia="宋体" w:cs="Times New Roman"/>
                <w:b/>
                <w:bCs/>
                <w:kern w:val="2"/>
                <w:sz w:val="21"/>
                <w:szCs w:val="21"/>
              </w:rPr>
            </w:pPr>
            <w:r>
              <w:rPr>
                <w:rFonts w:ascii="Times New Roman" w:hAnsi="Times New Roman" w:eastAsia="宋体" w:cs="Times New Roman"/>
                <w:b/>
                <w:bCs/>
                <w:kern w:val="2"/>
                <w:sz w:val="21"/>
                <w:szCs w:val="21"/>
              </w:rPr>
              <w:t>本项目情况</w:t>
            </w:r>
          </w:p>
        </w:tc>
        <w:tc>
          <w:tcPr>
            <w:tcW w:w="670" w:type="dxa"/>
            <w:vAlign w:val="center"/>
          </w:tcPr>
          <w:p w14:paraId="330FAE4F">
            <w:pPr>
              <w:widowControl w:val="0"/>
              <w:adjustRightInd/>
              <w:snapToGrid/>
              <w:spacing w:line="240" w:lineRule="auto"/>
              <w:ind w:firstLine="0" w:firstLineChars="0"/>
              <w:jc w:val="center"/>
              <w:rPr>
                <w:rFonts w:ascii="Times New Roman" w:hAnsi="Times New Roman" w:eastAsia="宋体" w:cs="Times New Roman"/>
                <w:b/>
                <w:bCs/>
                <w:kern w:val="2"/>
                <w:sz w:val="21"/>
                <w:szCs w:val="21"/>
              </w:rPr>
            </w:pPr>
            <w:r>
              <w:rPr>
                <w:rFonts w:ascii="Times New Roman" w:hAnsi="Times New Roman" w:eastAsia="宋体" w:cs="Times New Roman"/>
                <w:b/>
                <w:bCs/>
                <w:kern w:val="2"/>
                <w:sz w:val="21"/>
                <w:szCs w:val="21"/>
              </w:rPr>
              <w:t>是否重大变动</w:t>
            </w:r>
          </w:p>
        </w:tc>
      </w:tr>
      <w:tr w14:paraId="6A806D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7" w:hRule="atLeast"/>
          <w:jc w:val="center"/>
        </w:trPr>
        <w:tc>
          <w:tcPr>
            <w:tcW w:w="597" w:type="dxa"/>
            <w:vAlign w:val="center"/>
          </w:tcPr>
          <w:p w14:paraId="3CE9158A">
            <w:pPr>
              <w:widowControl w:val="0"/>
              <w:adjustRightInd/>
              <w:snapToGrid/>
              <w:spacing w:line="240" w:lineRule="auto"/>
              <w:ind w:firstLine="0" w:firstLineChars="0"/>
              <w:jc w:val="center"/>
              <w:rPr>
                <w:rFonts w:ascii="Times New Roman" w:hAnsi="Times New Roman" w:eastAsia="宋体" w:cs="Times New Roman"/>
                <w:kern w:val="2"/>
                <w:sz w:val="21"/>
                <w:szCs w:val="21"/>
              </w:rPr>
            </w:pPr>
            <w:r>
              <w:rPr>
                <w:rFonts w:ascii="Times New Roman" w:hAnsi="Times New Roman" w:eastAsia="宋体" w:cs="Times New Roman"/>
                <w:kern w:val="2"/>
                <w:sz w:val="21"/>
                <w:szCs w:val="21"/>
              </w:rPr>
              <w:t>规模</w:t>
            </w:r>
          </w:p>
        </w:tc>
        <w:tc>
          <w:tcPr>
            <w:tcW w:w="3788" w:type="dxa"/>
            <w:vAlign w:val="center"/>
          </w:tcPr>
          <w:p w14:paraId="41EED51B">
            <w:pPr>
              <w:widowControl w:val="0"/>
              <w:adjustRightInd/>
              <w:snapToGrid/>
              <w:spacing w:line="240" w:lineRule="auto"/>
              <w:ind w:firstLine="0" w:firstLineChars="0"/>
              <w:jc w:val="left"/>
              <w:rPr>
                <w:rFonts w:ascii="Times New Roman" w:hAnsi="Times New Roman" w:eastAsia="宋体" w:cs="Times New Roman"/>
                <w:kern w:val="2"/>
                <w:sz w:val="21"/>
                <w:szCs w:val="21"/>
              </w:rPr>
            </w:pPr>
            <w:r>
              <w:rPr>
                <w:rFonts w:ascii="Times New Roman" w:hAnsi="Times New Roman" w:eastAsia="宋体" w:cs="Times New Roman"/>
                <w:kern w:val="2"/>
                <w:sz w:val="21"/>
                <w:szCs w:val="21"/>
              </w:rPr>
              <w:t>1.主镀槽规格增大或数量增加导致电镀生产能力增大30%及以上。</w:t>
            </w:r>
          </w:p>
        </w:tc>
        <w:tc>
          <w:tcPr>
            <w:tcW w:w="4125" w:type="dxa"/>
            <w:vAlign w:val="center"/>
          </w:tcPr>
          <w:p w14:paraId="7C047A6D">
            <w:pPr>
              <w:widowControl w:val="0"/>
              <w:adjustRightInd/>
              <w:snapToGrid/>
              <w:spacing w:line="240" w:lineRule="auto"/>
              <w:ind w:firstLine="0" w:firstLineChars="0"/>
              <w:jc w:val="left"/>
              <w:rPr>
                <w:rFonts w:ascii="Times New Roman" w:hAnsi="Times New Roman" w:eastAsia="宋体" w:cs="Times New Roman"/>
                <w:kern w:val="2"/>
                <w:sz w:val="21"/>
                <w:szCs w:val="21"/>
              </w:rPr>
            </w:pPr>
            <w:r>
              <w:rPr>
                <w:rFonts w:ascii="Times New Roman" w:hAnsi="Times New Roman" w:eastAsia="宋体" w:cs="Times New Roman"/>
                <w:b w:val="0"/>
                <w:bCs w:val="0"/>
                <w:kern w:val="2"/>
                <w:sz w:val="21"/>
                <w:szCs w:val="21"/>
                <w:u w:val="none"/>
              </w:rPr>
              <w:t>1.汽车配件挂镀锌工序生产线中主镀槽</w:t>
            </w:r>
            <w:r>
              <w:rPr>
                <w:rFonts w:hint="eastAsia" w:ascii="Times New Roman" w:hAnsi="Times New Roman" w:eastAsia="宋体" w:cs="Times New Roman"/>
                <w:b w:val="0"/>
                <w:bCs w:val="0"/>
                <w:kern w:val="2"/>
                <w:sz w:val="21"/>
                <w:szCs w:val="21"/>
                <w:u w:val="none"/>
              </w:rPr>
              <w:t>总容积减小</w:t>
            </w:r>
            <w:r>
              <w:rPr>
                <w:rFonts w:hint="eastAsia" w:ascii="Times New Roman" w:hAnsi="Times New Roman" w:eastAsia="宋体" w:cs="Times New Roman"/>
                <w:b w:val="0"/>
                <w:bCs w:val="0"/>
                <w:kern w:val="2"/>
                <w:sz w:val="21"/>
                <w:szCs w:val="21"/>
                <w:u w:val="none"/>
                <w:lang w:eastAsia="zh-CN"/>
              </w:rPr>
              <w:t>，</w:t>
            </w:r>
            <w:r>
              <w:rPr>
                <w:rFonts w:hint="eastAsia" w:ascii="Times New Roman" w:hAnsi="Times New Roman" w:eastAsia="宋体" w:cs="Times New Roman"/>
                <w:b w:val="0"/>
                <w:bCs w:val="0"/>
                <w:kern w:val="2"/>
                <w:sz w:val="21"/>
                <w:szCs w:val="21"/>
                <w:u w:val="none"/>
                <w:lang w:val="en-US" w:eastAsia="zh-CN"/>
              </w:rPr>
              <w:t>生产规模减小</w:t>
            </w:r>
            <w:r>
              <w:rPr>
                <w:rFonts w:hint="eastAsia" w:ascii="Times New Roman" w:hAnsi="Times New Roman" w:eastAsia="宋体" w:cs="Times New Roman"/>
                <w:b w:val="0"/>
                <w:bCs w:val="0"/>
                <w:kern w:val="2"/>
                <w:sz w:val="21"/>
                <w:szCs w:val="21"/>
                <w:u w:val="none"/>
              </w:rPr>
              <w:t>。</w:t>
            </w:r>
            <w:r>
              <w:rPr>
                <w:rFonts w:ascii="Times New Roman" w:hAnsi="Times New Roman" w:eastAsia="宋体" w:cs="Times New Roman"/>
                <w:kern w:val="2"/>
                <w:sz w:val="21"/>
                <w:szCs w:val="21"/>
              </w:rPr>
              <w:t>钢带1#镀镍线中主镀槽</w:t>
            </w:r>
            <w:r>
              <w:rPr>
                <w:rFonts w:hint="eastAsia" w:ascii="Times New Roman" w:hAnsi="Times New Roman" w:eastAsia="宋体" w:cs="Times New Roman"/>
                <w:kern w:val="2"/>
                <w:sz w:val="21"/>
                <w:szCs w:val="21"/>
              </w:rPr>
              <w:t>总容积减小。</w:t>
            </w:r>
            <w:r>
              <w:rPr>
                <w:rFonts w:ascii="Times New Roman" w:hAnsi="Times New Roman" w:eastAsia="宋体" w:cs="Times New Roman"/>
                <w:kern w:val="2"/>
                <w:sz w:val="21"/>
                <w:szCs w:val="21"/>
              </w:rPr>
              <w:t>钢带2#镀镍线中主镀槽</w:t>
            </w:r>
            <w:r>
              <w:rPr>
                <w:rFonts w:hint="eastAsia" w:ascii="Times New Roman" w:hAnsi="Times New Roman" w:eastAsia="宋体" w:cs="Times New Roman"/>
                <w:kern w:val="2"/>
                <w:sz w:val="21"/>
                <w:szCs w:val="21"/>
              </w:rPr>
              <w:t>总容积减小。</w:t>
            </w:r>
            <w:r>
              <w:rPr>
                <w:rFonts w:ascii="Times New Roman" w:hAnsi="Times New Roman" w:eastAsia="宋体" w:cs="Times New Roman"/>
                <w:kern w:val="2"/>
                <w:sz w:val="21"/>
                <w:szCs w:val="21"/>
              </w:rPr>
              <w:t>钢带</w:t>
            </w:r>
            <w:r>
              <w:rPr>
                <w:rFonts w:hint="eastAsia" w:ascii="Times New Roman" w:hAnsi="Times New Roman" w:eastAsia="宋体" w:cs="Times New Roman"/>
                <w:kern w:val="2"/>
                <w:sz w:val="21"/>
                <w:szCs w:val="21"/>
                <w:lang w:val="en-US" w:eastAsia="zh-CN"/>
              </w:rPr>
              <w:t>3</w:t>
            </w:r>
            <w:r>
              <w:rPr>
                <w:rFonts w:ascii="Times New Roman" w:hAnsi="Times New Roman" w:eastAsia="宋体" w:cs="Times New Roman"/>
                <w:kern w:val="2"/>
                <w:sz w:val="21"/>
                <w:szCs w:val="21"/>
              </w:rPr>
              <w:t>#镀镍线中主镀槽</w:t>
            </w:r>
            <w:r>
              <w:rPr>
                <w:rFonts w:hint="eastAsia" w:ascii="Times New Roman" w:hAnsi="Times New Roman" w:eastAsia="宋体" w:cs="Times New Roman"/>
                <w:kern w:val="2"/>
                <w:sz w:val="21"/>
                <w:szCs w:val="21"/>
              </w:rPr>
              <w:t>总容积减小。以上变动</w:t>
            </w:r>
            <w:r>
              <w:rPr>
                <w:rFonts w:ascii="Times New Roman" w:hAnsi="Times New Roman" w:eastAsia="宋体" w:cs="Times New Roman"/>
                <w:kern w:val="2"/>
                <w:sz w:val="21"/>
                <w:szCs w:val="21"/>
              </w:rPr>
              <w:t>均未导致</w:t>
            </w:r>
            <w:r>
              <w:rPr>
                <w:rFonts w:hint="eastAsia" w:ascii="Times New Roman" w:hAnsi="Times New Roman" w:eastAsia="宋体" w:cs="Times New Roman"/>
                <w:kern w:val="2"/>
                <w:sz w:val="21"/>
                <w:szCs w:val="21"/>
              </w:rPr>
              <w:t>电镀</w:t>
            </w:r>
            <w:r>
              <w:rPr>
                <w:rFonts w:ascii="Times New Roman" w:hAnsi="Times New Roman" w:eastAsia="宋体" w:cs="Times New Roman"/>
                <w:kern w:val="2"/>
                <w:sz w:val="21"/>
                <w:szCs w:val="21"/>
              </w:rPr>
              <w:t>生产能力增大。</w:t>
            </w:r>
          </w:p>
        </w:tc>
        <w:tc>
          <w:tcPr>
            <w:tcW w:w="670" w:type="dxa"/>
            <w:vAlign w:val="center"/>
          </w:tcPr>
          <w:p w14:paraId="32D4F0D9">
            <w:pPr>
              <w:widowControl w:val="0"/>
              <w:adjustRightInd/>
              <w:snapToGrid/>
              <w:spacing w:line="240" w:lineRule="auto"/>
              <w:ind w:firstLine="0" w:firstLineChars="0"/>
              <w:jc w:val="center"/>
              <w:rPr>
                <w:rFonts w:ascii="Times New Roman" w:hAnsi="Times New Roman" w:eastAsia="宋体" w:cs="Times New Roman"/>
                <w:kern w:val="2"/>
                <w:sz w:val="21"/>
                <w:szCs w:val="21"/>
              </w:rPr>
            </w:pPr>
            <w:r>
              <w:rPr>
                <w:rFonts w:ascii="Times New Roman" w:hAnsi="Times New Roman" w:eastAsia="宋体" w:cs="Times New Roman"/>
                <w:kern w:val="2"/>
                <w:sz w:val="21"/>
                <w:szCs w:val="21"/>
              </w:rPr>
              <w:t>否</w:t>
            </w:r>
          </w:p>
        </w:tc>
      </w:tr>
      <w:tr w14:paraId="077B26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2" w:hRule="atLeast"/>
          <w:jc w:val="center"/>
        </w:trPr>
        <w:tc>
          <w:tcPr>
            <w:tcW w:w="597" w:type="dxa"/>
            <w:vAlign w:val="center"/>
          </w:tcPr>
          <w:p w14:paraId="123C3182">
            <w:pPr>
              <w:widowControl w:val="0"/>
              <w:adjustRightInd/>
              <w:snapToGrid/>
              <w:spacing w:line="240" w:lineRule="auto"/>
              <w:ind w:firstLine="0" w:firstLineChars="0"/>
              <w:jc w:val="center"/>
              <w:rPr>
                <w:rFonts w:ascii="Times New Roman" w:hAnsi="Times New Roman" w:eastAsia="宋体" w:cs="Times New Roman"/>
                <w:kern w:val="2"/>
                <w:sz w:val="21"/>
                <w:szCs w:val="21"/>
              </w:rPr>
            </w:pPr>
            <w:r>
              <w:rPr>
                <w:rFonts w:ascii="Times New Roman" w:hAnsi="Times New Roman" w:eastAsia="宋体" w:cs="Times New Roman"/>
                <w:kern w:val="2"/>
                <w:sz w:val="21"/>
                <w:szCs w:val="21"/>
              </w:rPr>
              <w:t>建设地</w:t>
            </w:r>
          </w:p>
          <w:p w14:paraId="75C987D3">
            <w:pPr>
              <w:widowControl w:val="0"/>
              <w:adjustRightInd/>
              <w:snapToGrid/>
              <w:spacing w:line="240" w:lineRule="auto"/>
              <w:ind w:firstLine="0" w:firstLineChars="0"/>
              <w:jc w:val="center"/>
              <w:rPr>
                <w:rFonts w:ascii="Times New Roman" w:hAnsi="Times New Roman" w:eastAsia="宋体" w:cs="Times New Roman"/>
                <w:kern w:val="2"/>
                <w:sz w:val="21"/>
                <w:szCs w:val="21"/>
              </w:rPr>
            </w:pPr>
            <w:r>
              <w:rPr>
                <w:rFonts w:ascii="Times New Roman" w:hAnsi="Times New Roman" w:eastAsia="宋体" w:cs="Times New Roman"/>
                <w:kern w:val="2"/>
                <w:sz w:val="21"/>
                <w:szCs w:val="21"/>
              </w:rPr>
              <w:t>点</w:t>
            </w:r>
          </w:p>
        </w:tc>
        <w:tc>
          <w:tcPr>
            <w:tcW w:w="3788" w:type="dxa"/>
            <w:vAlign w:val="center"/>
          </w:tcPr>
          <w:p w14:paraId="590920C2">
            <w:pPr>
              <w:widowControl w:val="0"/>
              <w:adjustRightInd/>
              <w:snapToGrid/>
              <w:spacing w:line="240" w:lineRule="auto"/>
              <w:ind w:firstLine="0" w:firstLineChars="0"/>
              <w:jc w:val="left"/>
              <w:rPr>
                <w:rFonts w:ascii="Times New Roman" w:hAnsi="Times New Roman" w:eastAsia="宋体" w:cs="Times New Roman"/>
                <w:kern w:val="2"/>
                <w:sz w:val="21"/>
                <w:szCs w:val="21"/>
              </w:rPr>
            </w:pPr>
            <w:r>
              <w:rPr>
                <w:rFonts w:ascii="Times New Roman" w:hAnsi="Times New Roman" w:eastAsia="宋体" w:cs="Times New Roman"/>
                <w:kern w:val="2"/>
                <w:sz w:val="21"/>
                <w:szCs w:val="21"/>
              </w:rPr>
              <w:t>2.项目重新选址；在原厂址附近调整（包括总平面布置变化）导致防护距离内新增敏感点。</w:t>
            </w:r>
          </w:p>
        </w:tc>
        <w:tc>
          <w:tcPr>
            <w:tcW w:w="4125" w:type="dxa"/>
            <w:vAlign w:val="center"/>
          </w:tcPr>
          <w:p w14:paraId="3595D522">
            <w:pPr>
              <w:widowControl w:val="0"/>
              <w:adjustRightInd/>
              <w:snapToGrid/>
              <w:spacing w:line="240" w:lineRule="auto"/>
              <w:ind w:firstLine="0" w:firstLineChars="0"/>
              <w:jc w:val="left"/>
              <w:rPr>
                <w:rFonts w:ascii="Times New Roman" w:hAnsi="Times New Roman" w:eastAsia="宋体" w:cs="Times New Roman"/>
                <w:kern w:val="2"/>
                <w:sz w:val="21"/>
                <w:szCs w:val="21"/>
              </w:rPr>
            </w:pPr>
            <w:r>
              <w:rPr>
                <w:rFonts w:ascii="Times New Roman" w:hAnsi="Times New Roman" w:eastAsia="宋体" w:cs="Times New Roman"/>
                <w:kern w:val="2"/>
                <w:sz w:val="21"/>
                <w:szCs w:val="21"/>
              </w:rPr>
              <w:t>2</w:t>
            </w:r>
            <w:r>
              <w:rPr>
                <w:rFonts w:hint="eastAsia" w:ascii="Times New Roman" w:hAnsi="Times New Roman" w:eastAsia="宋体" w:cs="Times New Roman"/>
                <w:kern w:val="2"/>
                <w:sz w:val="21"/>
                <w:szCs w:val="21"/>
              </w:rPr>
              <w:t>.</w:t>
            </w:r>
            <w:r>
              <w:rPr>
                <w:rFonts w:ascii="Times New Roman" w:hAnsi="Times New Roman" w:eastAsia="宋体" w:cs="Times New Roman"/>
                <w:kern w:val="2"/>
                <w:sz w:val="21"/>
                <w:szCs w:val="21"/>
              </w:rPr>
              <w:t>本</w:t>
            </w:r>
            <w:r>
              <w:rPr>
                <w:rFonts w:hint="eastAsia" w:ascii="Times New Roman" w:hAnsi="Times New Roman" w:eastAsia="宋体" w:cs="Times New Roman"/>
                <w:kern w:val="2"/>
                <w:sz w:val="21"/>
                <w:szCs w:val="21"/>
                <w:lang w:val="en-US" w:eastAsia="zh-CN"/>
              </w:rPr>
              <w:t>项目一期</w:t>
            </w:r>
            <w:r>
              <w:rPr>
                <w:rFonts w:ascii="Times New Roman" w:hAnsi="Times New Roman" w:eastAsia="宋体" w:cs="Times New Roman"/>
                <w:kern w:val="2"/>
                <w:sz w:val="21"/>
                <w:szCs w:val="21"/>
              </w:rPr>
              <w:t>项目建设地址和环评选址一致。生产线位置在厂区内变化调整后，未导致环境敏感程度增加或环境防护距离变化，不增加环境敏感点</w:t>
            </w:r>
            <w:r>
              <w:rPr>
                <w:rFonts w:hint="eastAsia" w:ascii="Times New Roman" w:hAnsi="Times New Roman" w:eastAsia="宋体" w:cs="Times New Roman"/>
                <w:kern w:val="2"/>
                <w:sz w:val="21"/>
                <w:szCs w:val="21"/>
              </w:rPr>
              <w:t>。</w:t>
            </w:r>
          </w:p>
        </w:tc>
        <w:tc>
          <w:tcPr>
            <w:tcW w:w="670" w:type="dxa"/>
            <w:vAlign w:val="center"/>
          </w:tcPr>
          <w:p w14:paraId="05198723">
            <w:pPr>
              <w:widowControl w:val="0"/>
              <w:adjustRightInd/>
              <w:snapToGrid/>
              <w:spacing w:line="240" w:lineRule="auto"/>
              <w:ind w:firstLine="0" w:firstLineChars="0"/>
              <w:jc w:val="center"/>
              <w:rPr>
                <w:rFonts w:ascii="Times New Roman" w:hAnsi="Times New Roman" w:eastAsia="宋体" w:cs="Times New Roman"/>
                <w:kern w:val="2"/>
                <w:sz w:val="21"/>
                <w:szCs w:val="21"/>
              </w:rPr>
            </w:pPr>
            <w:r>
              <w:rPr>
                <w:rFonts w:ascii="Times New Roman" w:hAnsi="Times New Roman" w:eastAsia="宋体" w:cs="Times New Roman"/>
                <w:kern w:val="2"/>
                <w:sz w:val="21"/>
                <w:szCs w:val="21"/>
              </w:rPr>
              <w:t>否</w:t>
            </w:r>
          </w:p>
        </w:tc>
      </w:tr>
      <w:tr w14:paraId="285B5E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597" w:type="dxa"/>
            <w:vAlign w:val="center"/>
          </w:tcPr>
          <w:p w14:paraId="1CC3C0D7">
            <w:pPr>
              <w:widowControl w:val="0"/>
              <w:adjustRightInd/>
              <w:snapToGrid/>
              <w:spacing w:line="240" w:lineRule="auto"/>
              <w:ind w:firstLine="0" w:firstLineChars="0"/>
              <w:jc w:val="center"/>
              <w:rPr>
                <w:rFonts w:ascii="Times New Roman" w:hAnsi="Times New Roman" w:eastAsia="宋体" w:cs="Times New Roman"/>
                <w:kern w:val="2"/>
                <w:sz w:val="21"/>
                <w:szCs w:val="21"/>
              </w:rPr>
            </w:pPr>
            <w:r>
              <w:rPr>
                <w:rFonts w:ascii="Times New Roman" w:hAnsi="Times New Roman" w:eastAsia="宋体" w:cs="Times New Roman"/>
                <w:kern w:val="2"/>
                <w:sz w:val="21"/>
                <w:szCs w:val="21"/>
              </w:rPr>
              <w:t>生产工艺</w:t>
            </w:r>
          </w:p>
        </w:tc>
        <w:tc>
          <w:tcPr>
            <w:tcW w:w="3788" w:type="dxa"/>
            <w:vAlign w:val="center"/>
          </w:tcPr>
          <w:p w14:paraId="084BFA1F">
            <w:pPr>
              <w:widowControl w:val="0"/>
              <w:adjustRightInd/>
              <w:snapToGrid/>
              <w:spacing w:line="240" w:lineRule="auto"/>
              <w:ind w:firstLine="0" w:firstLineChars="0"/>
              <w:jc w:val="left"/>
              <w:rPr>
                <w:rFonts w:ascii="Times New Roman" w:hAnsi="Times New Roman" w:eastAsia="宋体" w:cs="Times New Roman"/>
                <w:kern w:val="2"/>
                <w:sz w:val="21"/>
                <w:szCs w:val="21"/>
              </w:rPr>
            </w:pPr>
            <w:r>
              <w:rPr>
                <w:rFonts w:ascii="Times New Roman" w:hAnsi="Times New Roman" w:eastAsia="宋体" w:cs="Times New Roman"/>
                <w:kern w:val="2"/>
                <w:sz w:val="21"/>
                <w:szCs w:val="21"/>
              </w:rPr>
              <w:t>3.镀种类型变化，导致新增污染物或污染物排放量增加。</w:t>
            </w:r>
          </w:p>
          <w:p w14:paraId="6C3B4889">
            <w:pPr>
              <w:widowControl w:val="0"/>
              <w:adjustRightInd/>
              <w:snapToGrid/>
              <w:spacing w:line="240" w:lineRule="auto"/>
              <w:ind w:firstLine="0" w:firstLineChars="0"/>
              <w:jc w:val="left"/>
              <w:rPr>
                <w:rFonts w:ascii="Times New Roman" w:hAnsi="Times New Roman" w:eastAsia="宋体" w:cs="Times New Roman"/>
                <w:kern w:val="2"/>
                <w:sz w:val="21"/>
                <w:szCs w:val="21"/>
              </w:rPr>
            </w:pPr>
            <w:r>
              <w:rPr>
                <w:rFonts w:ascii="Times New Roman" w:hAnsi="Times New Roman" w:eastAsia="宋体" w:cs="Times New Roman"/>
                <w:kern w:val="2"/>
                <w:sz w:val="21"/>
                <w:szCs w:val="21"/>
              </w:rPr>
              <w:t>4.主要生产工艺变化；主要原辅材料变化导致新增污染物或污染物排放量增加。</w:t>
            </w:r>
          </w:p>
        </w:tc>
        <w:tc>
          <w:tcPr>
            <w:tcW w:w="4125" w:type="dxa"/>
            <w:vAlign w:val="center"/>
          </w:tcPr>
          <w:p w14:paraId="18B170A8">
            <w:pPr>
              <w:widowControl w:val="0"/>
              <w:adjustRightInd/>
              <w:snapToGrid/>
              <w:spacing w:line="240" w:lineRule="auto"/>
              <w:ind w:firstLine="0" w:firstLineChars="0"/>
              <w:jc w:val="left"/>
              <w:rPr>
                <w:rFonts w:hint="eastAsia" w:ascii="Times New Roman" w:hAnsi="Times New Roman" w:eastAsia="宋体" w:cs="Times New Roman"/>
                <w:kern w:val="2"/>
                <w:sz w:val="21"/>
                <w:szCs w:val="21"/>
                <w:lang w:val="en-US" w:eastAsia="zh-CN"/>
              </w:rPr>
            </w:pPr>
            <w:r>
              <w:rPr>
                <w:rFonts w:ascii="Times New Roman" w:hAnsi="Times New Roman" w:eastAsia="宋体" w:cs="Times New Roman"/>
                <w:kern w:val="2"/>
                <w:sz w:val="21"/>
                <w:szCs w:val="21"/>
              </w:rPr>
              <w:t>3</w:t>
            </w:r>
            <w:r>
              <w:rPr>
                <w:rFonts w:hint="eastAsia" w:ascii="Times New Roman" w:hAnsi="Times New Roman" w:eastAsia="宋体" w:cs="Times New Roman"/>
                <w:kern w:val="2"/>
                <w:sz w:val="21"/>
                <w:szCs w:val="21"/>
              </w:rPr>
              <w:t>.</w:t>
            </w:r>
            <w:r>
              <w:rPr>
                <w:rFonts w:ascii="Times New Roman" w:hAnsi="Times New Roman" w:eastAsia="宋体" w:cs="Times New Roman"/>
                <w:kern w:val="2"/>
                <w:sz w:val="21"/>
                <w:szCs w:val="21"/>
              </w:rPr>
              <w:t>本</w:t>
            </w:r>
            <w:r>
              <w:rPr>
                <w:rFonts w:hint="eastAsia" w:ascii="Times New Roman" w:hAnsi="Times New Roman" w:eastAsia="宋体" w:cs="Times New Roman"/>
                <w:kern w:val="2"/>
                <w:sz w:val="21"/>
                <w:szCs w:val="21"/>
                <w:lang w:val="en-US" w:eastAsia="zh-CN"/>
              </w:rPr>
              <w:t>项目一期</w:t>
            </w:r>
            <w:r>
              <w:rPr>
                <w:rFonts w:ascii="Times New Roman" w:hAnsi="Times New Roman" w:eastAsia="宋体" w:cs="Times New Roman"/>
                <w:kern w:val="2"/>
                <w:sz w:val="21"/>
                <w:szCs w:val="21"/>
              </w:rPr>
              <w:t>项目</w:t>
            </w:r>
            <w:r>
              <w:rPr>
                <w:rFonts w:hint="eastAsia" w:ascii="Times New Roman" w:hAnsi="Times New Roman" w:eastAsia="宋体" w:cs="Times New Roman"/>
                <w:kern w:val="2"/>
                <w:sz w:val="21"/>
                <w:szCs w:val="21"/>
                <w:lang w:val="en-US" w:eastAsia="zh-CN"/>
              </w:rPr>
              <w:t>不涉及。</w:t>
            </w:r>
          </w:p>
          <w:p w14:paraId="1575BB7A">
            <w:pPr>
              <w:widowControl w:val="0"/>
              <w:adjustRightInd/>
              <w:snapToGrid/>
              <w:spacing w:line="240" w:lineRule="auto"/>
              <w:ind w:firstLine="0" w:firstLineChars="0"/>
              <w:jc w:val="left"/>
              <w:rPr>
                <w:rFonts w:hint="eastAsia" w:ascii="Times New Roman" w:hAnsi="Times New Roman" w:eastAsia="宋体" w:cs="Times New Roman"/>
                <w:kern w:val="2"/>
                <w:sz w:val="21"/>
                <w:szCs w:val="21"/>
                <w:lang w:eastAsia="zh-CN"/>
              </w:rPr>
            </w:pPr>
            <w:r>
              <w:rPr>
                <w:rFonts w:ascii="Times New Roman" w:hAnsi="Times New Roman" w:eastAsia="宋体" w:cs="Times New Roman"/>
                <w:kern w:val="2"/>
                <w:sz w:val="21"/>
                <w:szCs w:val="21"/>
              </w:rPr>
              <w:t>4.本</w:t>
            </w:r>
            <w:r>
              <w:rPr>
                <w:rFonts w:hint="eastAsia" w:ascii="Times New Roman" w:hAnsi="Times New Roman" w:eastAsia="宋体" w:cs="Times New Roman"/>
                <w:kern w:val="2"/>
                <w:sz w:val="21"/>
                <w:szCs w:val="21"/>
                <w:lang w:val="en-US" w:eastAsia="zh-CN"/>
              </w:rPr>
              <w:t>项目一期</w:t>
            </w:r>
            <w:r>
              <w:rPr>
                <w:rFonts w:ascii="Times New Roman" w:hAnsi="Times New Roman" w:eastAsia="宋体" w:cs="Times New Roman"/>
                <w:kern w:val="2"/>
                <w:sz w:val="21"/>
                <w:szCs w:val="21"/>
              </w:rPr>
              <w:t>项目</w:t>
            </w:r>
            <w:r>
              <w:rPr>
                <w:rFonts w:hint="eastAsia" w:ascii="Times New Roman" w:hAnsi="Times New Roman" w:eastAsia="宋体" w:cs="Times New Roman"/>
                <w:kern w:val="2"/>
                <w:sz w:val="21"/>
                <w:szCs w:val="21"/>
                <w:lang w:val="en-US" w:eastAsia="zh-CN"/>
              </w:rPr>
              <w:t>不涉及。</w:t>
            </w:r>
          </w:p>
        </w:tc>
        <w:tc>
          <w:tcPr>
            <w:tcW w:w="670" w:type="dxa"/>
            <w:vAlign w:val="center"/>
          </w:tcPr>
          <w:p w14:paraId="7E76B4F2">
            <w:pPr>
              <w:widowControl w:val="0"/>
              <w:adjustRightInd/>
              <w:snapToGrid/>
              <w:spacing w:line="240" w:lineRule="auto"/>
              <w:ind w:firstLine="0" w:firstLineChars="0"/>
              <w:jc w:val="center"/>
              <w:rPr>
                <w:rFonts w:ascii="Times New Roman" w:hAnsi="Times New Roman" w:eastAsia="宋体" w:cs="Times New Roman"/>
                <w:kern w:val="2"/>
                <w:sz w:val="21"/>
                <w:szCs w:val="21"/>
              </w:rPr>
            </w:pPr>
            <w:r>
              <w:rPr>
                <w:rFonts w:ascii="Times New Roman" w:hAnsi="Times New Roman" w:eastAsia="宋体" w:cs="Times New Roman"/>
                <w:kern w:val="2"/>
                <w:sz w:val="21"/>
                <w:szCs w:val="21"/>
              </w:rPr>
              <w:t>否</w:t>
            </w:r>
          </w:p>
        </w:tc>
      </w:tr>
      <w:tr w14:paraId="677EE7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597" w:type="dxa"/>
            <w:vAlign w:val="center"/>
          </w:tcPr>
          <w:p w14:paraId="77081946">
            <w:pPr>
              <w:widowControl w:val="0"/>
              <w:adjustRightInd/>
              <w:snapToGrid/>
              <w:spacing w:line="240" w:lineRule="auto"/>
              <w:ind w:firstLine="0" w:firstLineChars="0"/>
              <w:jc w:val="center"/>
              <w:rPr>
                <w:rFonts w:ascii="Times New Roman" w:hAnsi="Times New Roman" w:eastAsia="宋体" w:cs="Times New Roman"/>
                <w:kern w:val="2"/>
                <w:sz w:val="21"/>
                <w:szCs w:val="21"/>
              </w:rPr>
            </w:pPr>
            <w:r>
              <w:rPr>
                <w:rFonts w:ascii="Times New Roman" w:hAnsi="Times New Roman" w:eastAsia="宋体" w:cs="Times New Roman"/>
                <w:kern w:val="2"/>
                <w:sz w:val="21"/>
                <w:szCs w:val="21"/>
              </w:rPr>
              <w:t>环境保护措施</w:t>
            </w:r>
          </w:p>
        </w:tc>
        <w:tc>
          <w:tcPr>
            <w:tcW w:w="3788" w:type="dxa"/>
            <w:vAlign w:val="center"/>
          </w:tcPr>
          <w:p w14:paraId="787B2E13">
            <w:pPr>
              <w:widowControl w:val="0"/>
              <w:adjustRightInd/>
              <w:snapToGrid/>
              <w:spacing w:line="240" w:lineRule="auto"/>
              <w:ind w:firstLine="0" w:firstLineChars="0"/>
              <w:jc w:val="left"/>
              <w:rPr>
                <w:rFonts w:ascii="Times New Roman" w:hAnsi="Times New Roman" w:eastAsia="宋体" w:cs="Times New Roman"/>
                <w:kern w:val="2"/>
                <w:sz w:val="21"/>
                <w:szCs w:val="21"/>
              </w:rPr>
            </w:pPr>
            <w:r>
              <w:rPr>
                <w:rFonts w:ascii="Times New Roman" w:hAnsi="Times New Roman" w:eastAsia="宋体" w:cs="Times New Roman"/>
                <w:kern w:val="2"/>
                <w:sz w:val="21"/>
                <w:szCs w:val="21"/>
              </w:rPr>
              <w:t>5.废水、废气处理工艺变化，导致新增污染物或污染物排放量增加（废气无组织排放改为有组织排放除外）。</w:t>
            </w:r>
          </w:p>
          <w:p w14:paraId="5E1849C2">
            <w:pPr>
              <w:widowControl w:val="0"/>
              <w:adjustRightInd/>
              <w:snapToGrid/>
              <w:spacing w:line="240" w:lineRule="auto"/>
              <w:ind w:firstLine="0" w:firstLineChars="0"/>
              <w:jc w:val="left"/>
              <w:rPr>
                <w:rFonts w:ascii="Times New Roman" w:hAnsi="Times New Roman" w:eastAsia="宋体" w:cs="Times New Roman"/>
                <w:kern w:val="2"/>
                <w:sz w:val="21"/>
                <w:szCs w:val="21"/>
              </w:rPr>
            </w:pPr>
            <w:r>
              <w:rPr>
                <w:rFonts w:ascii="Times New Roman" w:hAnsi="Times New Roman" w:eastAsia="宋体" w:cs="Times New Roman"/>
                <w:kern w:val="2"/>
                <w:sz w:val="21"/>
                <w:szCs w:val="21"/>
              </w:rPr>
              <w:t>6.排气筒高度降低10%及以上。</w:t>
            </w:r>
          </w:p>
          <w:p w14:paraId="06552894">
            <w:pPr>
              <w:widowControl w:val="0"/>
              <w:adjustRightInd/>
              <w:snapToGrid/>
              <w:spacing w:line="240" w:lineRule="auto"/>
              <w:ind w:firstLine="0" w:firstLineChars="0"/>
              <w:jc w:val="left"/>
              <w:rPr>
                <w:rFonts w:ascii="Times New Roman" w:hAnsi="Times New Roman" w:eastAsia="宋体" w:cs="Times New Roman"/>
                <w:kern w:val="2"/>
                <w:sz w:val="21"/>
                <w:szCs w:val="21"/>
              </w:rPr>
            </w:pPr>
            <w:r>
              <w:rPr>
                <w:rFonts w:ascii="Times New Roman" w:hAnsi="Times New Roman" w:eastAsia="宋体" w:cs="Times New Roman"/>
                <w:kern w:val="2"/>
                <w:sz w:val="21"/>
                <w:szCs w:val="21"/>
              </w:rPr>
              <w:t>7.新增水排放口；废水排放去向由间接排放改为直接排放；直接排放口位置变化导致不利环境影响加重。</w:t>
            </w:r>
          </w:p>
        </w:tc>
        <w:tc>
          <w:tcPr>
            <w:tcW w:w="4125" w:type="dxa"/>
            <w:vAlign w:val="center"/>
          </w:tcPr>
          <w:p w14:paraId="1847A0A6">
            <w:pPr>
              <w:widowControl w:val="0"/>
              <w:adjustRightInd/>
              <w:snapToGrid/>
              <w:spacing w:line="240" w:lineRule="auto"/>
              <w:ind w:firstLine="0" w:firstLineChars="0"/>
              <w:jc w:val="left"/>
              <w:rPr>
                <w:rFonts w:ascii="Times New Roman" w:hAnsi="Times New Roman" w:eastAsia="宋体" w:cs="Times New Roman"/>
                <w:kern w:val="2"/>
                <w:sz w:val="21"/>
                <w:szCs w:val="21"/>
              </w:rPr>
            </w:pPr>
            <w:r>
              <w:rPr>
                <w:rFonts w:ascii="Times New Roman" w:hAnsi="Times New Roman" w:eastAsia="宋体" w:cs="Times New Roman"/>
                <w:kern w:val="2"/>
                <w:sz w:val="21"/>
                <w:szCs w:val="21"/>
              </w:rPr>
              <w:t>5.本</w:t>
            </w:r>
            <w:r>
              <w:rPr>
                <w:rFonts w:hint="eastAsia" w:ascii="Times New Roman" w:hAnsi="Times New Roman" w:eastAsia="宋体" w:cs="Times New Roman"/>
                <w:kern w:val="2"/>
                <w:sz w:val="21"/>
                <w:szCs w:val="21"/>
                <w:lang w:val="en-US" w:eastAsia="zh-CN"/>
              </w:rPr>
              <w:t>项目一期</w:t>
            </w:r>
            <w:r>
              <w:rPr>
                <w:rFonts w:ascii="Times New Roman" w:hAnsi="Times New Roman" w:eastAsia="宋体" w:cs="Times New Roman"/>
                <w:kern w:val="2"/>
                <w:sz w:val="21"/>
                <w:szCs w:val="21"/>
              </w:rPr>
              <w:t>项目</w:t>
            </w:r>
            <w:r>
              <w:rPr>
                <w:rFonts w:hint="eastAsia" w:ascii="Times New Roman" w:hAnsi="Times New Roman" w:eastAsia="宋体" w:cs="Times New Roman"/>
                <w:kern w:val="2"/>
                <w:sz w:val="21"/>
                <w:szCs w:val="21"/>
                <w:lang w:val="en-US" w:eastAsia="zh-CN"/>
              </w:rPr>
              <w:t>废水废气处理工艺无变化</w:t>
            </w:r>
            <w:r>
              <w:rPr>
                <w:rFonts w:hint="eastAsia" w:ascii="Times New Roman" w:hAnsi="Times New Roman" w:eastAsia="宋体" w:cs="Times New Roman"/>
                <w:kern w:val="2"/>
                <w:sz w:val="21"/>
                <w:szCs w:val="21"/>
              </w:rPr>
              <w:t>。</w:t>
            </w:r>
          </w:p>
          <w:p w14:paraId="5770C43C">
            <w:pPr>
              <w:widowControl w:val="0"/>
              <w:adjustRightInd/>
              <w:snapToGrid/>
              <w:spacing w:line="240" w:lineRule="auto"/>
              <w:ind w:firstLine="0" w:firstLineChars="0"/>
              <w:jc w:val="left"/>
              <w:rPr>
                <w:rFonts w:ascii="Times New Roman" w:hAnsi="Times New Roman" w:eastAsia="宋体" w:cs="Times New Roman"/>
                <w:kern w:val="2"/>
                <w:sz w:val="21"/>
                <w:szCs w:val="21"/>
              </w:rPr>
            </w:pPr>
            <w:r>
              <w:rPr>
                <w:rFonts w:ascii="Times New Roman" w:hAnsi="Times New Roman" w:eastAsia="宋体" w:cs="Times New Roman"/>
                <w:kern w:val="2"/>
                <w:sz w:val="21"/>
                <w:szCs w:val="21"/>
              </w:rPr>
              <w:t>6</w:t>
            </w:r>
            <w:r>
              <w:rPr>
                <w:rFonts w:hint="eastAsia" w:ascii="Times New Roman" w:hAnsi="Times New Roman" w:eastAsia="宋体" w:cs="Times New Roman"/>
                <w:kern w:val="2"/>
                <w:sz w:val="21"/>
                <w:szCs w:val="21"/>
              </w:rPr>
              <w:t>.</w:t>
            </w:r>
            <w:r>
              <w:rPr>
                <w:rFonts w:ascii="Times New Roman" w:hAnsi="Times New Roman" w:eastAsia="宋体" w:cs="Times New Roman"/>
                <w:kern w:val="2"/>
                <w:sz w:val="21"/>
                <w:szCs w:val="21"/>
              </w:rPr>
              <w:t>本</w:t>
            </w:r>
            <w:r>
              <w:rPr>
                <w:rFonts w:hint="eastAsia" w:ascii="Times New Roman" w:hAnsi="Times New Roman" w:eastAsia="宋体" w:cs="Times New Roman"/>
                <w:kern w:val="2"/>
                <w:sz w:val="21"/>
                <w:szCs w:val="21"/>
                <w:lang w:val="en-US" w:eastAsia="zh-CN"/>
              </w:rPr>
              <w:t>项目一期</w:t>
            </w:r>
            <w:r>
              <w:rPr>
                <w:rFonts w:ascii="Times New Roman" w:hAnsi="Times New Roman" w:eastAsia="宋体" w:cs="Times New Roman"/>
                <w:kern w:val="2"/>
                <w:sz w:val="21"/>
                <w:szCs w:val="21"/>
              </w:rPr>
              <w:t>项目排气筒高度未降低。</w:t>
            </w:r>
          </w:p>
          <w:p w14:paraId="002BEEE9">
            <w:pPr>
              <w:widowControl w:val="0"/>
              <w:adjustRightInd/>
              <w:snapToGrid/>
              <w:spacing w:line="240" w:lineRule="auto"/>
              <w:ind w:firstLine="0" w:firstLineChars="0"/>
              <w:jc w:val="left"/>
              <w:rPr>
                <w:rFonts w:ascii="Times New Roman" w:hAnsi="Times New Roman" w:eastAsia="宋体" w:cs="Times New Roman"/>
                <w:kern w:val="2"/>
                <w:sz w:val="21"/>
                <w:szCs w:val="21"/>
              </w:rPr>
            </w:pPr>
            <w:r>
              <w:rPr>
                <w:rFonts w:ascii="Times New Roman" w:hAnsi="Times New Roman" w:eastAsia="宋体" w:cs="Times New Roman"/>
                <w:kern w:val="2"/>
                <w:sz w:val="21"/>
                <w:szCs w:val="21"/>
              </w:rPr>
              <w:t>7.本</w:t>
            </w:r>
            <w:r>
              <w:rPr>
                <w:rFonts w:hint="eastAsia" w:ascii="Times New Roman" w:hAnsi="Times New Roman" w:eastAsia="宋体" w:cs="Times New Roman"/>
                <w:kern w:val="2"/>
                <w:sz w:val="21"/>
                <w:szCs w:val="21"/>
                <w:lang w:val="en-US" w:eastAsia="zh-CN"/>
              </w:rPr>
              <w:t>项目一期</w:t>
            </w:r>
            <w:r>
              <w:rPr>
                <w:rFonts w:ascii="Times New Roman" w:hAnsi="Times New Roman" w:eastAsia="宋体" w:cs="Times New Roman"/>
                <w:kern w:val="2"/>
                <w:sz w:val="21"/>
                <w:szCs w:val="21"/>
              </w:rPr>
              <w:t>项目</w:t>
            </w:r>
            <w:r>
              <w:rPr>
                <w:rFonts w:hint="eastAsia" w:ascii="Times New Roman" w:hAnsi="Times New Roman" w:eastAsia="宋体" w:cs="Times New Roman"/>
                <w:kern w:val="2"/>
                <w:sz w:val="21"/>
                <w:szCs w:val="21"/>
                <w:lang w:val="en-US" w:eastAsia="zh-CN"/>
              </w:rPr>
              <w:t>不涉及</w:t>
            </w:r>
            <w:r>
              <w:rPr>
                <w:rFonts w:ascii="Times New Roman" w:hAnsi="Times New Roman" w:eastAsia="宋体" w:cs="Times New Roman"/>
                <w:kern w:val="2"/>
                <w:sz w:val="21"/>
                <w:szCs w:val="21"/>
              </w:rPr>
              <w:t>。</w:t>
            </w:r>
          </w:p>
        </w:tc>
        <w:tc>
          <w:tcPr>
            <w:tcW w:w="670" w:type="dxa"/>
            <w:vAlign w:val="center"/>
          </w:tcPr>
          <w:p w14:paraId="5DB3D6CB">
            <w:pPr>
              <w:widowControl w:val="0"/>
              <w:adjustRightInd/>
              <w:snapToGrid/>
              <w:spacing w:line="240" w:lineRule="auto"/>
              <w:ind w:firstLine="0" w:firstLineChars="0"/>
              <w:jc w:val="center"/>
              <w:rPr>
                <w:rFonts w:ascii="Times New Roman" w:hAnsi="Times New Roman" w:eastAsia="宋体" w:cs="Times New Roman"/>
                <w:kern w:val="2"/>
                <w:sz w:val="21"/>
                <w:szCs w:val="21"/>
              </w:rPr>
            </w:pPr>
            <w:r>
              <w:rPr>
                <w:rFonts w:ascii="Times New Roman" w:hAnsi="Times New Roman" w:eastAsia="宋体" w:cs="Times New Roman"/>
                <w:kern w:val="2"/>
                <w:sz w:val="21"/>
                <w:szCs w:val="21"/>
              </w:rPr>
              <w:t>否</w:t>
            </w:r>
          </w:p>
        </w:tc>
      </w:tr>
    </w:tbl>
    <w:p w14:paraId="0E8867FA">
      <w:pPr>
        <w:spacing w:line="460" w:lineRule="exact"/>
        <w:ind w:firstLine="480"/>
        <w:jc w:val="both"/>
        <w:textAlignment w:val="baseline"/>
        <w:rPr>
          <w:rFonts w:hint="eastAsia" w:hAnsi="宋体"/>
          <w:color w:val="auto"/>
          <w:szCs w:val="24"/>
        </w:rPr>
      </w:pPr>
      <w:r>
        <w:rPr>
          <w:rFonts w:hint="eastAsia" w:hAnsi="宋体"/>
          <w:color w:val="auto"/>
          <w:szCs w:val="24"/>
        </w:rPr>
        <w:t>根据上表对比结果可知，本项目发生的变动情况不属于重大变动，满足验收要求。</w:t>
      </w:r>
    </w:p>
    <w:p w14:paraId="31D7E75B">
      <w:pPr>
        <w:ind w:firstLine="480"/>
        <w:rPr>
          <w:color w:val="auto"/>
        </w:rPr>
      </w:pPr>
      <w:r>
        <w:rPr>
          <w:rFonts w:hint="eastAsia" w:hAnsi="宋体"/>
          <w:color w:val="auto"/>
          <w:szCs w:val="24"/>
        </w:rPr>
        <w:t>本项目实际建设情况与《污染影响类建设项目重大变动清单（试行）的通知》（环办环评函[2020]688号）以下简称《通知》的对比分析：</w:t>
      </w:r>
    </w:p>
    <w:p w14:paraId="42D34F3F">
      <w:pPr>
        <w:spacing w:line="460" w:lineRule="exact"/>
        <w:ind w:firstLine="480"/>
        <w:jc w:val="both"/>
        <w:textAlignment w:val="baseline"/>
        <w:rPr>
          <w:rFonts w:eastAsia="黑体"/>
          <w:bCs/>
          <w:color w:val="auto"/>
          <w:szCs w:val="24"/>
        </w:rPr>
      </w:pPr>
      <w:r>
        <w:rPr>
          <w:rFonts w:eastAsia="黑体"/>
          <w:bCs/>
          <w:color w:val="auto"/>
          <w:szCs w:val="24"/>
        </w:rPr>
        <w:t xml:space="preserve">表3-9          </w:t>
      </w:r>
      <w:r>
        <w:rPr>
          <w:rFonts w:hint="eastAsia" w:eastAsia="黑体"/>
          <w:bCs/>
          <w:color w:val="auto"/>
          <w:szCs w:val="24"/>
          <w:lang w:val="en-US" w:eastAsia="zh-CN"/>
        </w:rPr>
        <w:t xml:space="preserve">                     </w:t>
      </w:r>
      <w:r>
        <w:rPr>
          <w:rFonts w:eastAsia="黑体"/>
          <w:bCs/>
          <w:color w:val="auto"/>
          <w:szCs w:val="24"/>
        </w:rPr>
        <w:t xml:space="preserve">     </w:t>
      </w:r>
      <w:r>
        <w:rPr>
          <w:rFonts w:hint="eastAsia" w:eastAsia="黑体"/>
          <w:bCs/>
          <w:color w:val="auto"/>
          <w:szCs w:val="24"/>
        </w:rPr>
        <w:t>本项目与《通知》的对比分析</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655"/>
        <w:gridCol w:w="5051"/>
        <w:gridCol w:w="2638"/>
        <w:gridCol w:w="842"/>
      </w:tblGrid>
      <w:tr w14:paraId="38C4E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tblHeader/>
          <w:jc w:val="center"/>
        </w:trPr>
        <w:tc>
          <w:tcPr>
            <w:tcW w:w="5706" w:type="dxa"/>
            <w:gridSpan w:val="2"/>
            <w:vAlign w:val="center"/>
          </w:tcPr>
          <w:p w14:paraId="3F93FEC6">
            <w:pPr>
              <w:spacing w:line="240" w:lineRule="auto"/>
              <w:ind w:firstLine="0" w:firstLineChars="0"/>
              <w:jc w:val="center"/>
              <w:rPr>
                <w:b/>
                <w:color w:val="auto"/>
                <w:sz w:val="21"/>
                <w:szCs w:val="21"/>
              </w:rPr>
            </w:pPr>
            <w:r>
              <w:rPr>
                <w:b/>
                <w:color w:val="auto"/>
                <w:sz w:val="21"/>
                <w:szCs w:val="21"/>
              </w:rPr>
              <w:t>通知内容</w:t>
            </w:r>
          </w:p>
        </w:tc>
        <w:tc>
          <w:tcPr>
            <w:tcW w:w="2638" w:type="dxa"/>
            <w:vAlign w:val="center"/>
          </w:tcPr>
          <w:p w14:paraId="2BA1D86F">
            <w:pPr>
              <w:spacing w:line="240" w:lineRule="auto"/>
              <w:ind w:firstLine="0" w:firstLineChars="0"/>
              <w:jc w:val="center"/>
              <w:rPr>
                <w:b/>
                <w:color w:val="auto"/>
                <w:sz w:val="21"/>
                <w:szCs w:val="21"/>
              </w:rPr>
            </w:pPr>
            <w:r>
              <w:rPr>
                <w:b/>
                <w:color w:val="auto"/>
                <w:sz w:val="21"/>
                <w:szCs w:val="21"/>
              </w:rPr>
              <w:t>本项目情况</w:t>
            </w:r>
          </w:p>
        </w:tc>
        <w:tc>
          <w:tcPr>
            <w:tcW w:w="842" w:type="dxa"/>
            <w:vAlign w:val="center"/>
          </w:tcPr>
          <w:p w14:paraId="7AF8E061">
            <w:pPr>
              <w:spacing w:line="240" w:lineRule="auto"/>
              <w:ind w:firstLine="0" w:firstLineChars="0"/>
              <w:jc w:val="center"/>
              <w:rPr>
                <w:b/>
                <w:color w:val="auto"/>
                <w:sz w:val="21"/>
                <w:szCs w:val="21"/>
              </w:rPr>
            </w:pPr>
            <w:r>
              <w:rPr>
                <w:rFonts w:hint="eastAsia"/>
                <w:b/>
                <w:color w:val="auto"/>
                <w:sz w:val="21"/>
                <w:szCs w:val="21"/>
              </w:rPr>
              <w:t>对比结果</w:t>
            </w:r>
          </w:p>
        </w:tc>
      </w:tr>
      <w:tr w14:paraId="42BF5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655" w:type="dxa"/>
            <w:vAlign w:val="center"/>
          </w:tcPr>
          <w:p w14:paraId="744810DD">
            <w:pPr>
              <w:spacing w:line="240" w:lineRule="auto"/>
              <w:ind w:firstLine="0" w:firstLineChars="0"/>
              <w:jc w:val="center"/>
              <w:rPr>
                <w:color w:val="auto"/>
                <w:sz w:val="21"/>
                <w:szCs w:val="21"/>
              </w:rPr>
            </w:pPr>
            <w:r>
              <w:rPr>
                <w:rFonts w:hint="eastAsia"/>
                <w:color w:val="auto"/>
                <w:sz w:val="21"/>
                <w:szCs w:val="21"/>
              </w:rPr>
              <w:t>性质</w:t>
            </w:r>
          </w:p>
        </w:tc>
        <w:tc>
          <w:tcPr>
            <w:tcW w:w="5051" w:type="dxa"/>
            <w:vAlign w:val="center"/>
          </w:tcPr>
          <w:p w14:paraId="0BBBDAA3">
            <w:pPr>
              <w:spacing w:line="240" w:lineRule="auto"/>
              <w:ind w:firstLine="0" w:firstLineChars="0"/>
              <w:rPr>
                <w:color w:val="auto"/>
                <w:sz w:val="21"/>
                <w:szCs w:val="21"/>
              </w:rPr>
            </w:pPr>
            <w:r>
              <w:rPr>
                <w:rFonts w:hint="eastAsia"/>
                <w:color w:val="auto"/>
                <w:sz w:val="21"/>
                <w:szCs w:val="21"/>
              </w:rPr>
              <w:t>1、</w:t>
            </w:r>
            <w:r>
              <w:rPr>
                <w:color w:val="auto"/>
                <w:sz w:val="21"/>
                <w:szCs w:val="21"/>
              </w:rPr>
              <w:t>建设项目开发、使用功能发生变化的</w:t>
            </w:r>
            <w:r>
              <w:rPr>
                <w:rFonts w:hint="eastAsia"/>
                <w:color w:val="auto"/>
                <w:sz w:val="21"/>
                <w:szCs w:val="21"/>
              </w:rPr>
              <w:t>。</w:t>
            </w:r>
          </w:p>
        </w:tc>
        <w:tc>
          <w:tcPr>
            <w:tcW w:w="2638" w:type="dxa"/>
            <w:vAlign w:val="center"/>
          </w:tcPr>
          <w:p w14:paraId="40BF4581">
            <w:pPr>
              <w:spacing w:line="240" w:lineRule="auto"/>
              <w:ind w:firstLine="0" w:firstLineChars="0"/>
              <w:jc w:val="center"/>
              <w:rPr>
                <w:color w:val="auto"/>
                <w:sz w:val="21"/>
                <w:szCs w:val="21"/>
              </w:rPr>
            </w:pPr>
            <w:r>
              <w:rPr>
                <w:rFonts w:hint="eastAsia"/>
                <w:color w:val="auto"/>
                <w:sz w:val="21"/>
                <w:szCs w:val="21"/>
              </w:rPr>
              <w:t>无变动</w:t>
            </w:r>
          </w:p>
        </w:tc>
        <w:tc>
          <w:tcPr>
            <w:tcW w:w="842" w:type="dxa"/>
            <w:vAlign w:val="center"/>
          </w:tcPr>
          <w:p w14:paraId="04DA38BD">
            <w:pPr>
              <w:spacing w:line="240" w:lineRule="auto"/>
              <w:ind w:firstLine="0" w:firstLineChars="0"/>
              <w:jc w:val="center"/>
              <w:rPr>
                <w:color w:val="auto"/>
                <w:sz w:val="21"/>
                <w:szCs w:val="21"/>
              </w:rPr>
            </w:pPr>
            <w:r>
              <w:rPr>
                <w:color w:val="auto"/>
                <w:sz w:val="21"/>
                <w:szCs w:val="21"/>
              </w:rPr>
              <w:t>不属于</w:t>
            </w:r>
          </w:p>
        </w:tc>
      </w:tr>
      <w:tr w14:paraId="4ADFB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655" w:type="dxa"/>
            <w:vMerge w:val="restart"/>
            <w:vAlign w:val="center"/>
          </w:tcPr>
          <w:p w14:paraId="41EFFD5F">
            <w:pPr>
              <w:spacing w:line="240" w:lineRule="auto"/>
              <w:ind w:firstLine="0" w:firstLineChars="0"/>
              <w:jc w:val="center"/>
              <w:rPr>
                <w:color w:val="auto"/>
                <w:sz w:val="21"/>
                <w:szCs w:val="21"/>
              </w:rPr>
            </w:pPr>
            <w:r>
              <w:rPr>
                <w:rFonts w:hint="eastAsia"/>
                <w:color w:val="auto"/>
                <w:sz w:val="21"/>
                <w:szCs w:val="21"/>
              </w:rPr>
              <w:t>规模</w:t>
            </w:r>
          </w:p>
        </w:tc>
        <w:tc>
          <w:tcPr>
            <w:tcW w:w="5051" w:type="dxa"/>
            <w:vAlign w:val="center"/>
          </w:tcPr>
          <w:p w14:paraId="2ED7F743">
            <w:pPr>
              <w:spacing w:line="240" w:lineRule="auto"/>
              <w:ind w:firstLine="0" w:firstLineChars="0"/>
              <w:rPr>
                <w:color w:val="auto"/>
                <w:sz w:val="21"/>
                <w:szCs w:val="21"/>
              </w:rPr>
            </w:pPr>
            <w:r>
              <w:rPr>
                <w:rFonts w:hint="eastAsia"/>
                <w:color w:val="auto"/>
                <w:sz w:val="21"/>
                <w:szCs w:val="21"/>
              </w:rPr>
              <w:t>2、</w:t>
            </w:r>
            <w:r>
              <w:rPr>
                <w:color w:val="auto"/>
                <w:sz w:val="21"/>
                <w:szCs w:val="21"/>
              </w:rPr>
              <w:t>生产、处置或储存能力增大30%及以上的</w:t>
            </w:r>
            <w:r>
              <w:rPr>
                <w:rFonts w:hint="eastAsia"/>
                <w:color w:val="auto"/>
                <w:sz w:val="21"/>
                <w:szCs w:val="21"/>
              </w:rPr>
              <w:t>。</w:t>
            </w:r>
          </w:p>
        </w:tc>
        <w:tc>
          <w:tcPr>
            <w:tcW w:w="2638" w:type="dxa"/>
            <w:vAlign w:val="center"/>
          </w:tcPr>
          <w:p w14:paraId="2E357F56">
            <w:pPr>
              <w:spacing w:line="240" w:lineRule="auto"/>
              <w:ind w:firstLine="0" w:firstLineChars="0"/>
              <w:jc w:val="both"/>
              <w:rPr>
                <w:color w:val="auto"/>
                <w:sz w:val="21"/>
                <w:szCs w:val="21"/>
              </w:rPr>
            </w:pPr>
            <w:r>
              <w:rPr>
                <w:rFonts w:ascii="Times New Roman" w:hAnsi="Times New Roman" w:eastAsia="宋体" w:cs="Times New Roman"/>
                <w:b w:val="0"/>
                <w:bCs w:val="0"/>
                <w:color w:val="auto"/>
                <w:kern w:val="2"/>
                <w:sz w:val="21"/>
                <w:szCs w:val="21"/>
                <w:u w:val="none"/>
              </w:rPr>
              <w:t>汽车配件挂镀锌工序生产线中主镀槽</w:t>
            </w:r>
            <w:r>
              <w:rPr>
                <w:rFonts w:hint="eastAsia" w:ascii="Times New Roman" w:hAnsi="Times New Roman" w:eastAsia="宋体" w:cs="Times New Roman"/>
                <w:b w:val="0"/>
                <w:bCs w:val="0"/>
                <w:color w:val="auto"/>
                <w:kern w:val="2"/>
                <w:sz w:val="21"/>
                <w:szCs w:val="21"/>
                <w:u w:val="none"/>
              </w:rPr>
              <w:t>总容积减小</w:t>
            </w:r>
            <w:r>
              <w:rPr>
                <w:rFonts w:hint="eastAsia" w:ascii="Times New Roman" w:hAnsi="Times New Roman" w:eastAsia="宋体" w:cs="Times New Roman"/>
                <w:b w:val="0"/>
                <w:bCs w:val="0"/>
                <w:color w:val="auto"/>
                <w:kern w:val="2"/>
                <w:sz w:val="21"/>
                <w:szCs w:val="21"/>
                <w:u w:val="none"/>
                <w:lang w:eastAsia="zh-CN"/>
              </w:rPr>
              <w:t>，</w:t>
            </w:r>
            <w:r>
              <w:rPr>
                <w:rFonts w:hint="eastAsia" w:ascii="Times New Roman" w:hAnsi="Times New Roman" w:eastAsia="宋体" w:cs="Times New Roman"/>
                <w:b w:val="0"/>
                <w:bCs w:val="0"/>
                <w:color w:val="auto"/>
                <w:kern w:val="2"/>
                <w:sz w:val="21"/>
                <w:szCs w:val="21"/>
                <w:u w:val="none"/>
                <w:lang w:val="en-US" w:eastAsia="zh-CN"/>
              </w:rPr>
              <w:t>生产规模减小</w:t>
            </w:r>
            <w:r>
              <w:rPr>
                <w:rFonts w:hint="eastAsia" w:ascii="Times New Roman" w:hAnsi="Times New Roman" w:eastAsia="宋体" w:cs="Times New Roman"/>
                <w:b w:val="0"/>
                <w:bCs w:val="0"/>
                <w:color w:val="auto"/>
                <w:kern w:val="2"/>
                <w:sz w:val="21"/>
                <w:szCs w:val="21"/>
                <w:u w:val="none"/>
              </w:rPr>
              <w:t>。</w:t>
            </w:r>
            <w:r>
              <w:rPr>
                <w:rFonts w:ascii="Times New Roman" w:hAnsi="Times New Roman" w:eastAsia="宋体" w:cs="Times New Roman"/>
                <w:color w:val="auto"/>
                <w:kern w:val="2"/>
                <w:sz w:val="21"/>
                <w:szCs w:val="21"/>
              </w:rPr>
              <w:t>钢带1#镀镍线中主镀槽</w:t>
            </w:r>
            <w:r>
              <w:rPr>
                <w:rFonts w:hint="eastAsia" w:ascii="Times New Roman" w:hAnsi="Times New Roman" w:eastAsia="宋体" w:cs="Times New Roman"/>
                <w:color w:val="auto"/>
                <w:kern w:val="2"/>
                <w:sz w:val="21"/>
                <w:szCs w:val="21"/>
              </w:rPr>
              <w:t>总容积减小。</w:t>
            </w:r>
            <w:r>
              <w:rPr>
                <w:rFonts w:ascii="Times New Roman" w:hAnsi="Times New Roman" w:eastAsia="宋体" w:cs="Times New Roman"/>
                <w:color w:val="auto"/>
                <w:kern w:val="2"/>
                <w:sz w:val="21"/>
                <w:szCs w:val="21"/>
              </w:rPr>
              <w:t>钢带2#镀镍线中主镀槽</w:t>
            </w:r>
            <w:r>
              <w:rPr>
                <w:rFonts w:hint="eastAsia" w:ascii="Times New Roman" w:hAnsi="Times New Roman" w:eastAsia="宋体" w:cs="Times New Roman"/>
                <w:color w:val="auto"/>
                <w:kern w:val="2"/>
                <w:sz w:val="21"/>
                <w:szCs w:val="21"/>
              </w:rPr>
              <w:t>总容积减小。</w:t>
            </w:r>
            <w:r>
              <w:rPr>
                <w:rFonts w:ascii="Times New Roman" w:hAnsi="Times New Roman" w:eastAsia="宋体" w:cs="Times New Roman"/>
                <w:color w:val="auto"/>
                <w:kern w:val="2"/>
                <w:sz w:val="21"/>
                <w:szCs w:val="21"/>
              </w:rPr>
              <w:t>钢带</w:t>
            </w:r>
            <w:r>
              <w:rPr>
                <w:rFonts w:hint="eastAsia" w:ascii="Times New Roman" w:hAnsi="Times New Roman" w:eastAsia="宋体" w:cs="Times New Roman"/>
                <w:color w:val="auto"/>
                <w:kern w:val="2"/>
                <w:sz w:val="21"/>
                <w:szCs w:val="21"/>
                <w:lang w:val="en-US" w:eastAsia="zh-CN"/>
              </w:rPr>
              <w:t>3</w:t>
            </w:r>
            <w:r>
              <w:rPr>
                <w:rFonts w:ascii="Times New Roman" w:hAnsi="Times New Roman" w:eastAsia="宋体" w:cs="Times New Roman"/>
                <w:color w:val="auto"/>
                <w:kern w:val="2"/>
                <w:sz w:val="21"/>
                <w:szCs w:val="21"/>
              </w:rPr>
              <w:t>#镀镍线中主镀槽</w:t>
            </w:r>
            <w:r>
              <w:rPr>
                <w:rFonts w:hint="eastAsia" w:ascii="Times New Roman" w:hAnsi="Times New Roman" w:eastAsia="宋体" w:cs="Times New Roman"/>
                <w:color w:val="auto"/>
                <w:kern w:val="2"/>
                <w:sz w:val="21"/>
                <w:szCs w:val="21"/>
              </w:rPr>
              <w:t>总容积减小。以上变动</w:t>
            </w:r>
            <w:r>
              <w:rPr>
                <w:rFonts w:ascii="Times New Roman" w:hAnsi="Times New Roman" w:eastAsia="宋体" w:cs="Times New Roman"/>
                <w:color w:val="auto"/>
                <w:kern w:val="2"/>
                <w:sz w:val="21"/>
                <w:szCs w:val="21"/>
              </w:rPr>
              <w:t>均未导致</w:t>
            </w:r>
            <w:r>
              <w:rPr>
                <w:rFonts w:hint="eastAsia" w:ascii="Times New Roman" w:hAnsi="Times New Roman" w:eastAsia="宋体" w:cs="Times New Roman"/>
                <w:color w:val="auto"/>
                <w:kern w:val="2"/>
                <w:sz w:val="21"/>
                <w:szCs w:val="21"/>
              </w:rPr>
              <w:t>电镀</w:t>
            </w:r>
            <w:r>
              <w:rPr>
                <w:rFonts w:ascii="Times New Roman" w:hAnsi="Times New Roman" w:eastAsia="宋体" w:cs="Times New Roman"/>
                <w:color w:val="auto"/>
                <w:kern w:val="2"/>
                <w:sz w:val="21"/>
                <w:szCs w:val="21"/>
              </w:rPr>
              <w:t>生产能力增大。</w:t>
            </w:r>
          </w:p>
        </w:tc>
        <w:tc>
          <w:tcPr>
            <w:tcW w:w="842" w:type="dxa"/>
            <w:vMerge w:val="restart"/>
            <w:vAlign w:val="center"/>
          </w:tcPr>
          <w:p w14:paraId="5562D058">
            <w:pPr>
              <w:spacing w:line="240" w:lineRule="auto"/>
              <w:ind w:firstLine="0" w:firstLineChars="0"/>
              <w:jc w:val="center"/>
              <w:rPr>
                <w:color w:val="auto"/>
                <w:sz w:val="21"/>
                <w:szCs w:val="21"/>
              </w:rPr>
            </w:pPr>
            <w:r>
              <w:rPr>
                <w:rFonts w:hint="eastAsia"/>
                <w:color w:val="auto"/>
                <w:sz w:val="21"/>
                <w:szCs w:val="21"/>
              </w:rPr>
              <w:t>不属于</w:t>
            </w:r>
          </w:p>
        </w:tc>
      </w:tr>
      <w:tr w14:paraId="0BE1D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655" w:type="dxa"/>
            <w:vMerge w:val="continue"/>
            <w:vAlign w:val="center"/>
          </w:tcPr>
          <w:p w14:paraId="02CE2154">
            <w:pPr>
              <w:spacing w:line="240" w:lineRule="auto"/>
              <w:ind w:firstLine="0" w:firstLineChars="0"/>
              <w:jc w:val="center"/>
              <w:rPr>
                <w:color w:val="auto"/>
                <w:sz w:val="21"/>
                <w:szCs w:val="21"/>
              </w:rPr>
            </w:pPr>
          </w:p>
        </w:tc>
        <w:tc>
          <w:tcPr>
            <w:tcW w:w="5051" w:type="dxa"/>
            <w:vAlign w:val="center"/>
          </w:tcPr>
          <w:p w14:paraId="38E1396E">
            <w:pPr>
              <w:spacing w:line="240" w:lineRule="auto"/>
              <w:ind w:firstLine="0" w:firstLineChars="0"/>
              <w:rPr>
                <w:color w:val="auto"/>
                <w:sz w:val="21"/>
                <w:szCs w:val="21"/>
              </w:rPr>
            </w:pPr>
            <w:r>
              <w:rPr>
                <w:rFonts w:hint="eastAsia"/>
                <w:color w:val="auto"/>
                <w:sz w:val="21"/>
                <w:szCs w:val="21"/>
              </w:rPr>
              <w:t>3、</w:t>
            </w:r>
            <w:r>
              <w:rPr>
                <w:color w:val="auto"/>
                <w:sz w:val="21"/>
                <w:szCs w:val="21"/>
              </w:rPr>
              <w:t>生产、处置或储存能力增大，导致废水第一类污染物排放量增加的</w:t>
            </w:r>
            <w:r>
              <w:rPr>
                <w:rFonts w:hint="eastAsia"/>
                <w:color w:val="auto"/>
                <w:sz w:val="21"/>
                <w:szCs w:val="21"/>
              </w:rPr>
              <w:t>。</w:t>
            </w:r>
          </w:p>
        </w:tc>
        <w:tc>
          <w:tcPr>
            <w:tcW w:w="2638" w:type="dxa"/>
            <w:vAlign w:val="center"/>
          </w:tcPr>
          <w:p w14:paraId="3365075B">
            <w:pPr>
              <w:spacing w:line="240" w:lineRule="auto"/>
              <w:ind w:firstLine="0" w:firstLineChars="0"/>
              <w:jc w:val="center"/>
              <w:rPr>
                <w:rFonts w:hint="eastAsia" w:hAnsi="宋体"/>
                <w:color w:val="auto"/>
                <w:kern w:val="2"/>
                <w:sz w:val="21"/>
                <w:szCs w:val="21"/>
              </w:rPr>
            </w:pPr>
            <w:r>
              <w:rPr>
                <w:rFonts w:hint="eastAsia"/>
                <w:color w:val="auto"/>
                <w:sz w:val="21"/>
                <w:szCs w:val="21"/>
              </w:rPr>
              <w:t>无变动</w:t>
            </w:r>
          </w:p>
        </w:tc>
        <w:tc>
          <w:tcPr>
            <w:tcW w:w="842" w:type="dxa"/>
            <w:vMerge w:val="continue"/>
            <w:vAlign w:val="center"/>
          </w:tcPr>
          <w:p w14:paraId="45D80919">
            <w:pPr>
              <w:spacing w:line="240" w:lineRule="auto"/>
              <w:ind w:firstLine="0" w:firstLineChars="0"/>
              <w:jc w:val="center"/>
              <w:rPr>
                <w:rFonts w:hint="eastAsia" w:hAnsi="宋体"/>
                <w:color w:val="auto"/>
                <w:kern w:val="2"/>
                <w:sz w:val="21"/>
                <w:szCs w:val="21"/>
              </w:rPr>
            </w:pPr>
          </w:p>
        </w:tc>
      </w:tr>
      <w:tr w14:paraId="18239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655" w:type="dxa"/>
            <w:vMerge w:val="continue"/>
            <w:vAlign w:val="center"/>
          </w:tcPr>
          <w:p w14:paraId="71482CB5">
            <w:pPr>
              <w:spacing w:line="240" w:lineRule="auto"/>
              <w:ind w:firstLine="0" w:firstLineChars="0"/>
              <w:jc w:val="center"/>
              <w:rPr>
                <w:color w:val="auto"/>
                <w:sz w:val="21"/>
                <w:szCs w:val="21"/>
              </w:rPr>
            </w:pPr>
          </w:p>
        </w:tc>
        <w:tc>
          <w:tcPr>
            <w:tcW w:w="5051" w:type="dxa"/>
            <w:vAlign w:val="center"/>
          </w:tcPr>
          <w:p w14:paraId="78E81655">
            <w:pPr>
              <w:spacing w:line="240" w:lineRule="auto"/>
              <w:ind w:firstLine="0" w:firstLineChars="0"/>
              <w:jc w:val="both"/>
              <w:rPr>
                <w:color w:val="auto"/>
                <w:sz w:val="21"/>
                <w:szCs w:val="21"/>
              </w:rPr>
            </w:pPr>
            <w:r>
              <w:rPr>
                <w:rFonts w:hint="eastAsia"/>
                <w:color w:val="auto"/>
                <w:sz w:val="21"/>
                <w:szCs w:val="21"/>
              </w:rPr>
              <w:t>4、位于环境质量不达标区的建设项目生产、处置或储存能力增大，导致相应污染物排放量增加的（细颗粒物不达标区，相应污染物为二氧化硫、氮氧化物、可吸入颗粒物、挥发性有机物；臭氧不达标区，相应污染物为氮氧化物、挥发性有机物；其他大气、水污染物因子不达标区，相应污染物为超标污染因子）；位于达标区的建设项目生产、处置或储存能力增大，导致污染物排放量增加10%及以上的。</w:t>
            </w:r>
          </w:p>
        </w:tc>
        <w:tc>
          <w:tcPr>
            <w:tcW w:w="2638" w:type="dxa"/>
            <w:vAlign w:val="center"/>
          </w:tcPr>
          <w:p w14:paraId="7AADC15F">
            <w:pPr>
              <w:spacing w:line="240" w:lineRule="auto"/>
              <w:ind w:firstLine="0" w:firstLineChars="0"/>
              <w:jc w:val="center"/>
              <w:rPr>
                <w:rFonts w:hint="eastAsia" w:hAnsi="宋体"/>
                <w:color w:val="auto"/>
                <w:kern w:val="2"/>
                <w:sz w:val="21"/>
                <w:szCs w:val="21"/>
              </w:rPr>
            </w:pPr>
            <w:r>
              <w:rPr>
                <w:rFonts w:hint="eastAsia"/>
                <w:color w:val="auto"/>
                <w:sz w:val="21"/>
                <w:szCs w:val="21"/>
              </w:rPr>
              <w:t>无变动</w:t>
            </w:r>
          </w:p>
        </w:tc>
        <w:tc>
          <w:tcPr>
            <w:tcW w:w="842" w:type="dxa"/>
            <w:vMerge w:val="continue"/>
            <w:vAlign w:val="center"/>
          </w:tcPr>
          <w:p w14:paraId="76E05B82">
            <w:pPr>
              <w:spacing w:line="240" w:lineRule="auto"/>
              <w:ind w:firstLine="0" w:firstLineChars="0"/>
              <w:jc w:val="center"/>
              <w:rPr>
                <w:rFonts w:hint="eastAsia" w:hAnsi="宋体"/>
                <w:color w:val="auto"/>
                <w:kern w:val="2"/>
                <w:sz w:val="21"/>
                <w:szCs w:val="21"/>
              </w:rPr>
            </w:pPr>
          </w:p>
        </w:tc>
      </w:tr>
      <w:tr w14:paraId="59AC9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655" w:type="dxa"/>
            <w:vAlign w:val="center"/>
          </w:tcPr>
          <w:p w14:paraId="275CE5E1">
            <w:pPr>
              <w:spacing w:line="240" w:lineRule="auto"/>
              <w:ind w:firstLine="0" w:firstLineChars="0"/>
              <w:jc w:val="center"/>
              <w:rPr>
                <w:color w:val="auto"/>
                <w:sz w:val="21"/>
                <w:szCs w:val="21"/>
              </w:rPr>
            </w:pPr>
            <w:r>
              <w:rPr>
                <w:rFonts w:hint="eastAsia"/>
                <w:color w:val="auto"/>
                <w:sz w:val="21"/>
                <w:szCs w:val="21"/>
              </w:rPr>
              <w:t>地点</w:t>
            </w:r>
          </w:p>
        </w:tc>
        <w:tc>
          <w:tcPr>
            <w:tcW w:w="5051" w:type="dxa"/>
            <w:vAlign w:val="center"/>
          </w:tcPr>
          <w:p w14:paraId="31EBC2CE">
            <w:pPr>
              <w:spacing w:line="240" w:lineRule="auto"/>
              <w:ind w:firstLine="0" w:firstLineChars="0"/>
              <w:rPr>
                <w:color w:val="auto"/>
                <w:sz w:val="21"/>
                <w:szCs w:val="21"/>
              </w:rPr>
            </w:pPr>
            <w:r>
              <w:rPr>
                <w:rFonts w:hint="eastAsia"/>
                <w:color w:val="auto"/>
                <w:sz w:val="21"/>
                <w:szCs w:val="21"/>
              </w:rPr>
              <w:t>5、</w:t>
            </w:r>
            <w:r>
              <w:rPr>
                <w:color w:val="auto"/>
                <w:sz w:val="21"/>
                <w:szCs w:val="21"/>
              </w:rPr>
              <w:t>重新选址；在原厂址附近调整（包括总平面布置变化）导致环境防护距离范围变化且新增敏感点的</w:t>
            </w:r>
            <w:r>
              <w:rPr>
                <w:rFonts w:hint="eastAsia"/>
                <w:color w:val="auto"/>
                <w:sz w:val="21"/>
                <w:szCs w:val="21"/>
              </w:rPr>
              <w:t>。</w:t>
            </w:r>
          </w:p>
        </w:tc>
        <w:tc>
          <w:tcPr>
            <w:tcW w:w="2638" w:type="dxa"/>
            <w:vAlign w:val="center"/>
          </w:tcPr>
          <w:p w14:paraId="3C9D190D">
            <w:pPr>
              <w:spacing w:line="240" w:lineRule="auto"/>
              <w:ind w:firstLine="0" w:firstLineChars="0"/>
              <w:jc w:val="center"/>
              <w:rPr>
                <w:color w:val="auto"/>
                <w:sz w:val="21"/>
                <w:szCs w:val="21"/>
              </w:rPr>
            </w:pPr>
            <w:r>
              <w:rPr>
                <w:rFonts w:hint="eastAsia"/>
                <w:color w:val="auto"/>
                <w:sz w:val="21"/>
                <w:szCs w:val="21"/>
              </w:rPr>
              <w:t>无变动</w:t>
            </w:r>
          </w:p>
        </w:tc>
        <w:tc>
          <w:tcPr>
            <w:tcW w:w="842" w:type="dxa"/>
            <w:vAlign w:val="center"/>
          </w:tcPr>
          <w:p w14:paraId="71D6D4BF">
            <w:pPr>
              <w:spacing w:line="240" w:lineRule="auto"/>
              <w:ind w:firstLine="0" w:firstLineChars="0"/>
              <w:jc w:val="center"/>
              <w:rPr>
                <w:color w:val="auto"/>
                <w:sz w:val="21"/>
                <w:szCs w:val="21"/>
              </w:rPr>
            </w:pPr>
            <w:r>
              <w:rPr>
                <w:color w:val="auto"/>
                <w:sz w:val="21"/>
                <w:szCs w:val="21"/>
              </w:rPr>
              <w:t>不属于</w:t>
            </w:r>
          </w:p>
        </w:tc>
      </w:tr>
      <w:tr w14:paraId="662BD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655" w:type="dxa"/>
            <w:vMerge w:val="restart"/>
            <w:vAlign w:val="center"/>
          </w:tcPr>
          <w:p w14:paraId="4D7A3BB5">
            <w:pPr>
              <w:spacing w:line="240" w:lineRule="auto"/>
              <w:ind w:firstLine="0" w:firstLineChars="0"/>
              <w:jc w:val="center"/>
              <w:rPr>
                <w:color w:val="auto"/>
                <w:sz w:val="21"/>
                <w:szCs w:val="21"/>
              </w:rPr>
            </w:pPr>
            <w:r>
              <w:rPr>
                <w:rFonts w:hint="eastAsia"/>
                <w:color w:val="auto"/>
                <w:sz w:val="21"/>
                <w:szCs w:val="21"/>
              </w:rPr>
              <w:t>生产工艺</w:t>
            </w:r>
          </w:p>
        </w:tc>
        <w:tc>
          <w:tcPr>
            <w:tcW w:w="5051" w:type="dxa"/>
            <w:vAlign w:val="center"/>
          </w:tcPr>
          <w:p w14:paraId="6551709C">
            <w:pPr>
              <w:spacing w:line="240" w:lineRule="auto"/>
              <w:ind w:firstLine="0" w:firstLineChars="0"/>
              <w:jc w:val="both"/>
              <w:rPr>
                <w:color w:val="auto"/>
                <w:sz w:val="21"/>
                <w:szCs w:val="21"/>
              </w:rPr>
            </w:pPr>
            <w:r>
              <w:rPr>
                <w:rFonts w:hint="eastAsia"/>
                <w:color w:val="auto"/>
                <w:sz w:val="21"/>
                <w:szCs w:val="21"/>
              </w:rPr>
              <w:t>6、</w:t>
            </w:r>
            <w:r>
              <w:rPr>
                <w:color w:val="auto"/>
                <w:sz w:val="21"/>
                <w:szCs w:val="21"/>
              </w:rPr>
              <w:t>新增产品品种或生产工艺（含主要生产装置、设备及配套设施）、主要原辅材料、燃料变化，导致以下情形之一：</w:t>
            </w:r>
          </w:p>
          <w:p w14:paraId="0059F30F">
            <w:pPr>
              <w:spacing w:line="240" w:lineRule="auto"/>
              <w:ind w:firstLine="0" w:firstLineChars="0"/>
              <w:jc w:val="both"/>
              <w:rPr>
                <w:color w:val="auto"/>
                <w:sz w:val="21"/>
                <w:szCs w:val="21"/>
              </w:rPr>
            </w:pPr>
            <w:r>
              <w:rPr>
                <w:color w:val="auto"/>
                <w:sz w:val="21"/>
                <w:szCs w:val="21"/>
              </w:rPr>
              <w:t>（1）新增排放污染物种类的（毒性、挥发性降低的除外）；</w:t>
            </w:r>
          </w:p>
          <w:p w14:paraId="15CE2685">
            <w:pPr>
              <w:spacing w:line="240" w:lineRule="auto"/>
              <w:ind w:firstLine="0" w:firstLineChars="0"/>
              <w:jc w:val="both"/>
              <w:rPr>
                <w:color w:val="auto"/>
                <w:sz w:val="21"/>
                <w:szCs w:val="21"/>
              </w:rPr>
            </w:pPr>
            <w:r>
              <w:rPr>
                <w:color w:val="auto"/>
                <w:sz w:val="21"/>
                <w:szCs w:val="21"/>
              </w:rPr>
              <w:t>（2）位于环境质量不达标区的建设项目相应污染物排放量增加的；</w:t>
            </w:r>
          </w:p>
          <w:p w14:paraId="20A88C45">
            <w:pPr>
              <w:spacing w:line="240" w:lineRule="auto"/>
              <w:ind w:firstLine="0" w:firstLineChars="0"/>
              <w:jc w:val="both"/>
              <w:rPr>
                <w:color w:val="auto"/>
                <w:sz w:val="21"/>
                <w:szCs w:val="21"/>
              </w:rPr>
            </w:pPr>
            <w:r>
              <w:rPr>
                <w:color w:val="auto"/>
                <w:sz w:val="21"/>
                <w:szCs w:val="21"/>
              </w:rPr>
              <w:t>（3）废水第一类污染物排放量增加的；</w:t>
            </w:r>
          </w:p>
          <w:p w14:paraId="7D19EDA3">
            <w:pPr>
              <w:shd w:val="clear" w:color="auto" w:fill="FFFFFF"/>
              <w:spacing w:line="240" w:lineRule="auto"/>
              <w:ind w:firstLine="0" w:firstLineChars="0"/>
              <w:jc w:val="both"/>
              <w:rPr>
                <w:color w:val="auto"/>
                <w:sz w:val="21"/>
                <w:szCs w:val="21"/>
              </w:rPr>
            </w:pPr>
            <w:r>
              <w:rPr>
                <w:color w:val="auto"/>
                <w:sz w:val="21"/>
                <w:szCs w:val="21"/>
              </w:rPr>
              <w:t>（4）其他污染物排放量增加10%及以上的。</w:t>
            </w:r>
          </w:p>
        </w:tc>
        <w:tc>
          <w:tcPr>
            <w:tcW w:w="2638" w:type="dxa"/>
            <w:vAlign w:val="center"/>
          </w:tcPr>
          <w:p w14:paraId="7E831138">
            <w:pPr>
              <w:spacing w:line="240" w:lineRule="auto"/>
              <w:ind w:firstLine="0" w:firstLineChars="0"/>
              <w:jc w:val="center"/>
              <w:rPr>
                <w:bCs/>
                <w:color w:val="auto"/>
                <w:sz w:val="21"/>
                <w:szCs w:val="21"/>
              </w:rPr>
            </w:pPr>
            <w:r>
              <w:rPr>
                <w:rFonts w:hint="eastAsia"/>
                <w:color w:val="auto"/>
                <w:sz w:val="21"/>
                <w:szCs w:val="21"/>
              </w:rPr>
              <w:t>无变动</w:t>
            </w:r>
          </w:p>
        </w:tc>
        <w:tc>
          <w:tcPr>
            <w:tcW w:w="842" w:type="dxa"/>
            <w:vAlign w:val="center"/>
          </w:tcPr>
          <w:p w14:paraId="05389153">
            <w:pPr>
              <w:tabs>
                <w:tab w:val="left" w:pos="510"/>
                <w:tab w:val="center" w:pos="1259"/>
              </w:tabs>
              <w:spacing w:line="240" w:lineRule="auto"/>
              <w:ind w:firstLine="0" w:firstLineChars="0"/>
              <w:jc w:val="center"/>
              <w:rPr>
                <w:color w:val="auto"/>
                <w:sz w:val="21"/>
                <w:szCs w:val="21"/>
              </w:rPr>
            </w:pPr>
            <w:r>
              <w:rPr>
                <w:rFonts w:hint="eastAsia"/>
                <w:color w:val="auto"/>
                <w:sz w:val="21"/>
                <w:szCs w:val="21"/>
              </w:rPr>
              <w:t>不属于</w:t>
            </w:r>
          </w:p>
        </w:tc>
      </w:tr>
      <w:tr w14:paraId="6118B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655" w:type="dxa"/>
            <w:vMerge w:val="continue"/>
            <w:vAlign w:val="center"/>
          </w:tcPr>
          <w:p w14:paraId="3B53F220">
            <w:pPr>
              <w:spacing w:line="240" w:lineRule="auto"/>
              <w:ind w:firstLine="0" w:firstLineChars="0"/>
              <w:jc w:val="center"/>
              <w:rPr>
                <w:color w:val="auto"/>
                <w:sz w:val="21"/>
                <w:szCs w:val="21"/>
              </w:rPr>
            </w:pPr>
          </w:p>
        </w:tc>
        <w:tc>
          <w:tcPr>
            <w:tcW w:w="5051" w:type="dxa"/>
            <w:vAlign w:val="center"/>
          </w:tcPr>
          <w:p w14:paraId="1E7C82BB">
            <w:pPr>
              <w:spacing w:line="240" w:lineRule="auto"/>
              <w:ind w:firstLine="0" w:firstLineChars="0"/>
              <w:jc w:val="both"/>
              <w:rPr>
                <w:color w:val="auto"/>
                <w:sz w:val="21"/>
                <w:szCs w:val="21"/>
              </w:rPr>
            </w:pPr>
            <w:r>
              <w:rPr>
                <w:rFonts w:hint="eastAsia"/>
                <w:color w:val="auto"/>
                <w:sz w:val="21"/>
                <w:szCs w:val="21"/>
              </w:rPr>
              <w:t>7、</w:t>
            </w:r>
            <w:r>
              <w:rPr>
                <w:color w:val="auto"/>
                <w:sz w:val="21"/>
                <w:szCs w:val="21"/>
              </w:rPr>
              <w:t>物料运输、装卸、贮存方式变化，导致大气污染物无组织排放量增加10%及以上的</w:t>
            </w:r>
            <w:r>
              <w:rPr>
                <w:rFonts w:hint="eastAsia"/>
                <w:color w:val="auto"/>
                <w:sz w:val="21"/>
                <w:szCs w:val="21"/>
              </w:rPr>
              <w:t>。</w:t>
            </w:r>
          </w:p>
        </w:tc>
        <w:tc>
          <w:tcPr>
            <w:tcW w:w="2638" w:type="dxa"/>
            <w:vAlign w:val="center"/>
          </w:tcPr>
          <w:p w14:paraId="29AFEFE4">
            <w:pPr>
              <w:spacing w:line="240" w:lineRule="auto"/>
              <w:ind w:firstLine="0" w:firstLineChars="0"/>
              <w:jc w:val="center"/>
              <w:rPr>
                <w:color w:val="auto"/>
                <w:sz w:val="21"/>
                <w:szCs w:val="21"/>
              </w:rPr>
            </w:pPr>
            <w:r>
              <w:rPr>
                <w:rFonts w:hint="eastAsia"/>
                <w:color w:val="auto"/>
                <w:sz w:val="21"/>
                <w:szCs w:val="21"/>
              </w:rPr>
              <w:t>无变动</w:t>
            </w:r>
          </w:p>
        </w:tc>
        <w:tc>
          <w:tcPr>
            <w:tcW w:w="842" w:type="dxa"/>
            <w:vAlign w:val="center"/>
          </w:tcPr>
          <w:p w14:paraId="5D92BAE5">
            <w:pPr>
              <w:spacing w:line="240" w:lineRule="auto"/>
              <w:ind w:firstLine="0" w:firstLineChars="0"/>
              <w:jc w:val="center"/>
              <w:rPr>
                <w:color w:val="auto"/>
                <w:sz w:val="21"/>
                <w:szCs w:val="21"/>
              </w:rPr>
            </w:pPr>
            <w:r>
              <w:rPr>
                <w:color w:val="auto"/>
                <w:sz w:val="21"/>
                <w:szCs w:val="21"/>
              </w:rPr>
              <w:t>不属于</w:t>
            </w:r>
          </w:p>
        </w:tc>
      </w:tr>
      <w:tr w14:paraId="4F1BC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655" w:type="dxa"/>
            <w:vMerge w:val="restart"/>
            <w:vAlign w:val="center"/>
          </w:tcPr>
          <w:p w14:paraId="0D4F4B20">
            <w:pPr>
              <w:spacing w:line="240" w:lineRule="auto"/>
              <w:ind w:firstLine="0" w:firstLineChars="0"/>
              <w:jc w:val="center"/>
              <w:rPr>
                <w:color w:val="auto"/>
                <w:sz w:val="21"/>
                <w:szCs w:val="21"/>
              </w:rPr>
            </w:pPr>
            <w:r>
              <w:rPr>
                <w:rFonts w:hint="eastAsia"/>
                <w:color w:val="auto"/>
                <w:sz w:val="21"/>
                <w:szCs w:val="21"/>
              </w:rPr>
              <w:t>环境保护措施</w:t>
            </w:r>
          </w:p>
        </w:tc>
        <w:tc>
          <w:tcPr>
            <w:tcW w:w="5051" w:type="dxa"/>
            <w:vAlign w:val="center"/>
          </w:tcPr>
          <w:p w14:paraId="3601BC14">
            <w:pPr>
              <w:spacing w:line="240" w:lineRule="auto"/>
              <w:ind w:firstLine="0" w:firstLineChars="0"/>
              <w:jc w:val="both"/>
              <w:rPr>
                <w:color w:val="auto"/>
                <w:sz w:val="21"/>
                <w:szCs w:val="21"/>
              </w:rPr>
            </w:pPr>
            <w:r>
              <w:rPr>
                <w:rFonts w:hint="eastAsia"/>
                <w:color w:val="auto"/>
                <w:sz w:val="21"/>
                <w:szCs w:val="21"/>
              </w:rPr>
              <w:t>8、</w:t>
            </w:r>
            <w:r>
              <w:rPr>
                <w:color w:val="auto"/>
                <w:sz w:val="21"/>
                <w:szCs w:val="21"/>
              </w:rPr>
              <w:t>废气、废水污染防治措施变化，导致第6条中所列情形之一（废气无组织排放改为有组织排放、污染防治措施强化或改进的除外）或大气污染物无组织排放量增加10%及以上的。</w:t>
            </w:r>
          </w:p>
        </w:tc>
        <w:tc>
          <w:tcPr>
            <w:tcW w:w="2638" w:type="dxa"/>
            <w:vAlign w:val="center"/>
          </w:tcPr>
          <w:p w14:paraId="7B99209B">
            <w:pPr>
              <w:spacing w:line="240" w:lineRule="auto"/>
              <w:ind w:firstLine="0" w:firstLineChars="0"/>
              <w:jc w:val="center"/>
              <w:rPr>
                <w:color w:val="auto"/>
                <w:sz w:val="21"/>
                <w:szCs w:val="21"/>
              </w:rPr>
            </w:pPr>
            <w:r>
              <w:rPr>
                <w:rFonts w:hint="eastAsia"/>
                <w:color w:val="auto"/>
                <w:sz w:val="21"/>
                <w:szCs w:val="21"/>
              </w:rPr>
              <w:t>无变动</w:t>
            </w:r>
          </w:p>
        </w:tc>
        <w:tc>
          <w:tcPr>
            <w:tcW w:w="842" w:type="dxa"/>
            <w:vAlign w:val="center"/>
          </w:tcPr>
          <w:p w14:paraId="3C84D63E">
            <w:pPr>
              <w:spacing w:line="240" w:lineRule="auto"/>
              <w:ind w:firstLine="0" w:firstLineChars="0"/>
              <w:jc w:val="center"/>
              <w:rPr>
                <w:color w:val="auto"/>
                <w:sz w:val="21"/>
                <w:szCs w:val="21"/>
              </w:rPr>
            </w:pPr>
            <w:r>
              <w:rPr>
                <w:color w:val="auto"/>
                <w:sz w:val="21"/>
                <w:szCs w:val="21"/>
              </w:rPr>
              <w:t>不属于</w:t>
            </w:r>
          </w:p>
        </w:tc>
      </w:tr>
      <w:tr w14:paraId="07D9F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655" w:type="dxa"/>
            <w:vMerge w:val="continue"/>
            <w:vAlign w:val="center"/>
          </w:tcPr>
          <w:p w14:paraId="788C00B3">
            <w:pPr>
              <w:spacing w:line="240" w:lineRule="auto"/>
              <w:ind w:firstLine="0" w:firstLineChars="0"/>
              <w:jc w:val="center"/>
              <w:rPr>
                <w:color w:val="auto"/>
                <w:sz w:val="21"/>
                <w:szCs w:val="21"/>
              </w:rPr>
            </w:pPr>
          </w:p>
        </w:tc>
        <w:tc>
          <w:tcPr>
            <w:tcW w:w="5051" w:type="dxa"/>
            <w:vAlign w:val="center"/>
          </w:tcPr>
          <w:p w14:paraId="2E03D062">
            <w:pPr>
              <w:spacing w:line="240" w:lineRule="auto"/>
              <w:ind w:firstLine="0" w:firstLineChars="0"/>
              <w:jc w:val="both"/>
              <w:rPr>
                <w:color w:val="auto"/>
                <w:sz w:val="21"/>
                <w:szCs w:val="21"/>
              </w:rPr>
            </w:pPr>
            <w:r>
              <w:rPr>
                <w:rFonts w:hint="eastAsia"/>
                <w:color w:val="auto"/>
                <w:sz w:val="21"/>
                <w:szCs w:val="21"/>
              </w:rPr>
              <w:t>9、</w:t>
            </w:r>
            <w:r>
              <w:rPr>
                <w:color w:val="auto"/>
                <w:sz w:val="21"/>
                <w:szCs w:val="21"/>
              </w:rPr>
              <w:t>新增废水直接排放口；废水由间接排放改为直接排放；废水直接排放口位置变化，导致不利环境影响加重的。</w:t>
            </w:r>
          </w:p>
        </w:tc>
        <w:tc>
          <w:tcPr>
            <w:tcW w:w="2638" w:type="dxa"/>
            <w:vAlign w:val="center"/>
          </w:tcPr>
          <w:p w14:paraId="635E1518">
            <w:pPr>
              <w:spacing w:line="240" w:lineRule="auto"/>
              <w:ind w:firstLine="0" w:firstLineChars="0"/>
              <w:jc w:val="center"/>
              <w:rPr>
                <w:color w:val="auto"/>
                <w:sz w:val="21"/>
                <w:szCs w:val="21"/>
              </w:rPr>
            </w:pPr>
            <w:r>
              <w:rPr>
                <w:rFonts w:hint="eastAsia"/>
                <w:color w:val="auto"/>
                <w:sz w:val="21"/>
                <w:szCs w:val="21"/>
              </w:rPr>
              <w:t>无变动</w:t>
            </w:r>
          </w:p>
        </w:tc>
        <w:tc>
          <w:tcPr>
            <w:tcW w:w="842" w:type="dxa"/>
            <w:vAlign w:val="center"/>
          </w:tcPr>
          <w:p w14:paraId="2B5C1D3A">
            <w:pPr>
              <w:spacing w:line="240" w:lineRule="auto"/>
              <w:ind w:firstLine="0" w:firstLineChars="0"/>
              <w:jc w:val="center"/>
              <w:rPr>
                <w:color w:val="auto"/>
                <w:sz w:val="21"/>
                <w:szCs w:val="21"/>
              </w:rPr>
            </w:pPr>
            <w:r>
              <w:rPr>
                <w:color w:val="auto"/>
                <w:sz w:val="21"/>
                <w:szCs w:val="21"/>
              </w:rPr>
              <w:t>不属于</w:t>
            </w:r>
          </w:p>
        </w:tc>
      </w:tr>
      <w:tr w14:paraId="5A74F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655" w:type="dxa"/>
            <w:vMerge w:val="continue"/>
            <w:vAlign w:val="center"/>
          </w:tcPr>
          <w:p w14:paraId="4FBCD70C">
            <w:pPr>
              <w:spacing w:line="240" w:lineRule="auto"/>
              <w:ind w:firstLine="0" w:firstLineChars="0"/>
              <w:jc w:val="center"/>
              <w:rPr>
                <w:color w:val="auto"/>
                <w:sz w:val="21"/>
                <w:szCs w:val="21"/>
              </w:rPr>
            </w:pPr>
          </w:p>
        </w:tc>
        <w:tc>
          <w:tcPr>
            <w:tcW w:w="5051" w:type="dxa"/>
            <w:vAlign w:val="center"/>
          </w:tcPr>
          <w:p w14:paraId="1A92BF8D">
            <w:pPr>
              <w:spacing w:line="240" w:lineRule="auto"/>
              <w:ind w:firstLine="0" w:firstLineChars="0"/>
              <w:jc w:val="both"/>
              <w:rPr>
                <w:color w:val="auto"/>
                <w:sz w:val="21"/>
                <w:szCs w:val="21"/>
              </w:rPr>
            </w:pPr>
            <w:r>
              <w:rPr>
                <w:rFonts w:hint="eastAsia"/>
                <w:color w:val="auto"/>
                <w:sz w:val="21"/>
                <w:szCs w:val="21"/>
              </w:rPr>
              <w:t>10、</w:t>
            </w:r>
            <w:r>
              <w:rPr>
                <w:color w:val="auto"/>
                <w:sz w:val="21"/>
                <w:szCs w:val="21"/>
              </w:rPr>
              <w:t>新增废气主要排放口（废气无组织排放改为有组织排放的除外）；主要排放口排气筒高度降低10%及以上的。</w:t>
            </w:r>
          </w:p>
        </w:tc>
        <w:tc>
          <w:tcPr>
            <w:tcW w:w="2638" w:type="dxa"/>
            <w:vAlign w:val="center"/>
          </w:tcPr>
          <w:p w14:paraId="0ACB560C">
            <w:pPr>
              <w:spacing w:line="240" w:lineRule="auto"/>
              <w:ind w:firstLine="0" w:firstLineChars="0"/>
              <w:jc w:val="center"/>
              <w:rPr>
                <w:color w:val="auto"/>
                <w:sz w:val="21"/>
                <w:szCs w:val="21"/>
              </w:rPr>
            </w:pPr>
            <w:r>
              <w:rPr>
                <w:rFonts w:hint="eastAsia"/>
                <w:color w:val="auto"/>
                <w:sz w:val="21"/>
                <w:szCs w:val="21"/>
              </w:rPr>
              <w:t>无变动</w:t>
            </w:r>
          </w:p>
        </w:tc>
        <w:tc>
          <w:tcPr>
            <w:tcW w:w="842" w:type="dxa"/>
            <w:vAlign w:val="center"/>
          </w:tcPr>
          <w:p w14:paraId="35B0CB53">
            <w:pPr>
              <w:spacing w:line="240" w:lineRule="auto"/>
              <w:ind w:firstLine="0" w:firstLineChars="0"/>
              <w:jc w:val="center"/>
              <w:rPr>
                <w:color w:val="auto"/>
                <w:sz w:val="21"/>
                <w:szCs w:val="21"/>
              </w:rPr>
            </w:pPr>
            <w:r>
              <w:rPr>
                <w:color w:val="auto"/>
                <w:sz w:val="21"/>
                <w:szCs w:val="21"/>
              </w:rPr>
              <w:t>不属于</w:t>
            </w:r>
          </w:p>
        </w:tc>
      </w:tr>
      <w:tr w14:paraId="37188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655" w:type="dxa"/>
            <w:vMerge w:val="continue"/>
            <w:vAlign w:val="center"/>
          </w:tcPr>
          <w:p w14:paraId="53ED0C37">
            <w:pPr>
              <w:spacing w:line="240" w:lineRule="auto"/>
              <w:ind w:firstLine="0" w:firstLineChars="0"/>
              <w:jc w:val="center"/>
              <w:rPr>
                <w:color w:val="auto"/>
                <w:sz w:val="21"/>
                <w:szCs w:val="21"/>
              </w:rPr>
            </w:pPr>
          </w:p>
        </w:tc>
        <w:tc>
          <w:tcPr>
            <w:tcW w:w="5051" w:type="dxa"/>
            <w:vAlign w:val="center"/>
          </w:tcPr>
          <w:p w14:paraId="47FA8547">
            <w:pPr>
              <w:spacing w:line="240" w:lineRule="auto"/>
              <w:ind w:firstLine="0" w:firstLineChars="0"/>
              <w:jc w:val="both"/>
              <w:rPr>
                <w:color w:val="auto"/>
                <w:sz w:val="21"/>
                <w:szCs w:val="21"/>
              </w:rPr>
            </w:pPr>
            <w:r>
              <w:rPr>
                <w:rFonts w:hint="eastAsia"/>
                <w:color w:val="auto"/>
                <w:sz w:val="21"/>
                <w:szCs w:val="21"/>
              </w:rPr>
              <w:t>11、</w:t>
            </w:r>
            <w:r>
              <w:rPr>
                <w:color w:val="auto"/>
                <w:sz w:val="21"/>
                <w:szCs w:val="21"/>
              </w:rPr>
              <w:t>噪声、土壤或地下水污染防治措施变化，导致不利环境影响加重的。</w:t>
            </w:r>
          </w:p>
        </w:tc>
        <w:tc>
          <w:tcPr>
            <w:tcW w:w="2638" w:type="dxa"/>
            <w:vAlign w:val="center"/>
          </w:tcPr>
          <w:p w14:paraId="70D7D2D3">
            <w:pPr>
              <w:spacing w:line="240" w:lineRule="auto"/>
              <w:ind w:firstLine="0" w:firstLineChars="0"/>
              <w:jc w:val="center"/>
              <w:rPr>
                <w:color w:val="auto"/>
                <w:sz w:val="21"/>
                <w:szCs w:val="21"/>
              </w:rPr>
            </w:pPr>
            <w:r>
              <w:rPr>
                <w:rFonts w:hint="eastAsia"/>
                <w:color w:val="auto"/>
                <w:sz w:val="21"/>
                <w:szCs w:val="21"/>
              </w:rPr>
              <w:t>无变动</w:t>
            </w:r>
          </w:p>
        </w:tc>
        <w:tc>
          <w:tcPr>
            <w:tcW w:w="842" w:type="dxa"/>
            <w:vAlign w:val="center"/>
          </w:tcPr>
          <w:p w14:paraId="22BFE749">
            <w:pPr>
              <w:tabs>
                <w:tab w:val="left" w:pos="510"/>
                <w:tab w:val="center" w:pos="1259"/>
              </w:tabs>
              <w:spacing w:line="240" w:lineRule="auto"/>
              <w:ind w:firstLine="0" w:firstLineChars="0"/>
              <w:jc w:val="center"/>
              <w:rPr>
                <w:color w:val="auto"/>
                <w:sz w:val="21"/>
                <w:szCs w:val="21"/>
              </w:rPr>
            </w:pPr>
            <w:r>
              <w:rPr>
                <w:rFonts w:hint="eastAsia"/>
                <w:color w:val="auto"/>
                <w:sz w:val="21"/>
                <w:szCs w:val="21"/>
              </w:rPr>
              <w:t>不属于</w:t>
            </w:r>
          </w:p>
        </w:tc>
      </w:tr>
      <w:tr w14:paraId="73A27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655" w:type="dxa"/>
            <w:vMerge w:val="continue"/>
            <w:vAlign w:val="center"/>
          </w:tcPr>
          <w:p w14:paraId="44101FDC">
            <w:pPr>
              <w:spacing w:line="240" w:lineRule="auto"/>
              <w:ind w:firstLine="0" w:firstLineChars="0"/>
              <w:jc w:val="center"/>
              <w:rPr>
                <w:color w:val="auto"/>
                <w:sz w:val="21"/>
                <w:szCs w:val="21"/>
              </w:rPr>
            </w:pPr>
          </w:p>
        </w:tc>
        <w:tc>
          <w:tcPr>
            <w:tcW w:w="5051" w:type="dxa"/>
            <w:vAlign w:val="center"/>
          </w:tcPr>
          <w:p w14:paraId="39A31F67">
            <w:pPr>
              <w:spacing w:line="240" w:lineRule="auto"/>
              <w:ind w:firstLine="0" w:firstLineChars="0"/>
              <w:jc w:val="both"/>
              <w:rPr>
                <w:color w:val="auto"/>
                <w:sz w:val="21"/>
                <w:szCs w:val="21"/>
              </w:rPr>
            </w:pPr>
            <w:r>
              <w:rPr>
                <w:rFonts w:hint="eastAsia"/>
                <w:color w:val="auto"/>
                <w:sz w:val="21"/>
                <w:szCs w:val="21"/>
              </w:rPr>
              <w:t>12、</w:t>
            </w:r>
            <w:r>
              <w:rPr>
                <w:color w:val="auto"/>
                <w:sz w:val="21"/>
                <w:szCs w:val="21"/>
              </w:rPr>
              <w:t>固体废物利用处置方式由委托外单位利用处置改为自行利用处置的（自行利用处置设施单独开展环境影响评价的除外）；固体废物自行处置方式变化，导致不利环境影响加重的。</w:t>
            </w:r>
          </w:p>
        </w:tc>
        <w:tc>
          <w:tcPr>
            <w:tcW w:w="2638" w:type="dxa"/>
            <w:vAlign w:val="center"/>
          </w:tcPr>
          <w:p w14:paraId="41F87C26">
            <w:pPr>
              <w:spacing w:line="240" w:lineRule="auto"/>
              <w:ind w:firstLine="0" w:firstLineChars="0"/>
              <w:jc w:val="center"/>
              <w:rPr>
                <w:color w:val="auto"/>
                <w:sz w:val="21"/>
                <w:szCs w:val="21"/>
              </w:rPr>
            </w:pPr>
            <w:r>
              <w:rPr>
                <w:rFonts w:hint="eastAsia"/>
                <w:color w:val="auto"/>
                <w:sz w:val="21"/>
                <w:szCs w:val="21"/>
              </w:rPr>
              <w:t>无变动</w:t>
            </w:r>
          </w:p>
        </w:tc>
        <w:tc>
          <w:tcPr>
            <w:tcW w:w="842" w:type="dxa"/>
            <w:vAlign w:val="center"/>
          </w:tcPr>
          <w:p w14:paraId="74BF8D73">
            <w:pPr>
              <w:spacing w:line="240" w:lineRule="auto"/>
              <w:ind w:firstLine="0" w:firstLineChars="0"/>
              <w:jc w:val="center"/>
              <w:rPr>
                <w:color w:val="auto"/>
                <w:sz w:val="21"/>
                <w:szCs w:val="21"/>
              </w:rPr>
            </w:pPr>
            <w:r>
              <w:rPr>
                <w:color w:val="auto"/>
                <w:sz w:val="21"/>
                <w:szCs w:val="21"/>
              </w:rPr>
              <w:t>不属于</w:t>
            </w:r>
          </w:p>
        </w:tc>
      </w:tr>
      <w:tr w14:paraId="2FFFD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655" w:type="dxa"/>
            <w:vMerge w:val="continue"/>
            <w:vAlign w:val="center"/>
          </w:tcPr>
          <w:p w14:paraId="3AEA2D72">
            <w:pPr>
              <w:spacing w:line="240" w:lineRule="auto"/>
              <w:ind w:firstLine="0" w:firstLineChars="0"/>
              <w:jc w:val="center"/>
              <w:rPr>
                <w:color w:val="auto"/>
                <w:sz w:val="21"/>
                <w:szCs w:val="21"/>
              </w:rPr>
            </w:pPr>
          </w:p>
        </w:tc>
        <w:tc>
          <w:tcPr>
            <w:tcW w:w="5051" w:type="dxa"/>
            <w:vAlign w:val="center"/>
          </w:tcPr>
          <w:p w14:paraId="44DE3E10">
            <w:pPr>
              <w:spacing w:line="240" w:lineRule="auto"/>
              <w:ind w:firstLine="0" w:firstLineChars="0"/>
              <w:jc w:val="both"/>
              <w:rPr>
                <w:color w:val="auto"/>
                <w:sz w:val="21"/>
                <w:szCs w:val="21"/>
              </w:rPr>
            </w:pPr>
            <w:r>
              <w:rPr>
                <w:rFonts w:hint="eastAsia"/>
                <w:color w:val="auto"/>
                <w:sz w:val="21"/>
                <w:szCs w:val="21"/>
              </w:rPr>
              <w:t>13、</w:t>
            </w:r>
            <w:r>
              <w:rPr>
                <w:color w:val="auto"/>
                <w:sz w:val="21"/>
                <w:szCs w:val="21"/>
              </w:rPr>
              <w:t>事故废水暂存能力或拦截设施变化，导致环境风险防范能力弱化或降低的。</w:t>
            </w:r>
          </w:p>
        </w:tc>
        <w:tc>
          <w:tcPr>
            <w:tcW w:w="2638" w:type="dxa"/>
            <w:vAlign w:val="center"/>
          </w:tcPr>
          <w:p w14:paraId="1CFFC8E0">
            <w:pPr>
              <w:spacing w:line="240" w:lineRule="auto"/>
              <w:ind w:firstLine="0" w:firstLineChars="0"/>
              <w:jc w:val="center"/>
              <w:rPr>
                <w:color w:val="auto"/>
                <w:sz w:val="21"/>
                <w:szCs w:val="21"/>
              </w:rPr>
            </w:pPr>
            <w:r>
              <w:rPr>
                <w:rFonts w:hint="eastAsia"/>
                <w:color w:val="auto"/>
                <w:sz w:val="21"/>
                <w:szCs w:val="21"/>
              </w:rPr>
              <w:t>无变动</w:t>
            </w:r>
          </w:p>
        </w:tc>
        <w:tc>
          <w:tcPr>
            <w:tcW w:w="842" w:type="dxa"/>
            <w:vAlign w:val="center"/>
          </w:tcPr>
          <w:p w14:paraId="1BCA03C8">
            <w:pPr>
              <w:spacing w:line="240" w:lineRule="auto"/>
              <w:ind w:firstLine="0" w:firstLineChars="0"/>
              <w:jc w:val="center"/>
              <w:rPr>
                <w:color w:val="auto"/>
                <w:sz w:val="21"/>
                <w:szCs w:val="21"/>
              </w:rPr>
            </w:pPr>
            <w:r>
              <w:rPr>
                <w:color w:val="auto"/>
                <w:sz w:val="21"/>
                <w:szCs w:val="21"/>
              </w:rPr>
              <w:t>不属于</w:t>
            </w:r>
          </w:p>
        </w:tc>
      </w:tr>
    </w:tbl>
    <w:p w14:paraId="040D0896">
      <w:pPr>
        <w:spacing w:line="460" w:lineRule="exact"/>
        <w:ind w:firstLine="480"/>
        <w:jc w:val="both"/>
        <w:textAlignment w:val="baseline"/>
        <w:rPr>
          <w:rFonts w:hint="eastAsia" w:hAnsi="宋体"/>
          <w:color w:val="auto"/>
          <w:szCs w:val="24"/>
        </w:rPr>
      </w:pPr>
      <w:r>
        <w:rPr>
          <w:rFonts w:hint="eastAsia" w:hAnsi="宋体"/>
          <w:color w:val="auto"/>
          <w:szCs w:val="24"/>
        </w:rPr>
        <w:t>根据上表对比结果可知，本项目</w:t>
      </w:r>
      <w:r>
        <w:rPr>
          <w:rFonts w:hint="eastAsia" w:hAnsi="宋体"/>
          <w:color w:val="auto"/>
          <w:szCs w:val="24"/>
          <w:lang w:eastAsia="zh-CN"/>
        </w:rPr>
        <w:t>（</w:t>
      </w:r>
      <w:r>
        <w:rPr>
          <w:rFonts w:hint="eastAsia" w:hAnsi="宋体"/>
          <w:color w:val="auto"/>
          <w:szCs w:val="24"/>
          <w:lang w:val="en-US" w:eastAsia="zh-CN"/>
        </w:rPr>
        <w:t>一期</w:t>
      </w:r>
      <w:r>
        <w:rPr>
          <w:rFonts w:hint="eastAsia" w:hAnsi="宋体"/>
          <w:color w:val="auto"/>
          <w:szCs w:val="24"/>
          <w:lang w:eastAsia="zh-CN"/>
        </w:rPr>
        <w:t>）</w:t>
      </w:r>
      <w:r>
        <w:rPr>
          <w:rFonts w:hint="eastAsia" w:hAnsi="宋体"/>
          <w:color w:val="auto"/>
          <w:szCs w:val="24"/>
        </w:rPr>
        <w:t>发生的变动情况不属于重大变动，满足验收要求。</w:t>
      </w:r>
    </w:p>
    <w:p w14:paraId="0FF7D5F6">
      <w:pPr>
        <w:ind w:firstLine="480"/>
        <w:jc w:val="both"/>
        <w:rPr>
          <w:rFonts w:cs="Times New Roman"/>
          <w:color w:val="FF0000"/>
        </w:rPr>
      </w:pPr>
    </w:p>
    <w:p w14:paraId="201C7806">
      <w:pPr>
        <w:pStyle w:val="2"/>
        <w:ind w:firstLine="643"/>
        <w:rPr>
          <w:rFonts w:cs="Times New Roman"/>
          <w:color w:val="auto"/>
        </w:rPr>
      </w:pPr>
      <w:bookmarkStart w:id="27" w:name="_Toc172712293"/>
      <w:r>
        <w:rPr>
          <w:rFonts w:cs="Times New Roman"/>
          <w:color w:val="auto"/>
        </w:rPr>
        <w:t>4 环境保护设施</w:t>
      </w:r>
      <w:bookmarkEnd w:id="27"/>
    </w:p>
    <w:p w14:paraId="7F353E9E">
      <w:pPr>
        <w:pStyle w:val="3"/>
        <w:spacing w:before="163" w:after="163"/>
        <w:ind w:firstLine="643"/>
        <w:rPr>
          <w:rFonts w:cs="Times New Roman"/>
          <w:color w:val="auto"/>
        </w:rPr>
      </w:pPr>
      <w:bookmarkStart w:id="28" w:name="_Toc172712294"/>
      <w:r>
        <w:rPr>
          <w:rFonts w:cs="Times New Roman"/>
          <w:color w:val="auto"/>
        </w:rPr>
        <w:t>4.1污染物治理/处置设施</w:t>
      </w:r>
      <w:bookmarkEnd w:id="28"/>
    </w:p>
    <w:p w14:paraId="38B023B7">
      <w:pPr>
        <w:pStyle w:val="4"/>
        <w:ind w:firstLine="562"/>
        <w:rPr>
          <w:rFonts w:cs="Times New Roman"/>
          <w:color w:val="auto"/>
        </w:rPr>
      </w:pPr>
      <w:r>
        <w:rPr>
          <w:rFonts w:cs="Times New Roman"/>
          <w:color w:val="auto"/>
        </w:rPr>
        <w:t>4.1.1废水</w:t>
      </w:r>
    </w:p>
    <w:p w14:paraId="174CF510">
      <w:pPr>
        <w:ind w:firstLine="480"/>
        <w:jc w:val="both"/>
        <w:rPr>
          <w:b/>
          <w:color w:val="auto"/>
        </w:rPr>
      </w:pPr>
      <w:r>
        <w:rPr>
          <w:rFonts w:hint="eastAsia" w:cs="Times New Roman"/>
          <w:color w:val="auto"/>
        </w:rPr>
        <w:t>本项目废水主要为含铬废水、含镍废水、</w:t>
      </w:r>
      <w:r>
        <w:rPr>
          <w:rFonts w:hint="eastAsia" w:cs="Times New Roman"/>
          <w:color w:val="auto"/>
          <w:lang w:val="en-US" w:eastAsia="zh-CN"/>
        </w:rPr>
        <w:t>车间地面清洗废水、含锌废水、含油废水、含酸废水、</w:t>
      </w:r>
      <w:r>
        <w:rPr>
          <w:rFonts w:hint="eastAsia" w:cs="Times New Roman"/>
          <w:color w:val="auto"/>
        </w:rPr>
        <w:t>生活污水</w:t>
      </w:r>
      <w:r>
        <w:rPr>
          <w:rFonts w:hint="eastAsia" w:cs="Times New Roman"/>
          <w:color w:val="auto"/>
          <w:lang w:eastAsia="zh-CN"/>
        </w:rPr>
        <w:t>、</w:t>
      </w:r>
      <w:r>
        <w:rPr>
          <w:rFonts w:hint="eastAsia" w:cs="Times New Roman"/>
          <w:color w:val="auto"/>
          <w:lang w:val="en-US" w:eastAsia="zh-CN"/>
        </w:rPr>
        <w:t>纯水制备浓水及冲压冷却水</w:t>
      </w:r>
      <w:r>
        <w:rPr>
          <w:rFonts w:hint="eastAsia" w:cs="Times New Roman"/>
          <w:color w:val="auto"/>
        </w:rPr>
        <w:t>。</w:t>
      </w:r>
    </w:p>
    <w:p w14:paraId="20870E7F">
      <w:pPr>
        <w:ind w:firstLine="480"/>
        <w:jc w:val="both"/>
        <w:rPr>
          <w:rFonts w:hint="eastAsia" w:ascii="Times New Roman" w:hAnsi="Times New Roman" w:eastAsia="宋体" w:cs="Times New Roman"/>
          <w:color w:val="auto"/>
          <w:sz w:val="24"/>
          <w:szCs w:val="24"/>
          <w:lang w:eastAsia="zh-CN"/>
        </w:rPr>
      </w:pPr>
      <w:r>
        <w:rPr>
          <w:rFonts w:hint="eastAsia"/>
          <w:color w:val="auto"/>
          <w:lang w:val="en-US" w:eastAsia="zh-CN"/>
        </w:rPr>
        <w:t>1、</w:t>
      </w:r>
      <w:r>
        <w:rPr>
          <w:rFonts w:hint="eastAsia" w:cs="Times New Roman"/>
          <w:color w:val="auto"/>
          <w:lang w:val="en-US" w:eastAsia="zh-CN"/>
        </w:rPr>
        <w:t>含铬废水：根据前文分析，本一期项目实际建设中，镀锌线、退锌线和酸雾吸收塔的含铬废水依托现有含铬废水处理设施（调节+还原+混凝沉淀+砂滤+碳滤+超滤+反渗透+蒸发）处理后回用。</w:t>
      </w:r>
    </w:p>
    <w:p w14:paraId="3DF09731">
      <w:pPr>
        <w:ind w:firstLine="480"/>
        <w:jc w:val="both"/>
        <w:rPr>
          <w:color w:val="auto"/>
        </w:rPr>
      </w:pPr>
      <w:r>
        <w:rPr>
          <w:rFonts w:hint="eastAsia"/>
          <w:color w:val="auto"/>
          <w:lang w:eastAsia="zh-CN"/>
        </w:rPr>
        <w:t>（</w:t>
      </w:r>
      <w:r>
        <w:rPr>
          <w:rFonts w:hint="eastAsia"/>
          <w:color w:val="auto"/>
          <w:lang w:val="en-US" w:eastAsia="zh-CN"/>
        </w:rPr>
        <w:t>1</w:t>
      </w:r>
      <w:r>
        <w:rPr>
          <w:rFonts w:hint="eastAsia"/>
          <w:color w:val="auto"/>
          <w:lang w:eastAsia="zh-CN"/>
        </w:rPr>
        <w:t>）</w:t>
      </w:r>
      <w:r>
        <w:rPr>
          <w:rFonts w:hint="eastAsia"/>
          <w:color w:val="auto"/>
        </w:rPr>
        <w:t>含铬废水处理工艺流程图</w:t>
      </w:r>
    </w:p>
    <w:p w14:paraId="79CA02C5">
      <w:pPr>
        <w:spacing w:line="240" w:lineRule="auto"/>
        <w:ind w:firstLine="0" w:firstLineChars="0"/>
        <w:jc w:val="center"/>
        <w:rPr>
          <w:color w:val="auto"/>
        </w:rPr>
      </w:pPr>
      <w:r>
        <w:rPr>
          <w:color w:val="auto"/>
        </w:rPr>
        <w:object>
          <v:shape id="_x0000_i1029" o:spt="75" type="#_x0000_t75" style="height:300.3pt;width:221.35pt;" o:ole="t" filled="f" o:preferrelative="t" stroked="f" coordsize="21600,21600">
            <v:path/>
            <v:fill on="f" focussize="0,0"/>
            <v:stroke on="f"/>
            <v:imagedata r:id="rId32" o:title=""/>
            <o:lock v:ext="edit" aspectratio="t"/>
            <w10:wrap type="none"/>
            <w10:anchorlock/>
          </v:shape>
          <o:OLEObject Type="Embed" ProgID="Visio.Drawing.11" ShapeID="_x0000_i1029" DrawAspect="Content" ObjectID="_1468075729" r:id="rId31">
            <o:LockedField>false</o:LockedField>
          </o:OLEObject>
        </w:object>
      </w:r>
    </w:p>
    <w:p w14:paraId="237DD790">
      <w:pPr>
        <w:spacing w:line="240" w:lineRule="auto"/>
        <w:ind w:firstLine="0" w:firstLineChars="0"/>
        <w:jc w:val="center"/>
        <w:rPr>
          <w:rFonts w:cs="Times New Roman"/>
          <w:color w:val="FF0000"/>
        </w:rPr>
      </w:pPr>
      <w:r>
        <w:rPr>
          <w:rFonts w:cs="Times New Roman"/>
          <w:b/>
          <w:bCs/>
          <w:color w:val="FF0000"/>
          <w:szCs w:val="24"/>
        </w:rPr>
        <w:t xml:space="preserve">图4-1       </w:t>
      </w:r>
      <w:r>
        <w:rPr>
          <w:rFonts w:hint="eastAsia" w:cs="Times New Roman"/>
          <w:b/>
          <w:bCs/>
          <w:color w:val="FF0000"/>
          <w:szCs w:val="24"/>
        </w:rPr>
        <w:t>含铬废水处理工艺流程</w:t>
      </w:r>
      <w:r>
        <w:rPr>
          <w:rFonts w:hint="eastAsia" w:cs="Times New Roman"/>
          <w:b/>
          <w:bCs/>
          <w:color w:val="FF0000"/>
        </w:rPr>
        <w:t>图</w:t>
      </w:r>
    </w:p>
    <w:p w14:paraId="0C6DBF55">
      <w:pPr>
        <w:jc w:val="both"/>
        <w:rPr>
          <w:rFonts w:hint="eastAsia" w:cs="Times New Roman"/>
          <w:color w:val="auto"/>
          <w:lang w:val="en-US" w:eastAsia="zh-CN"/>
        </w:rPr>
      </w:pPr>
      <w:r>
        <w:rPr>
          <w:rFonts w:hint="eastAsia" w:cs="Times New Roman"/>
          <w:color w:val="auto"/>
          <w:lang w:val="en-US" w:eastAsia="zh-CN"/>
        </w:rPr>
        <w:t>综上，废水处理工艺与环评批复一致，</w:t>
      </w:r>
      <w:r>
        <w:rPr>
          <w:rFonts w:hint="eastAsia" w:cs="Times New Roman"/>
          <w:color w:val="FF0000"/>
          <w:lang w:val="en-US" w:eastAsia="zh-CN"/>
        </w:rPr>
        <w:t>废水治理设施</w:t>
      </w:r>
      <w:r>
        <w:rPr>
          <w:rFonts w:hint="eastAsia" w:cs="Times New Roman"/>
          <w:color w:val="auto"/>
          <w:lang w:val="en-US" w:eastAsia="zh-CN"/>
        </w:rPr>
        <w:t>由新建改为依托现有。根据《排污许可证申请与核发技术规范 电镀工业》（HJ855-2017）表9、《电镀废水治理工程技术规范》（HJ2002-2010）、《电镀污染防治可行技术指南》（HJ1306-2023）表5，含铬废水治理的可行技术有：化学还原法处理技术、电解法处理工艺及其他。本次一期项目含铬废水采用“调节+还原+混凝沉淀+砂滤+碳滤+超滤+反渗透+蒸发”属于上述列出的可行技术，因此变动后的含铬废水治理措施可行。</w:t>
      </w:r>
    </w:p>
    <w:p w14:paraId="5AD53343">
      <w:pPr>
        <w:rPr>
          <w:rFonts w:hint="eastAsia" w:cs="Times New Roman"/>
          <w:color w:val="auto"/>
          <w:lang w:val="en-US" w:eastAsia="zh-CN"/>
        </w:rPr>
      </w:pPr>
      <w:r>
        <w:rPr>
          <w:rFonts w:hint="eastAsia" w:cs="Times New Roman"/>
          <w:color w:val="auto"/>
          <w:lang w:val="en-US" w:eastAsia="zh-CN"/>
        </w:rPr>
        <w:t>（2）含铬废水依托可行性分析</w:t>
      </w:r>
    </w:p>
    <w:p w14:paraId="60481DDB">
      <w:pPr>
        <w:rPr>
          <w:rFonts w:hint="eastAsia" w:cs="Times New Roman"/>
          <w:color w:val="auto"/>
          <w:lang w:val="en-US" w:eastAsia="zh-CN"/>
        </w:rPr>
      </w:pPr>
      <w:r>
        <w:rPr>
          <w:rFonts w:hint="eastAsia" w:cs="Times New Roman"/>
          <w:b/>
          <w:bCs/>
          <w:color w:val="auto"/>
          <w:lang w:val="en-US" w:eastAsia="zh-CN"/>
        </w:rPr>
        <w:t>处理工艺：</w:t>
      </w:r>
      <w:r>
        <w:rPr>
          <w:rFonts w:hint="eastAsia" w:cs="Times New Roman"/>
          <w:color w:val="auto"/>
          <w:lang w:val="en-US" w:eastAsia="zh-CN"/>
        </w:rPr>
        <w:t>依据环评报告及批复，本项目含铬废水处理系统和现有含铬废水处理系统处理工艺一致，处理工艺为：调节+还原+混凝沉淀+砂滤+碳滤+超滤+反渗透+蒸发；依托可行；</w:t>
      </w:r>
    </w:p>
    <w:p w14:paraId="517BE5BF">
      <w:pPr>
        <w:rPr>
          <w:rFonts w:hint="eastAsia" w:cs="Times New Roman"/>
          <w:color w:val="auto"/>
          <w:lang w:val="en-US" w:eastAsia="zh-CN"/>
        </w:rPr>
      </w:pPr>
      <w:r>
        <w:rPr>
          <w:rFonts w:hint="eastAsia" w:cs="Times New Roman"/>
          <w:b/>
          <w:bCs/>
          <w:color w:val="auto"/>
          <w:lang w:val="en-US" w:eastAsia="zh-CN"/>
        </w:rPr>
        <w:t>水质：</w:t>
      </w:r>
      <w:r>
        <w:rPr>
          <w:rFonts w:hint="eastAsia" w:cs="Times New Roman"/>
          <w:color w:val="auto"/>
          <w:lang w:val="en-US" w:eastAsia="zh-CN"/>
        </w:rPr>
        <w:t>依据环评报告及批复，本项目含铬废水污染因子为总铬、六价铬，与现有项目含铬废水污染因子一致；依托可行；</w:t>
      </w:r>
    </w:p>
    <w:p w14:paraId="1E3ACE40">
      <w:pPr>
        <w:rPr>
          <w:rFonts w:hint="eastAsia" w:cs="Times New Roman"/>
          <w:b w:val="0"/>
          <w:bCs w:val="0"/>
          <w:color w:val="auto"/>
          <w:lang w:val="en-US" w:eastAsia="zh-CN"/>
        </w:rPr>
      </w:pPr>
      <w:r>
        <w:rPr>
          <w:rFonts w:hint="eastAsia" w:cs="Times New Roman"/>
          <w:b/>
          <w:bCs/>
          <w:color w:val="auto"/>
          <w:lang w:val="en-US" w:eastAsia="zh-CN"/>
        </w:rPr>
        <w:t>处理能力：</w:t>
      </w:r>
      <w:r>
        <w:rPr>
          <w:rFonts w:hint="eastAsia" w:cs="Times New Roman"/>
          <w:b w:val="0"/>
          <w:bCs w:val="0"/>
          <w:color w:val="auto"/>
          <w:lang w:val="en-US" w:eastAsia="zh-CN"/>
        </w:rPr>
        <w:t>依据本项目水平衡图及以新带老整改后含铬废水的产生情况可知，本一期项目含铬废水产生量</w:t>
      </w:r>
      <w:r>
        <w:rPr>
          <w:rFonts w:hint="eastAsia" w:cs="Times New Roman"/>
          <w:b w:val="0"/>
          <w:bCs w:val="0"/>
          <w:color w:val="FF0000"/>
          <w:lang w:val="en-US" w:eastAsia="zh-CN"/>
        </w:rPr>
        <w:t>为18.05m</w:t>
      </w:r>
      <w:r>
        <w:rPr>
          <w:rFonts w:hint="eastAsia" w:cs="Times New Roman"/>
          <w:b w:val="0"/>
          <w:bCs w:val="0"/>
          <w:color w:val="FF0000"/>
          <w:vertAlign w:val="superscript"/>
          <w:lang w:val="en-US" w:eastAsia="zh-CN"/>
        </w:rPr>
        <w:t>3</w:t>
      </w:r>
      <w:r>
        <w:rPr>
          <w:rFonts w:hint="eastAsia" w:cs="Times New Roman"/>
          <w:b w:val="0"/>
          <w:bCs w:val="0"/>
          <w:color w:val="FF0000"/>
          <w:lang w:val="en-US" w:eastAsia="zh-CN"/>
        </w:rPr>
        <w:t>/d</w:t>
      </w:r>
      <w:r>
        <w:rPr>
          <w:rFonts w:hint="eastAsia" w:cs="Times New Roman"/>
          <w:b w:val="0"/>
          <w:bCs w:val="0"/>
          <w:color w:val="auto"/>
          <w:lang w:val="en-US" w:eastAsia="zh-CN"/>
        </w:rPr>
        <w:t>，现有已建项目含铬废水产生量为18.50m</w:t>
      </w:r>
      <w:r>
        <w:rPr>
          <w:rFonts w:hint="eastAsia" w:cs="Times New Roman"/>
          <w:b w:val="0"/>
          <w:bCs w:val="0"/>
          <w:color w:val="auto"/>
          <w:vertAlign w:val="superscript"/>
          <w:lang w:val="en-US" w:eastAsia="zh-CN"/>
        </w:rPr>
        <w:t>3</w:t>
      </w:r>
      <w:r>
        <w:rPr>
          <w:rFonts w:hint="eastAsia" w:cs="Times New Roman"/>
          <w:b w:val="0"/>
          <w:bCs w:val="0"/>
          <w:color w:val="auto"/>
          <w:lang w:val="en-US" w:eastAsia="zh-CN"/>
        </w:rPr>
        <w:t>/d，合计36.45m</w:t>
      </w:r>
      <w:r>
        <w:rPr>
          <w:rFonts w:hint="eastAsia" w:cs="Times New Roman"/>
          <w:b w:val="0"/>
          <w:bCs w:val="0"/>
          <w:color w:val="auto"/>
          <w:vertAlign w:val="superscript"/>
          <w:lang w:val="en-US" w:eastAsia="zh-CN"/>
        </w:rPr>
        <w:t>3</w:t>
      </w:r>
      <w:r>
        <w:rPr>
          <w:rFonts w:hint="eastAsia" w:cs="Times New Roman"/>
          <w:b w:val="0"/>
          <w:bCs w:val="0"/>
          <w:color w:val="auto"/>
          <w:lang w:val="en-US" w:eastAsia="zh-CN"/>
        </w:rPr>
        <w:t>/d。根据企业实际建设情况，现有含铬废水处理设施处理能力为72m</w:t>
      </w:r>
      <w:r>
        <w:rPr>
          <w:rFonts w:hint="eastAsia" w:cs="Times New Roman"/>
          <w:b w:val="0"/>
          <w:bCs w:val="0"/>
          <w:color w:val="auto"/>
          <w:vertAlign w:val="superscript"/>
          <w:lang w:val="en-US" w:eastAsia="zh-CN"/>
        </w:rPr>
        <w:t>3</w:t>
      </w:r>
      <w:r>
        <w:rPr>
          <w:rFonts w:hint="eastAsia" w:cs="Times New Roman"/>
          <w:b w:val="0"/>
          <w:bCs w:val="0"/>
          <w:color w:val="auto"/>
          <w:lang w:val="en-US" w:eastAsia="zh-CN"/>
        </w:rPr>
        <w:t>/d，能满足要求，故本次一期项目含铬废水依托现有含铬废水处理系统，依托可行。</w:t>
      </w:r>
    </w:p>
    <w:p w14:paraId="22B0FA5E">
      <w:pPr>
        <w:rPr>
          <w:rFonts w:hint="eastAsia" w:cs="Times New Roman"/>
          <w:color w:val="auto"/>
        </w:rPr>
      </w:pPr>
      <w:r>
        <w:rPr>
          <w:rFonts w:hint="eastAsia" w:cs="Times New Roman"/>
          <w:color w:val="auto"/>
          <w:lang w:val="en-US" w:eastAsia="zh-CN"/>
        </w:rPr>
        <w:t>2、含镍废水：根据前文分析，本一期项目实际建设中，镀镍后的水洗废水依托现有含镍废水处理设施（调节+混凝沉淀+砂滤+碳滤+超滤+反渗透+蒸发）处理后回用。</w:t>
      </w:r>
    </w:p>
    <w:p w14:paraId="6A04F5C5">
      <w:pPr>
        <w:rPr>
          <w:color w:val="auto"/>
        </w:rPr>
      </w:pPr>
      <w:r>
        <w:rPr>
          <w:rFonts w:hint="eastAsia"/>
          <w:color w:val="auto"/>
          <w:lang w:eastAsia="zh-CN"/>
        </w:rPr>
        <w:t>（</w:t>
      </w:r>
      <w:r>
        <w:rPr>
          <w:rFonts w:hint="eastAsia"/>
          <w:color w:val="auto"/>
          <w:lang w:val="en-US" w:eastAsia="zh-CN"/>
        </w:rPr>
        <w:t>1</w:t>
      </w:r>
      <w:r>
        <w:rPr>
          <w:rFonts w:hint="eastAsia"/>
          <w:color w:val="auto"/>
          <w:lang w:eastAsia="zh-CN"/>
        </w:rPr>
        <w:t>）</w:t>
      </w:r>
      <w:r>
        <w:rPr>
          <w:rFonts w:hint="eastAsia"/>
          <w:color w:val="auto"/>
        </w:rPr>
        <w:t>含镍废水处理工艺流程图</w:t>
      </w:r>
    </w:p>
    <w:p w14:paraId="2FF4D447">
      <w:pPr>
        <w:spacing w:line="360" w:lineRule="auto"/>
        <w:ind w:firstLine="0" w:firstLineChars="0"/>
        <w:jc w:val="center"/>
        <w:rPr>
          <w:color w:val="FF0000"/>
        </w:rPr>
      </w:pPr>
      <w:r>
        <w:rPr>
          <w:color w:val="FF0000"/>
        </w:rPr>
        <w:object>
          <v:shape id="_x0000_i1030" o:spt="75" type="#_x0000_t75" style="height:367.4pt;width:230.1pt;" o:ole="t" filled="f" o:preferrelative="t" stroked="f" coordsize="21600,21600">
            <v:path/>
            <v:fill on="f" focussize="0,0"/>
            <v:stroke on="f"/>
            <v:imagedata r:id="rId34" o:title=""/>
            <o:lock v:ext="edit" aspectratio="t"/>
            <w10:wrap type="none"/>
            <w10:anchorlock/>
          </v:shape>
          <o:OLEObject Type="Embed" ProgID="Visio.Drawing.11" ShapeID="_x0000_i1030" DrawAspect="Content" ObjectID="_1468075730" r:id="rId33">
            <o:LockedField>false</o:LockedField>
          </o:OLEObject>
        </w:object>
      </w:r>
    </w:p>
    <w:p w14:paraId="32D0EB15">
      <w:pPr>
        <w:spacing w:line="360" w:lineRule="auto"/>
        <w:ind w:firstLine="0" w:firstLineChars="0"/>
        <w:jc w:val="center"/>
        <w:rPr>
          <w:rFonts w:cs="Times New Roman"/>
          <w:b/>
          <w:bCs/>
          <w:color w:val="FF0000"/>
        </w:rPr>
      </w:pPr>
      <w:r>
        <w:rPr>
          <w:rFonts w:cs="Times New Roman"/>
          <w:b/>
          <w:bCs/>
          <w:color w:val="FF0000"/>
          <w:szCs w:val="24"/>
        </w:rPr>
        <w:t>图4-</w:t>
      </w:r>
      <w:r>
        <w:rPr>
          <w:rFonts w:hint="eastAsia" w:cs="Times New Roman"/>
          <w:b/>
          <w:bCs/>
          <w:color w:val="FF0000"/>
          <w:szCs w:val="24"/>
        </w:rPr>
        <w:t>2</w:t>
      </w:r>
      <w:r>
        <w:rPr>
          <w:rFonts w:cs="Times New Roman"/>
          <w:b/>
          <w:bCs/>
          <w:color w:val="FF0000"/>
          <w:szCs w:val="24"/>
        </w:rPr>
        <w:t xml:space="preserve">       </w:t>
      </w:r>
      <w:r>
        <w:rPr>
          <w:rFonts w:hint="eastAsia" w:cs="Times New Roman"/>
          <w:b/>
          <w:bCs/>
          <w:color w:val="FF0000"/>
          <w:szCs w:val="24"/>
        </w:rPr>
        <w:t>含镍</w:t>
      </w:r>
      <w:r>
        <w:rPr>
          <w:rFonts w:hint="eastAsia" w:cs="Times New Roman"/>
          <w:b/>
          <w:bCs/>
          <w:color w:val="FF0000"/>
        </w:rPr>
        <w:t>废水处理工艺流程图</w:t>
      </w:r>
      <w:r>
        <w:rPr>
          <w:rFonts w:cs="Times New Roman"/>
          <w:b/>
          <w:bCs/>
          <w:color w:val="FF0000"/>
        </w:rPr>
        <w:t xml:space="preserve"> </w:t>
      </w:r>
    </w:p>
    <w:p w14:paraId="0ADEDBB3">
      <w:pPr>
        <w:ind w:firstLine="480"/>
        <w:jc w:val="both"/>
        <w:rPr>
          <w:rFonts w:hint="eastAsia" w:cs="Times New Roman"/>
          <w:color w:val="auto"/>
          <w:lang w:val="en-US" w:eastAsia="zh-CN"/>
        </w:rPr>
      </w:pPr>
      <w:r>
        <w:rPr>
          <w:rFonts w:hint="eastAsia" w:cs="Times New Roman"/>
          <w:color w:val="auto"/>
          <w:lang w:val="en-US" w:eastAsia="zh-CN"/>
        </w:rPr>
        <w:t>综上，废水处理工艺与环评批复一致，建设性质由新建改为依托现有。根据《排污许可证申请与核发技术规范  电镀工业》（HJ855-2017）表9、《电镀废水治理工程技术规范》（HJ2002-2010）、《电镀污染防治可行技术指南》（HJ1306-2023）表5，含镍废水治理的可行技术有：化学沉淀法处理技术、化学法+膜分离法处理技术。本次一期项目含镍废水采用“调节+混凝沉淀+砂滤+碳滤+超滤+反渗透+蒸发”属于上述列出的可行技术，因此变动后的含镍废水治理措施可行。</w:t>
      </w:r>
    </w:p>
    <w:p w14:paraId="1645D237">
      <w:pPr>
        <w:ind w:firstLine="480"/>
        <w:jc w:val="both"/>
        <w:rPr>
          <w:rFonts w:hint="eastAsia" w:cs="Times New Roman"/>
          <w:color w:val="auto"/>
          <w:lang w:val="en-US" w:eastAsia="zh-CN"/>
        </w:rPr>
      </w:pPr>
      <w:r>
        <w:rPr>
          <w:rFonts w:hint="eastAsia" w:cs="Times New Roman"/>
          <w:color w:val="auto"/>
          <w:lang w:val="en-US" w:eastAsia="zh-CN"/>
        </w:rPr>
        <w:t>（2）含镍废水依托可行性分析：</w:t>
      </w:r>
    </w:p>
    <w:p w14:paraId="2881C846">
      <w:pPr>
        <w:ind w:firstLine="480"/>
        <w:jc w:val="both"/>
        <w:rPr>
          <w:rFonts w:hint="eastAsia" w:cs="Times New Roman"/>
          <w:color w:val="auto"/>
          <w:lang w:val="en-US" w:eastAsia="zh-CN"/>
        </w:rPr>
      </w:pPr>
      <w:r>
        <w:rPr>
          <w:rFonts w:hint="eastAsia" w:cs="Times New Roman"/>
          <w:b/>
          <w:bCs/>
          <w:color w:val="auto"/>
          <w:lang w:val="en-US" w:eastAsia="zh-CN"/>
        </w:rPr>
        <w:t>处理工艺：</w:t>
      </w:r>
      <w:r>
        <w:rPr>
          <w:rFonts w:hint="eastAsia" w:cs="Times New Roman"/>
          <w:color w:val="auto"/>
          <w:lang w:val="en-US" w:eastAsia="zh-CN"/>
        </w:rPr>
        <w:t>依据环评报告及批复，本项目含镍废水处理系统和现有含镍废水处理系统处理工艺一致，处理工艺为：调节+混凝沉淀+砂滤+碳滤+超滤+反渗透+蒸发；依托可行；</w:t>
      </w:r>
    </w:p>
    <w:p w14:paraId="06B3E96D">
      <w:pPr>
        <w:ind w:firstLine="480"/>
        <w:jc w:val="both"/>
        <w:rPr>
          <w:rFonts w:hint="eastAsia" w:cs="Times New Roman"/>
          <w:color w:val="auto"/>
          <w:lang w:val="en-US" w:eastAsia="zh-CN"/>
        </w:rPr>
      </w:pPr>
      <w:r>
        <w:rPr>
          <w:rFonts w:hint="eastAsia" w:cs="Times New Roman"/>
          <w:b/>
          <w:bCs/>
          <w:color w:val="auto"/>
          <w:lang w:val="en-US" w:eastAsia="zh-CN"/>
        </w:rPr>
        <w:t>水质：</w:t>
      </w:r>
      <w:r>
        <w:rPr>
          <w:rFonts w:hint="eastAsia" w:cs="Times New Roman"/>
          <w:color w:val="auto"/>
          <w:lang w:val="en-US" w:eastAsia="zh-CN"/>
        </w:rPr>
        <w:t>依据环评报告及批复，本项目含镍废水污染因子为pH、COD、总镍，与现有项目含镍废水污染因子一致；依托可行；</w:t>
      </w:r>
    </w:p>
    <w:p w14:paraId="7E7A6F4B">
      <w:pPr>
        <w:ind w:firstLine="480"/>
        <w:jc w:val="both"/>
        <w:rPr>
          <w:rFonts w:hint="eastAsia" w:cs="Times New Roman"/>
          <w:color w:val="auto"/>
          <w:lang w:val="en-US" w:eastAsia="zh-CN"/>
        </w:rPr>
      </w:pPr>
      <w:r>
        <w:rPr>
          <w:rFonts w:hint="eastAsia" w:cs="Times New Roman"/>
          <w:b/>
          <w:bCs/>
          <w:color w:val="auto"/>
          <w:lang w:val="en-US" w:eastAsia="zh-CN"/>
        </w:rPr>
        <w:t>处理能力：</w:t>
      </w:r>
      <w:r>
        <w:rPr>
          <w:rFonts w:hint="eastAsia" w:cs="Times New Roman"/>
          <w:color w:val="auto"/>
          <w:lang w:val="en-US" w:eastAsia="zh-CN"/>
        </w:rPr>
        <w:t>依据本项目水平衡图及以新带老整改后含镍废水的产生情况可知，本一期项目含镍废水产生量为22.14m</w:t>
      </w:r>
      <w:r>
        <w:rPr>
          <w:rFonts w:hint="eastAsia" w:cs="Times New Roman"/>
          <w:color w:val="auto"/>
          <w:vertAlign w:val="superscript"/>
          <w:lang w:val="en-US" w:eastAsia="zh-CN"/>
        </w:rPr>
        <w:t>3</w:t>
      </w:r>
      <w:r>
        <w:rPr>
          <w:rFonts w:hint="eastAsia" w:cs="Times New Roman"/>
          <w:color w:val="auto"/>
          <w:lang w:val="en-US" w:eastAsia="zh-CN"/>
        </w:rPr>
        <w:t>/d，现有已建项目含镍废水产生量为18.24m</w:t>
      </w:r>
      <w:r>
        <w:rPr>
          <w:rFonts w:hint="eastAsia" w:cs="Times New Roman"/>
          <w:color w:val="auto"/>
          <w:vertAlign w:val="superscript"/>
          <w:lang w:val="en-US" w:eastAsia="zh-CN"/>
        </w:rPr>
        <w:t>3</w:t>
      </w:r>
      <w:r>
        <w:rPr>
          <w:rFonts w:hint="eastAsia" w:cs="Times New Roman"/>
          <w:color w:val="auto"/>
          <w:lang w:val="en-US" w:eastAsia="zh-CN"/>
        </w:rPr>
        <w:t>/d，合计40.38m</w:t>
      </w:r>
      <w:r>
        <w:rPr>
          <w:rFonts w:hint="eastAsia" w:cs="Times New Roman"/>
          <w:color w:val="auto"/>
          <w:vertAlign w:val="superscript"/>
          <w:lang w:val="en-US" w:eastAsia="zh-CN"/>
        </w:rPr>
        <w:t>3</w:t>
      </w:r>
      <w:r>
        <w:rPr>
          <w:rFonts w:hint="eastAsia" w:cs="Times New Roman"/>
          <w:color w:val="auto"/>
          <w:lang w:val="en-US" w:eastAsia="zh-CN"/>
        </w:rPr>
        <w:t>/d。根据企业实际建设情况，现有含镍废水处理设施处理能力为72m</w:t>
      </w:r>
      <w:r>
        <w:rPr>
          <w:rFonts w:hint="eastAsia" w:cs="Times New Roman"/>
          <w:color w:val="auto"/>
          <w:vertAlign w:val="superscript"/>
          <w:lang w:val="en-US" w:eastAsia="zh-CN"/>
        </w:rPr>
        <w:t>3</w:t>
      </w:r>
      <w:r>
        <w:rPr>
          <w:rFonts w:hint="eastAsia" w:cs="Times New Roman"/>
          <w:color w:val="auto"/>
          <w:lang w:val="en-US" w:eastAsia="zh-CN"/>
        </w:rPr>
        <w:t>/d，能满足要求，故本次一期项目含铬废水依托现有含铬废水处理系统，依托可行。</w:t>
      </w:r>
    </w:p>
    <w:p w14:paraId="3255170C">
      <w:pPr>
        <w:ind w:firstLine="480"/>
        <w:jc w:val="both"/>
        <w:rPr>
          <w:rFonts w:hint="eastAsia" w:cs="Times New Roman"/>
          <w:color w:val="auto"/>
          <w:lang w:val="en-US" w:eastAsia="zh-CN"/>
        </w:rPr>
      </w:pPr>
      <w:r>
        <w:rPr>
          <w:rFonts w:hint="eastAsia" w:cs="Times New Roman"/>
          <w:color w:val="auto"/>
          <w:lang w:val="en-US" w:eastAsia="zh-CN"/>
        </w:rPr>
        <w:t>3、车间地面清洗废水经一套含高COD废水处理系统（调节+芬顿高级氧化+混凝沉淀+砂滤+碳滤+超滤+反渗透+蒸发）处理后回用。</w:t>
      </w:r>
    </w:p>
    <w:p w14:paraId="44CE137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rPr>
      </w:pPr>
      <w:r>
        <w:rPr>
          <w:rFonts w:hint="eastAsia"/>
        </w:rPr>
        <w:object>
          <v:shape id="_x0000_i1031" o:spt="75" type="#_x0000_t75" style="height:367.35pt;width:233pt;" o:ole="t" filled="f" o:preferrelative="t" stroked="f" coordsize="21600,21600">
            <v:path/>
            <v:fill on="f" focussize="0,0"/>
            <v:stroke on="f"/>
            <v:imagedata r:id="rId36" o:title=""/>
            <o:lock v:ext="edit" aspectratio="t"/>
            <w10:wrap type="none"/>
            <w10:anchorlock/>
          </v:shape>
          <o:OLEObject Type="Embed" ProgID="Visio.Drawing.15" ShapeID="_x0000_i1031" DrawAspect="Content" ObjectID="_1468075731" r:id="rId35">
            <o:LockedField>false</o:LockedField>
          </o:OLEObject>
        </w:object>
      </w:r>
    </w:p>
    <w:p w14:paraId="195A760C">
      <w:pPr>
        <w:spacing w:line="240" w:lineRule="auto"/>
        <w:ind w:firstLine="0" w:firstLineChars="0"/>
        <w:jc w:val="center"/>
        <w:rPr>
          <w:rFonts w:cs="Times New Roman"/>
          <w:b/>
          <w:bCs/>
          <w:color w:val="FF0000"/>
        </w:rPr>
      </w:pPr>
      <w:r>
        <w:rPr>
          <w:rFonts w:cs="Times New Roman"/>
          <w:b/>
          <w:bCs/>
          <w:color w:val="FF0000"/>
          <w:szCs w:val="24"/>
        </w:rPr>
        <w:t>图4-</w:t>
      </w:r>
      <w:r>
        <w:rPr>
          <w:rFonts w:hint="eastAsia" w:cs="Times New Roman"/>
          <w:b/>
          <w:bCs/>
          <w:color w:val="FF0000"/>
          <w:szCs w:val="24"/>
        </w:rPr>
        <w:t>2</w:t>
      </w:r>
      <w:r>
        <w:rPr>
          <w:rFonts w:cs="Times New Roman"/>
          <w:b/>
          <w:bCs/>
          <w:color w:val="FF0000"/>
          <w:szCs w:val="24"/>
        </w:rPr>
        <w:t xml:space="preserve">       </w:t>
      </w:r>
      <w:r>
        <w:rPr>
          <w:rFonts w:hint="eastAsia" w:cs="Times New Roman"/>
          <w:b/>
          <w:bCs/>
          <w:color w:val="FF0000"/>
          <w:szCs w:val="24"/>
          <w:lang w:val="en-US" w:eastAsia="zh-CN"/>
        </w:rPr>
        <w:t>高COD</w:t>
      </w:r>
      <w:r>
        <w:rPr>
          <w:rFonts w:hint="eastAsia" w:cs="Times New Roman"/>
          <w:b/>
          <w:bCs/>
          <w:color w:val="FF0000"/>
        </w:rPr>
        <w:t>废水处理工艺流程图</w:t>
      </w:r>
      <w:r>
        <w:rPr>
          <w:rFonts w:cs="Times New Roman"/>
          <w:b/>
          <w:bCs/>
          <w:color w:val="FF0000"/>
        </w:rPr>
        <w:t xml:space="preserve"> </w:t>
      </w:r>
    </w:p>
    <w:p w14:paraId="63F0BB4E">
      <w:pPr>
        <w:ind w:firstLine="480"/>
        <w:jc w:val="both"/>
        <w:rPr>
          <w:rFonts w:hint="default" w:cs="Times New Roman"/>
          <w:color w:val="auto"/>
          <w:lang w:val="en-US" w:eastAsia="zh-CN"/>
        </w:rPr>
      </w:pPr>
      <w:r>
        <w:rPr>
          <w:rFonts w:hint="eastAsia" w:cs="Times New Roman"/>
          <w:color w:val="auto"/>
          <w:lang w:val="en-US" w:eastAsia="zh-CN"/>
        </w:rPr>
        <w:t>4、含锌废水经一套含锌废水处理系统（调节+混凝沉淀+砂滤+碳滤+超滤+反渗透+蒸发）处理后回用。</w:t>
      </w:r>
    </w:p>
    <w:p w14:paraId="4B350D89">
      <w:pPr>
        <w:spacing w:line="240" w:lineRule="auto"/>
        <w:ind w:firstLine="480"/>
        <w:jc w:val="center"/>
        <w:rPr>
          <w:rFonts w:hint="eastAsia"/>
        </w:rPr>
      </w:pPr>
      <w:r>
        <w:rPr>
          <w:rFonts w:hint="eastAsia"/>
        </w:rPr>
        <w:object>
          <v:shape id="_x0000_i1032" o:spt="75" type="#_x0000_t75" style="height:358.75pt;width:220.05pt;" o:ole="t" filled="f" o:preferrelative="t" stroked="f" coordsize="21600,21600">
            <v:path/>
            <v:fill on="f" focussize="0,0"/>
            <v:stroke on="f"/>
            <v:imagedata r:id="rId38" o:title=""/>
            <o:lock v:ext="edit" aspectratio="t"/>
            <w10:wrap type="none"/>
            <w10:anchorlock/>
          </v:shape>
          <o:OLEObject Type="Embed" ProgID="Visio.Drawing.15" ShapeID="_x0000_i1032" DrawAspect="Content" ObjectID="_1468075732" r:id="rId37">
            <o:LockedField>false</o:LockedField>
          </o:OLEObject>
        </w:object>
      </w:r>
    </w:p>
    <w:p w14:paraId="43B39635">
      <w:pPr>
        <w:spacing w:line="360" w:lineRule="auto"/>
        <w:ind w:firstLine="0" w:firstLineChars="0"/>
        <w:jc w:val="center"/>
        <w:rPr>
          <w:rFonts w:cs="Times New Roman"/>
          <w:b/>
          <w:bCs/>
          <w:color w:val="auto"/>
        </w:rPr>
      </w:pPr>
      <w:r>
        <w:rPr>
          <w:rFonts w:cs="Times New Roman"/>
          <w:b/>
          <w:bCs/>
          <w:color w:val="auto"/>
          <w:szCs w:val="24"/>
        </w:rPr>
        <w:t>图4-</w:t>
      </w:r>
      <w:r>
        <w:rPr>
          <w:rFonts w:hint="eastAsia" w:cs="Times New Roman"/>
          <w:b/>
          <w:bCs/>
          <w:color w:val="auto"/>
          <w:szCs w:val="24"/>
        </w:rPr>
        <w:t>2</w:t>
      </w:r>
      <w:r>
        <w:rPr>
          <w:rFonts w:cs="Times New Roman"/>
          <w:b/>
          <w:bCs/>
          <w:color w:val="auto"/>
          <w:szCs w:val="24"/>
        </w:rPr>
        <w:t xml:space="preserve">       </w:t>
      </w:r>
      <w:r>
        <w:rPr>
          <w:rFonts w:hint="eastAsia" w:cs="Times New Roman"/>
          <w:b/>
          <w:bCs/>
          <w:color w:val="auto"/>
          <w:szCs w:val="24"/>
        </w:rPr>
        <w:t>含</w:t>
      </w:r>
      <w:r>
        <w:rPr>
          <w:rFonts w:hint="eastAsia" w:cs="Times New Roman"/>
          <w:b/>
          <w:bCs/>
          <w:color w:val="auto"/>
          <w:szCs w:val="24"/>
          <w:lang w:val="en-US" w:eastAsia="zh-CN"/>
        </w:rPr>
        <w:t>锌</w:t>
      </w:r>
      <w:r>
        <w:rPr>
          <w:rFonts w:hint="eastAsia" w:cs="Times New Roman"/>
          <w:b/>
          <w:bCs/>
          <w:color w:val="auto"/>
        </w:rPr>
        <w:t>废水处理工艺流程图</w:t>
      </w:r>
      <w:r>
        <w:rPr>
          <w:rFonts w:cs="Times New Roman"/>
          <w:b/>
          <w:bCs/>
          <w:color w:val="auto"/>
        </w:rPr>
        <w:t xml:space="preserve"> </w:t>
      </w:r>
    </w:p>
    <w:p w14:paraId="356A2A56">
      <w:pPr>
        <w:ind w:firstLine="480"/>
        <w:rPr>
          <w:rFonts w:hint="eastAsia" w:eastAsia="宋体"/>
          <w:color w:val="auto"/>
          <w:lang w:eastAsia="zh-CN"/>
        </w:rPr>
      </w:pPr>
      <w:r>
        <w:rPr>
          <w:rFonts w:hint="eastAsia" w:cs="Times New Roman"/>
          <w:color w:val="auto"/>
          <w:lang w:val="en-US" w:eastAsia="zh-CN"/>
        </w:rPr>
        <w:t>5、含油废水经槽体破乳及气浮后、含酸废水经一套含酸废水处理系统（还原+两级化学沉淀）处理后一同送入现有综合废水处理系统（</w:t>
      </w:r>
      <w:r>
        <w:rPr>
          <w:rFonts w:hint="default" w:ascii="Times New Roman" w:hAnsi="Times New Roman" w:eastAsia="宋体" w:cs="Times New Roman"/>
          <w:color w:val="auto"/>
        </w:rPr>
        <w:t>调节+混凝沉淀+水解酸化+接触氧化+二沉池</w:t>
      </w:r>
      <w:r>
        <w:rPr>
          <w:rFonts w:hint="eastAsia" w:cs="Times New Roman"/>
          <w:color w:val="auto"/>
        </w:rPr>
        <w:t>）处理，综合废水经处理后在总排口与生活污水（化粪池处理后）和纯水制备</w:t>
      </w:r>
      <w:r>
        <w:rPr>
          <w:rFonts w:hint="eastAsia" w:cs="Times New Roman"/>
          <w:color w:val="auto"/>
          <w:lang w:val="en-US" w:eastAsia="zh-CN"/>
        </w:rPr>
        <w:t>浓水、冲压冷却水</w:t>
      </w:r>
      <w:r>
        <w:rPr>
          <w:rFonts w:hint="eastAsia" w:cs="Times New Roman"/>
          <w:color w:val="auto"/>
        </w:rPr>
        <w:t>一起排放。</w:t>
      </w:r>
      <w:r>
        <w:rPr>
          <w:rFonts w:hint="eastAsia"/>
          <w:color w:val="auto"/>
        </w:rPr>
        <w:t>综合废水处理工艺流程图如下：</w:t>
      </w:r>
    </w:p>
    <w:p w14:paraId="3A0655CF">
      <w:pPr>
        <w:spacing w:line="360" w:lineRule="auto"/>
        <w:ind w:firstLine="0" w:firstLineChars="0"/>
        <w:jc w:val="center"/>
        <w:rPr>
          <w:color w:val="auto"/>
        </w:rPr>
      </w:pPr>
      <w:r>
        <w:rPr>
          <w:color w:val="auto"/>
        </w:rPr>
        <w:object>
          <v:shape id="_x0000_i1033" o:spt="75" type="#_x0000_t75" style="height:460.2pt;width:341.6pt;" o:ole="t" filled="f" o:preferrelative="t" stroked="f" coordsize="21600,21600">
            <v:path/>
            <v:fill on="f" focussize="0,0"/>
            <v:stroke on="f"/>
            <v:imagedata r:id="rId40" o:title=""/>
            <o:lock v:ext="edit" aspectratio="t"/>
            <w10:wrap type="none"/>
            <w10:anchorlock/>
          </v:shape>
          <o:OLEObject Type="Embed" ProgID="Visio.Drawing.15" ShapeID="_x0000_i1033" DrawAspect="Content" ObjectID="_1468075733" r:id="rId39">
            <o:LockedField>false</o:LockedField>
          </o:OLEObject>
        </w:object>
      </w:r>
    </w:p>
    <w:p w14:paraId="03F32DA8">
      <w:pPr>
        <w:spacing w:line="360" w:lineRule="auto"/>
        <w:ind w:firstLine="0" w:firstLineChars="0"/>
        <w:jc w:val="center"/>
        <w:rPr>
          <w:rFonts w:cs="Times New Roman"/>
          <w:b/>
          <w:bCs/>
          <w:color w:val="auto"/>
        </w:rPr>
      </w:pPr>
      <w:r>
        <w:rPr>
          <w:rFonts w:cs="Times New Roman"/>
          <w:b/>
          <w:bCs/>
          <w:color w:val="auto"/>
          <w:szCs w:val="24"/>
        </w:rPr>
        <w:t>图4-</w:t>
      </w:r>
      <w:r>
        <w:rPr>
          <w:rFonts w:hint="eastAsia" w:cs="Times New Roman"/>
          <w:b/>
          <w:bCs/>
          <w:color w:val="auto"/>
          <w:szCs w:val="24"/>
        </w:rPr>
        <w:t>3</w:t>
      </w:r>
      <w:r>
        <w:rPr>
          <w:rFonts w:cs="Times New Roman"/>
          <w:b/>
          <w:bCs/>
          <w:color w:val="auto"/>
          <w:szCs w:val="24"/>
        </w:rPr>
        <w:t xml:space="preserve">       </w:t>
      </w:r>
      <w:r>
        <w:rPr>
          <w:rFonts w:hint="eastAsia" w:cs="Times New Roman"/>
          <w:b/>
          <w:bCs/>
          <w:color w:val="auto"/>
          <w:szCs w:val="24"/>
        </w:rPr>
        <w:t>综合</w:t>
      </w:r>
      <w:r>
        <w:rPr>
          <w:rFonts w:hint="eastAsia" w:cs="Times New Roman"/>
          <w:b/>
          <w:bCs/>
          <w:color w:val="auto"/>
        </w:rPr>
        <w:t>废水处理工艺流程图</w:t>
      </w:r>
      <w:r>
        <w:rPr>
          <w:rFonts w:cs="Times New Roman"/>
          <w:b/>
          <w:bCs/>
          <w:color w:val="auto"/>
        </w:rPr>
        <w:t xml:space="preserve"> </w:t>
      </w:r>
    </w:p>
    <w:p w14:paraId="412E5473">
      <w:pPr>
        <w:pStyle w:val="4"/>
        <w:ind w:firstLine="562"/>
        <w:rPr>
          <w:rFonts w:cs="Times New Roman"/>
          <w:color w:val="auto"/>
        </w:rPr>
      </w:pPr>
      <w:r>
        <w:rPr>
          <w:rFonts w:cs="Times New Roman"/>
          <w:color w:val="auto"/>
        </w:rPr>
        <w:t>4.1.2废气</w:t>
      </w:r>
    </w:p>
    <w:p w14:paraId="2074BA01">
      <w:pPr>
        <w:ind w:firstLine="480"/>
        <w:rPr>
          <w:rFonts w:cs="Times New Roman"/>
          <w:color w:val="auto"/>
        </w:rPr>
        <w:sectPr>
          <w:pgSz w:w="11906" w:h="16838"/>
          <w:pgMar w:top="1417" w:right="1417" w:bottom="1417" w:left="1417" w:header="851" w:footer="992" w:gutter="0"/>
          <w:cols w:space="425" w:num="1"/>
          <w:docGrid w:type="lines" w:linePitch="326" w:charSpace="0"/>
        </w:sectPr>
      </w:pPr>
      <w:r>
        <w:rPr>
          <w:rFonts w:hint="eastAsia" w:cs="Times New Roman"/>
          <w:color w:val="auto"/>
        </w:rPr>
        <w:t>本</w:t>
      </w:r>
      <w:r>
        <w:rPr>
          <w:rFonts w:cs="Times New Roman"/>
          <w:color w:val="auto"/>
        </w:rPr>
        <w:t>项目废气</w:t>
      </w:r>
      <w:r>
        <w:rPr>
          <w:rFonts w:hint="eastAsia" w:cs="Times New Roman"/>
          <w:color w:val="auto"/>
          <w:lang w:val="en-US" w:eastAsia="zh-CN"/>
        </w:rPr>
        <w:t>包括</w:t>
      </w:r>
      <w:bookmarkStart w:id="29" w:name="_Hlk117263337"/>
      <w:r>
        <w:rPr>
          <w:rFonts w:hint="eastAsia" w:cs="Times New Roman"/>
          <w:color w:val="auto"/>
          <w:lang w:val="en-US" w:eastAsia="zh-CN"/>
        </w:rPr>
        <w:t>表面处理生产线酸性废气、槽液调配间酸性废气、污水处理站废气</w:t>
      </w:r>
      <w:r>
        <w:rPr>
          <w:rFonts w:hint="eastAsia" w:cs="Times New Roman"/>
          <w:color w:val="auto"/>
        </w:rPr>
        <w:t>，</w:t>
      </w:r>
      <w:r>
        <w:rPr>
          <w:rFonts w:hint="eastAsia"/>
          <w:color w:val="auto"/>
        </w:rPr>
        <w:t>详细见</w:t>
      </w:r>
      <w:bookmarkEnd w:id="29"/>
      <w:r>
        <w:rPr>
          <w:rFonts w:cs="Times New Roman"/>
          <w:color w:val="auto"/>
        </w:rPr>
        <w:t>下表：</w:t>
      </w:r>
    </w:p>
    <w:p w14:paraId="26A6BB7B">
      <w:pPr>
        <w:pStyle w:val="40"/>
        <w:spacing w:before="163"/>
        <w:rPr>
          <w:color w:val="auto"/>
        </w:rPr>
      </w:pPr>
      <w:r>
        <w:rPr>
          <w:color w:val="auto"/>
        </w:rPr>
        <w:t xml:space="preserve">表4-1         </w:t>
      </w:r>
      <w:r>
        <w:rPr>
          <w:rFonts w:hint="eastAsia"/>
          <w:color w:val="auto"/>
          <w:lang w:val="en-US" w:eastAsia="zh-CN"/>
        </w:rPr>
        <w:t xml:space="preserve">                                      </w:t>
      </w:r>
      <w:r>
        <w:rPr>
          <w:color w:val="auto"/>
        </w:rPr>
        <w:t xml:space="preserve">     </w:t>
      </w:r>
      <w:r>
        <w:rPr>
          <w:rFonts w:hint="eastAsia"/>
          <w:color w:val="auto"/>
          <w:lang w:val="en-US" w:eastAsia="zh-CN"/>
        </w:rPr>
        <w:t>本</w:t>
      </w:r>
      <w:r>
        <w:rPr>
          <w:color w:val="auto"/>
        </w:rPr>
        <w:t>项目有组织废气污染物情况及治理措施情况</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1559"/>
        <w:gridCol w:w="940"/>
        <w:gridCol w:w="1114"/>
        <w:gridCol w:w="1131"/>
        <w:gridCol w:w="1393"/>
        <w:gridCol w:w="1545"/>
        <w:gridCol w:w="2026"/>
        <w:gridCol w:w="1067"/>
        <w:gridCol w:w="718"/>
        <w:gridCol w:w="841"/>
        <w:gridCol w:w="1171"/>
        <w:gridCol w:w="555"/>
      </w:tblGrid>
      <w:tr w14:paraId="1DB19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54" w:type="pct"/>
            <w:vMerge w:val="restart"/>
            <w:vAlign w:val="center"/>
          </w:tcPr>
          <w:p w14:paraId="20F5BD26">
            <w:pPr>
              <w:pStyle w:val="69"/>
              <w:adjustRightInd w:val="0"/>
              <w:rPr>
                <w:b/>
                <w:bCs/>
                <w:color w:val="auto"/>
              </w:rPr>
            </w:pPr>
            <w:r>
              <w:rPr>
                <w:rFonts w:hint="eastAsia"/>
                <w:b/>
                <w:bCs/>
                <w:color w:val="auto"/>
              </w:rPr>
              <w:t>废气名称</w:t>
            </w:r>
          </w:p>
        </w:tc>
        <w:tc>
          <w:tcPr>
            <w:tcW w:w="334" w:type="pct"/>
            <w:vMerge w:val="restart"/>
            <w:vAlign w:val="center"/>
          </w:tcPr>
          <w:p w14:paraId="2B793C48">
            <w:pPr>
              <w:pStyle w:val="69"/>
              <w:adjustRightInd w:val="0"/>
              <w:rPr>
                <w:b/>
                <w:bCs/>
                <w:color w:val="auto"/>
              </w:rPr>
            </w:pPr>
            <w:r>
              <w:rPr>
                <w:rFonts w:hint="eastAsia"/>
                <w:b/>
                <w:bCs/>
                <w:color w:val="auto"/>
              </w:rPr>
              <w:t>来源</w:t>
            </w:r>
          </w:p>
        </w:tc>
        <w:tc>
          <w:tcPr>
            <w:tcW w:w="396" w:type="pct"/>
            <w:vMerge w:val="restart"/>
            <w:vAlign w:val="center"/>
          </w:tcPr>
          <w:p w14:paraId="4D70F1FD">
            <w:pPr>
              <w:pStyle w:val="69"/>
              <w:adjustRightInd w:val="0"/>
              <w:rPr>
                <w:b/>
                <w:bCs/>
                <w:color w:val="auto"/>
              </w:rPr>
            </w:pPr>
            <w:r>
              <w:rPr>
                <w:rFonts w:hint="eastAsia"/>
                <w:b/>
                <w:bCs/>
                <w:color w:val="auto"/>
              </w:rPr>
              <w:t>污染物种类</w:t>
            </w:r>
          </w:p>
        </w:tc>
        <w:tc>
          <w:tcPr>
            <w:tcW w:w="402" w:type="pct"/>
            <w:vMerge w:val="restart"/>
            <w:vAlign w:val="center"/>
          </w:tcPr>
          <w:p w14:paraId="3A0C4F9B">
            <w:pPr>
              <w:pStyle w:val="69"/>
              <w:adjustRightInd w:val="0"/>
              <w:rPr>
                <w:b/>
                <w:bCs/>
                <w:color w:val="auto"/>
              </w:rPr>
            </w:pPr>
            <w:r>
              <w:rPr>
                <w:rFonts w:hint="eastAsia"/>
                <w:b/>
                <w:bCs/>
                <w:color w:val="auto"/>
              </w:rPr>
              <w:t>排放特点</w:t>
            </w:r>
          </w:p>
        </w:tc>
        <w:tc>
          <w:tcPr>
            <w:tcW w:w="1044" w:type="pct"/>
            <w:gridSpan w:val="2"/>
            <w:vMerge w:val="restart"/>
            <w:vAlign w:val="center"/>
          </w:tcPr>
          <w:p w14:paraId="0345365D">
            <w:pPr>
              <w:pStyle w:val="69"/>
              <w:adjustRightInd w:val="0"/>
              <w:rPr>
                <w:b/>
                <w:bCs/>
                <w:color w:val="auto"/>
              </w:rPr>
            </w:pPr>
            <w:r>
              <w:rPr>
                <w:rFonts w:hint="eastAsia"/>
                <w:b/>
                <w:bCs/>
                <w:color w:val="auto"/>
              </w:rPr>
              <w:t>治理措施及工艺</w:t>
            </w:r>
          </w:p>
        </w:tc>
        <w:tc>
          <w:tcPr>
            <w:tcW w:w="720" w:type="pct"/>
            <w:vMerge w:val="restart"/>
            <w:vAlign w:val="center"/>
          </w:tcPr>
          <w:p w14:paraId="6216EA52">
            <w:pPr>
              <w:pStyle w:val="69"/>
              <w:adjustRightInd w:val="0"/>
              <w:rPr>
                <w:b/>
                <w:bCs/>
                <w:color w:val="auto"/>
              </w:rPr>
            </w:pPr>
            <w:r>
              <w:rPr>
                <w:rFonts w:hint="eastAsia"/>
                <w:b/>
                <w:bCs/>
                <w:color w:val="auto"/>
              </w:rPr>
              <w:t>设计排放</w:t>
            </w:r>
            <w:r>
              <w:rPr>
                <w:rFonts w:hint="eastAsia"/>
                <w:b/>
                <w:bCs/>
                <w:color w:val="auto"/>
                <w:lang w:eastAsia="zh-CN"/>
              </w:rPr>
              <w:t>标准</w:t>
            </w:r>
          </w:p>
        </w:tc>
        <w:tc>
          <w:tcPr>
            <w:tcW w:w="379" w:type="pct"/>
            <w:vMerge w:val="restart"/>
            <w:vAlign w:val="center"/>
          </w:tcPr>
          <w:p w14:paraId="693C9680">
            <w:pPr>
              <w:pStyle w:val="69"/>
              <w:adjustRightInd w:val="0"/>
              <w:rPr>
                <w:b/>
                <w:bCs/>
                <w:color w:val="auto"/>
              </w:rPr>
            </w:pPr>
            <w:r>
              <w:rPr>
                <w:rFonts w:hint="eastAsia"/>
                <w:b/>
                <w:bCs/>
                <w:color w:val="auto"/>
              </w:rPr>
              <w:t>设计去除效率</w:t>
            </w:r>
          </w:p>
        </w:tc>
        <w:tc>
          <w:tcPr>
            <w:tcW w:w="554" w:type="pct"/>
            <w:gridSpan w:val="2"/>
            <w:vAlign w:val="center"/>
          </w:tcPr>
          <w:p w14:paraId="33C81800">
            <w:pPr>
              <w:pStyle w:val="69"/>
              <w:adjustRightInd w:val="0"/>
              <w:rPr>
                <w:b/>
                <w:bCs/>
                <w:color w:val="auto"/>
              </w:rPr>
            </w:pPr>
            <w:r>
              <w:rPr>
                <w:rFonts w:hint="eastAsia"/>
                <w:b/>
                <w:bCs/>
                <w:color w:val="auto"/>
              </w:rPr>
              <w:t>排气筒</w:t>
            </w:r>
          </w:p>
        </w:tc>
        <w:tc>
          <w:tcPr>
            <w:tcW w:w="416" w:type="pct"/>
            <w:vMerge w:val="restart"/>
            <w:vAlign w:val="center"/>
          </w:tcPr>
          <w:p w14:paraId="4232E904">
            <w:pPr>
              <w:pStyle w:val="69"/>
              <w:adjustRightInd w:val="0"/>
              <w:rPr>
                <w:b/>
                <w:bCs/>
                <w:color w:val="auto"/>
              </w:rPr>
            </w:pPr>
            <w:r>
              <w:rPr>
                <w:rFonts w:hint="eastAsia"/>
                <w:b/>
                <w:bCs/>
                <w:color w:val="auto"/>
              </w:rPr>
              <w:t>监测点位</w:t>
            </w:r>
          </w:p>
        </w:tc>
        <w:tc>
          <w:tcPr>
            <w:tcW w:w="197" w:type="pct"/>
            <w:vMerge w:val="restart"/>
            <w:vAlign w:val="center"/>
          </w:tcPr>
          <w:p w14:paraId="56E0E5A8">
            <w:pPr>
              <w:pStyle w:val="69"/>
              <w:adjustRightInd w:val="0"/>
              <w:rPr>
                <w:b/>
                <w:bCs/>
                <w:color w:val="auto"/>
              </w:rPr>
            </w:pPr>
            <w:r>
              <w:rPr>
                <w:rFonts w:hint="eastAsia"/>
                <w:b/>
                <w:bCs/>
                <w:color w:val="auto"/>
              </w:rPr>
              <w:t>排放去向</w:t>
            </w:r>
          </w:p>
        </w:tc>
      </w:tr>
      <w:tr w14:paraId="34275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54" w:type="pct"/>
            <w:vMerge w:val="continue"/>
            <w:vAlign w:val="center"/>
          </w:tcPr>
          <w:p w14:paraId="19453CFA">
            <w:pPr>
              <w:pStyle w:val="69"/>
              <w:adjustRightInd w:val="0"/>
              <w:rPr>
                <w:color w:val="auto"/>
              </w:rPr>
            </w:pPr>
          </w:p>
        </w:tc>
        <w:tc>
          <w:tcPr>
            <w:tcW w:w="334" w:type="pct"/>
            <w:vMerge w:val="continue"/>
            <w:vAlign w:val="center"/>
          </w:tcPr>
          <w:p w14:paraId="234DD67A">
            <w:pPr>
              <w:pStyle w:val="69"/>
              <w:adjustRightInd w:val="0"/>
              <w:rPr>
                <w:color w:val="auto"/>
              </w:rPr>
            </w:pPr>
          </w:p>
        </w:tc>
        <w:tc>
          <w:tcPr>
            <w:tcW w:w="396" w:type="pct"/>
            <w:vMerge w:val="continue"/>
            <w:vAlign w:val="center"/>
          </w:tcPr>
          <w:p w14:paraId="4A09130A">
            <w:pPr>
              <w:pStyle w:val="69"/>
              <w:adjustRightInd w:val="0"/>
              <w:rPr>
                <w:color w:val="auto"/>
              </w:rPr>
            </w:pPr>
          </w:p>
        </w:tc>
        <w:tc>
          <w:tcPr>
            <w:tcW w:w="402" w:type="pct"/>
            <w:vMerge w:val="continue"/>
            <w:vAlign w:val="center"/>
          </w:tcPr>
          <w:p w14:paraId="7B034D07">
            <w:pPr>
              <w:pStyle w:val="69"/>
              <w:adjustRightInd w:val="0"/>
              <w:rPr>
                <w:color w:val="auto"/>
              </w:rPr>
            </w:pPr>
          </w:p>
        </w:tc>
        <w:tc>
          <w:tcPr>
            <w:tcW w:w="1044" w:type="pct"/>
            <w:gridSpan w:val="2"/>
            <w:vMerge w:val="continue"/>
            <w:vAlign w:val="center"/>
          </w:tcPr>
          <w:p w14:paraId="1EA88246">
            <w:pPr>
              <w:pStyle w:val="69"/>
              <w:adjustRightInd w:val="0"/>
              <w:rPr>
                <w:color w:val="auto"/>
              </w:rPr>
            </w:pPr>
          </w:p>
        </w:tc>
        <w:tc>
          <w:tcPr>
            <w:tcW w:w="720" w:type="pct"/>
            <w:vMerge w:val="continue"/>
            <w:vAlign w:val="center"/>
          </w:tcPr>
          <w:p w14:paraId="148C9809">
            <w:pPr>
              <w:pStyle w:val="69"/>
              <w:adjustRightInd w:val="0"/>
              <w:rPr>
                <w:color w:val="auto"/>
              </w:rPr>
            </w:pPr>
          </w:p>
        </w:tc>
        <w:tc>
          <w:tcPr>
            <w:tcW w:w="379" w:type="pct"/>
            <w:vMerge w:val="continue"/>
            <w:vAlign w:val="center"/>
          </w:tcPr>
          <w:p w14:paraId="51F0914B">
            <w:pPr>
              <w:pStyle w:val="69"/>
              <w:adjustRightInd w:val="0"/>
              <w:rPr>
                <w:color w:val="auto"/>
              </w:rPr>
            </w:pPr>
          </w:p>
        </w:tc>
        <w:tc>
          <w:tcPr>
            <w:tcW w:w="255" w:type="pct"/>
            <w:vAlign w:val="center"/>
          </w:tcPr>
          <w:p w14:paraId="1059D0DF">
            <w:pPr>
              <w:pStyle w:val="69"/>
              <w:adjustRightInd w:val="0"/>
              <w:rPr>
                <w:b/>
                <w:bCs/>
                <w:color w:val="auto"/>
              </w:rPr>
            </w:pPr>
            <w:r>
              <w:rPr>
                <w:rFonts w:hint="eastAsia"/>
                <w:b/>
                <w:bCs/>
                <w:color w:val="auto"/>
              </w:rPr>
              <w:t>高度</w:t>
            </w:r>
          </w:p>
        </w:tc>
        <w:tc>
          <w:tcPr>
            <w:tcW w:w="299" w:type="pct"/>
            <w:vAlign w:val="center"/>
          </w:tcPr>
          <w:p w14:paraId="3F83FA4D">
            <w:pPr>
              <w:pStyle w:val="69"/>
              <w:adjustRightInd w:val="0"/>
              <w:rPr>
                <w:b/>
                <w:bCs/>
                <w:color w:val="auto"/>
              </w:rPr>
            </w:pPr>
            <w:r>
              <w:rPr>
                <w:rFonts w:hint="eastAsia"/>
                <w:b/>
                <w:bCs/>
                <w:color w:val="auto"/>
              </w:rPr>
              <w:t>内径</w:t>
            </w:r>
          </w:p>
        </w:tc>
        <w:tc>
          <w:tcPr>
            <w:tcW w:w="416" w:type="pct"/>
            <w:vMerge w:val="continue"/>
            <w:vAlign w:val="center"/>
          </w:tcPr>
          <w:p w14:paraId="3DEE7F51">
            <w:pPr>
              <w:pStyle w:val="69"/>
              <w:adjustRightInd w:val="0"/>
              <w:rPr>
                <w:color w:val="auto"/>
              </w:rPr>
            </w:pPr>
          </w:p>
        </w:tc>
        <w:tc>
          <w:tcPr>
            <w:tcW w:w="197" w:type="pct"/>
            <w:vMerge w:val="continue"/>
            <w:vAlign w:val="center"/>
          </w:tcPr>
          <w:p w14:paraId="6FFB171E">
            <w:pPr>
              <w:pStyle w:val="69"/>
              <w:adjustRightInd w:val="0"/>
              <w:rPr>
                <w:color w:val="auto"/>
              </w:rPr>
            </w:pPr>
          </w:p>
        </w:tc>
      </w:tr>
      <w:tr w14:paraId="3363D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54" w:type="pct"/>
            <w:vAlign w:val="center"/>
          </w:tcPr>
          <w:p w14:paraId="4DAE1AD0">
            <w:pPr>
              <w:pStyle w:val="53"/>
              <w:ind w:firstLine="0" w:firstLineChars="0"/>
              <w:rPr>
                <w:rFonts w:hint="eastAsia"/>
                <w:color w:val="FF0000"/>
                <w:lang w:eastAsia="zh-CN"/>
              </w:rPr>
            </w:pPr>
            <w:r>
              <w:rPr>
                <w:rFonts w:ascii="Times New Roman" w:hAnsi="Times New Roman" w:eastAsia="宋体" w:cs="Times New Roman"/>
              </w:rPr>
              <w:t>酸洗、活化</w:t>
            </w:r>
          </w:p>
        </w:tc>
        <w:tc>
          <w:tcPr>
            <w:tcW w:w="334" w:type="pct"/>
            <w:vMerge w:val="restart"/>
            <w:vAlign w:val="center"/>
          </w:tcPr>
          <w:p w14:paraId="134CCAAF">
            <w:pPr>
              <w:pStyle w:val="69"/>
              <w:adjustRightInd w:val="0"/>
              <w:rPr>
                <w:rFonts w:hint="eastAsia"/>
                <w:color w:val="FF0000"/>
                <w:lang w:eastAsia="zh-CN"/>
              </w:rPr>
            </w:pPr>
            <w:r>
              <w:rPr>
                <w:rFonts w:ascii="Times New Roman" w:hAnsi="Times New Roman" w:eastAsia="宋体" w:cs="Times New Roman"/>
              </w:rPr>
              <w:t>挂镀锌</w:t>
            </w:r>
          </w:p>
        </w:tc>
        <w:tc>
          <w:tcPr>
            <w:tcW w:w="396" w:type="pct"/>
            <w:vAlign w:val="center"/>
          </w:tcPr>
          <w:p w14:paraId="12381B82">
            <w:pPr>
              <w:pStyle w:val="53"/>
              <w:ind w:firstLine="0" w:firstLineChars="0"/>
              <w:rPr>
                <w:rFonts w:hint="eastAsia"/>
                <w:color w:val="FF0000"/>
              </w:rPr>
            </w:pPr>
            <w:r>
              <w:rPr>
                <w:rFonts w:ascii="Times New Roman" w:hAnsi="Times New Roman" w:eastAsia="宋体" w:cs="Times New Roman"/>
              </w:rPr>
              <w:t>氯化氢</w:t>
            </w:r>
          </w:p>
        </w:tc>
        <w:tc>
          <w:tcPr>
            <w:tcW w:w="402" w:type="pct"/>
            <w:vMerge w:val="restart"/>
            <w:vAlign w:val="center"/>
          </w:tcPr>
          <w:p w14:paraId="64647BA1">
            <w:pPr>
              <w:pStyle w:val="69"/>
              <w:adjustRightInd w:val="0"/>
              <w:rPr>
                <w:rFonts w:hint="eastAsia"/>
                <w:color w:val="auto"/>
              </w:rPr>
            </w:pPr>
            <w:r>
              <w:rPr>
                <w:rFonts w:hint="eastAsia"/>
                <w:color w:val="auto"/>
              </w:rPr>
              <w:t>间断、有规律</w:t>
            </w:r>
          </w:p>
        </w:tc>
        <w:tc>
          <w:tcPr>
            <w:tcW w:w="495" w:type="pct"/>
            <w:vMerge w:val="restart"/>
            <w:vAlign w:val="center"/>
          </w:tcPr>
          <w:p w14:paraId="6F9B4BEA">
            <w:pPr>
              <w:pStyle w:val="69"/>
              <w:adjustRightInd w:val="0"/>
              <w:rPr>
                <w:rFonts w:hint="eastAsia"/>
                <w:color w:val="auto"/>
                <w:lang w:eastAsia="zh-CN"/>
              </w:rPr>
            </w:pPr>
            <w:r>
              <w:rPr>
                <w:rFonts w:hint="eastAsia"/>
                <w:color w:val="auto"/>
                <w:lang w:eastAsia="zh-CN"/>
              </w:rPr>
              <w:t>封闭生产线+槽上方抽风+槽边抽风</w:t>
            </w:r>
          </w:p>
        </w:tc>
        <w:tc>
          <w:tcPr>
            <w:tcW w:w="549" w:type="pct"/>
            <w:vMerge w:val="restart"/>
            <w:vAlign w:val="center"/>
          </w:tcPr>
          <w:p w14:paraId="5D649934">
            <w:pPr>
              <w:pStyle w:val="69"/>
              <w:adjustRightInd w:val="0"/>
              <w:rPr>
                <w:rFonts w:hint="eastAsia"/>
                <w:color w:val="FF0000"/>
              </w:rPr>
            </w:pPr>
            <w:r>
              <w:rPr>
                <w:rFonts w:ascii="Times New Roman" w:hAnsi="Times New Roman" w:eastAsia="宋体" w:cs="Times New Roman"/>
              </w:rPr>
              <w:t>两级酸雾吸收塔+15m排气筒DA00</w:t>
            </w:r>
            <w:r>
              <w:rPr>
                <w:rFonts w:hint="eastAsia" w:ascii="Times New Roman" w:hAnsi="Times New Roman" w:eastAsia="宋体" w:cs="Times New Roman"/>
                <w:lang w:val="en-US" w:eastAsia="zh-CN"/>
              </w:rPr>
              <w:t>6</w:t>
            </w:r>
          </w:p>
        </w:tc>
        <w:tc>
          <w:tcPr>
            <w:tcW w:w="720" w:type="pct"/>
            <w:vMerge w:val="restart"/>
            <w:vAlign w:val="center"/>
          </w:tcPr>
          <w:p w14:paraId="57F91897">
            <w:pPr>
              <w:pStyle w:val="69"/>
              <w:adjustRightInd w:val="0"/>
              <w:rPr>
                <w:rFonts w:hint="eastAsia"/>
                <w:color w:val="auto"/>
              </w:rPr>
            </w:pPr>
            <w:r>
              <w:rPr>
                <w:rFonts w:ascii="Times New Roman" w:hAnsi="Times New Roman" w:eastAsia="宋体" w:cs="Times New Roman"/>
                <w:color w:val="auto"/>
              </w:rPr>
              <w:t>氯化氢</w:t>
            </w:r>
            <w:r>
              <w:rPr>
                <w:rFonts w:hint="eastAsia"/>
                <w:color w:val="auto"/>
              </w:rPr>
              <w:t>：</w:t>
            </w:r>
            <w:r>
              <w:rPr>
                <w:rFonts w:hint="eastAsia"/>
                <w:color w:val="auto"/>
                <w:lang w:val="en-US" w:eastAsia="zh-CN"/>
              </w:rPr>
              <w:t>1</w:t>
            </w:r>
            <w:r>
              <w:rPr>
                <w:color w:val="auto"/>
              </w:rPr>
              <w:t>0mg/m</w:t>
            </w:r>
            <w:r>
              <w:rPr>
                <w:color w:val="auto"/>
                <w:vertAlign w:val="superscript"/>
              </w:rPr>
              <w:t>3</w:t>
            </w:r>
          </w:p>
        </w:tc>
        <w:tc>
          <w:tcPr>
            <w:tcW w:w="379" w:type="pct"/>
            <w:vAlign w:val="center"/>
          </w:tcPr>
          <w:p w14:paraId="0A58BA1E">
            <w:pPr>
              <w:pStyle w:val="69"/>
              <w:adjustRightInd w:val="0"/>
              <w:rPr>
                <w:rFonts w:hint="default" w:eastAsia="宋体"/>
                <w:color w:val="auto"/>
                <w:lang w:val="en-US" w:eastAsia="zh-CN"/>
              </w:rPr>
            </w:pPr>
            <w:r>
              <w:rPr>
                <w:rFonts w:hint="eastAsia"/>
                <w:color w:val="auto"/>
                <w:lang w:val="en-US" w:eastAsia="zh-CN"/>
              </w:rPr>
              <w:t>95%</w:t>
            </w:r>
          </w:p>
        </w:tc>
        <w:tc>
          <w:tcPr>
            <w:tcW w:w="255" w:type="pct"/>
            <w:vMerge w:val="restart"/>
            <w:vAlign w:val="center"/>
          </w:tcPr>
          <w:p w14:paraId="000CB746">
            <w:pPr>
              <w:pStyle w:val="69"/>
              <w:adjustRightInd w:val="0"/>
              <w:rPr>
                <w:color w:val="auto"/>
              </w:rPr>
            </w:pPr>
            <w:r>
              <w:rPr>
                <w:color w:val="auto"/>
              </w:rPr>
              <w:t>1</w:t>
            </w:r>
            <w:r>
              <w:rPr>
                <w:rFonts w:hint="eastAsia"/>
                <w:color w:val="auto"/>
                <w:lang w:eastAsia="zh-CN"/>
              </w:rPr>
              <w:t>5</w:t>
            </w:r>
            <w:r>
              <w:rPr>
                <w:rFonts w:hint="eastAsia"/>
                <w:color w:val="auto"/>
              </w:rPr>
              <w:t>m</w:t>
            </w:r>
          </w:p>
        </w:tc>
        <w:tc>
          <w:tcPr>
            <w:tcW w:w="299" w:type="pct"/>
            <w:vMerge w:val="restart"/>
            <w:vAlign w:val="center"/>
          </w:tcPr>
          <w:p w14:paraId="1272A393">
            <w:pPr>
              <w:pStyle w:val="69"/>
              <w:adjustRightInd w:val="0"/>
              <w:rPr>
                <w:rFonts w:hint="eastAsia"/>
                <w:color w:val="auto"/>
              </w:rPr>
            </w:pPr>
            <w:r>
              <w:rPr>
                <w:rFonts w:hint="eastAsia"/>
                <w:color w:val="auto"/>
              </w:rPr>
              <w:t>Φ</w:t>
            </w:r>
            <w:r>
              <w:rPr>
                <w:color w:val="auto"/>
              </w:rPr>
              <w:t>50</w:t>
            </w:r>
            <w:r>
              <w:rPr>
                <w:rFonts w:hint="eastAsia"/>
                <w:color w:val="auto"/>
              </w:rPr>
              <w:t>cm</w:t>
            </w:r>
          </w:p>
        </w:tc>
        <w:tc>
          <w:tcPr>
            <w:tcW w:w="416" w:type="pct"/>
            <w:vMerge w:val="restart"/>
            <w:vAlign w:val="center"/>
          </w:tcPr>
          <w:p w14:paraId="32DBCF69">
            <w:pPr>
              <w:pStyle w:val="69"/>
              <w:adjustRightInd w:val="0"/>
              <w:rPr>
                <w:rFonts w:hint="eastAsia"/>
                <w:color w:val="auto"/>
              </w:rPr>
            </w:pPr>
            <w:r>
              <w:rPr>
                <w:rFonts w:hint="eastAsia"/>
                <w:color w:val="auto"/>
              </w:rPr>
              <w:t>处理设施进口、出口</w:t>
            </w:r>
          </w:p>
        </w:tc>
        <w:tc>
          <w:tcPr>
            <w:tcW w:w="197" w:type="pct"/>
            <w:vMerge w:val="restart"/>
            <w:vAlign w:val="center"/>
          </w:tcPr>
          <w:p w14:paraId="2569CD6B">
            <w:pPr>
              <w:pStyle w:val="69"/>
              <w:adjustRightInd w:val="0"/>
              <w:rPr>
                <w:rFonts w:hint="eastAsia"/>
                <w:color w:val="auto"/>
              </w:rPr>
            </w:pPr>
            <w:r>
              <w:rPr>
                <w:rFonts w:hint="eastAsia"/>
                <w:color w:val="auto"/>
              </w:rPr>
              <w:t>大气</w:t>
            </w:r>
          </w:p>
        </w:tc>
      </w:tr>
      <w:tr w14:paraId="13A42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54" w:type="pct"/>
            <w:vAlign w:val="center"/>
          </w:tcPr>
          <w:p w14:paraId="70556D36">
            <w:pPr>
              <w:pStyle w:val="53"/>
              <w:ind w:firstLine="0" w:firstLineChars="0"/>
              <w:rPr>
                <w:rFonts w:hint="eastAsia"/>
                <w:color w:val="FF0000"/>
                <w:lang w:eastAsia="zh-CN"/>
              </w:rPr>
            </w:pPr>
            <w:r>
              <w:rPr>
                <w:rFonts w:ascii="Times New Roman" w:hAnsi="Times New Roman" w:eastAsia="宋体" w:cs="Times New Roman"/>
              </w:rPr>
              <w:t>出光</w:t>
            </w:r>
          </w:p>
        </w:tc>
        <w:tc>
          <w:tcPr>
            <w:tcW w:w="334" w:type="pct"/>
            <w:vMerge w:val="continue"/>
            <w:vAlign w:val="center"/>
          </w:tcPr>
          <w:p w14:paraId="4FC42CF8">
            <w:pPr>
              <w:pStyle w:val="69"/>
              <w:adjustRightInd w:val="0"/>
              <w:rPr>
                <w:rFonts w:hint="eastAsia"/>
                <w:color w:val="FF0000"/>
                <w:lang w:eastAsia="zh-CN"/>
              </w:rPr>
            </w:pPr>
          </w:p>
        </w:tc>
        <w:tc>
          <w:tcPr>
            <w:tcW w:w="396" w:type="pct"/>
            <w:vAlign w:val="center"/>
          </w:tcPr>
          <w:p w14:paraId="0D122C1F">
            <w:pPr>
              <w:pStyle w:val="53"/>
              <w:ind w:firstLine="0" w:firstLineChars="0"/>
              <w:rPr>
                <w:rFonts w:hint="eastAsia"/>
                <w:color w:val="FF0000"/>
              </w:rPr>
            </w:pPr>
            <w:r>
              <w:rPr>
                <w:rFonts w:ascii="Times New Roman" w:hAnsi="Times New Roman" w:eastAsia="宋体" w:cs="Times New Roman"/>
              </w:rPr>
              <w:t>硝酸雾（以NOx计）</w:t>
            </w:r>
          </w:p>
        </w:tc>
        <w:tc>
          <w:tcPr>
            <w:tcW w:w="402" w:type="pct"/>
            <w:vMerge w:val="continue"/>
            <w:vAlign w:val="center"/>
          </w:tcPr>
          <w:p w14:paraId="711134C5">
            <w:pPr>
              <w:pStyle w:val="69"/>
              <w:adjustRightInd w:val="0"/>
              <w:rPr>
                <w:rFonts w:hint="eastAsia"/>
                <w:color w:val="auto"/>
              </w:rPr>
            </w:pPr>
          </w:p>
        </w:tc>
        <w:tc>
          <w:tcPr>
            <w:tcW w:w="495" w:type="pct"/>
            <w:vMerge w:val="continue"/>
            <w:vAlign w:val="center"/>
          </w:tcPr>
          <w:p w14:paraId="706C4BE7">
            <w:pPr>
              <w:pStyle w:val="69"/>
              <w:adjustRightInd w:val="0"/>
              <w:rPr>
                <w:rFonts w:hint="eastAsia"/>
                <w:color w:val="auto"/>
                <w:lang w:eastAsia="zh-CN"/>
              </w:rPr>
            </w:pPr>
          </w:p>
        </w:tc>
        <w:tc>
          <w:tcPr>
            <w:tcW w:w="549" w:type="pct"/>
            <w:vMerge w:val="continue"/>
            <w:vAlign w:val="center"/>
          </w:tcPr>
          <w:p w14:paraId="15175462">
            <w:pPr>
              <w:pStyle w:val="69"/>
              <w:adjustRightInd w:val="0"/>
              <w:rPr>
                <w:rFonts w:hint="eastAsia"/>
                <w:color w:val="FF0000"/>
              </w:rPr>
            </w:pPr>
          </w:p>
        </w:tc>
        <w:tc>
          <w:tcPr>
            <w:tcW w:w="720" w:type="pct"/>
            <w:vMerge w:val="continue"/>
            <w:vAlign w:val="center"/>
          </w:tcPr>
          <w:p w14:paraId="14559B03">
            <w:pPr>
              <w:pStyle w:val="69"/>
              <w:adjustRightInd w:val="0"/>
              <w:rPr>
                <w:rFonts w:hint="eastAsia"/>
                <w:color w:val="auto"/>
              </w:rPr>
            </w:pPr>
          </w:p>
        </w:tc>
        <w:tc>
          <w:tcPr>
            <w:tcW w:w="379" w:type="pct"/>
            <w:vAlign w:val="center"/>
          </w:tcPr>
          <w:p w14:paraId="1B41E7A5">
            <w:pPr>
              <w:pStyle w:val="69"/>
              <w:adjustRightInd w:val="0"/>
              <w:rPr>
                <w:rFonts w:hint="eastAsia" w:eastAsia="宋体"/>
                <w:color w:val="auto"/>
                <w:lang w:val="en-US" w:eastAsia="zh-CN"/>
              </w:rPr>
            </w:pPr>
            <w:r>
              <w:rPr>
                <w:rFonts w:hint="eastAsia"/>
                <w:color w:val="auto"/>
                <w:lang w:val="en-US" w:eastAsia="zh-CN"/>
              </w:rPr>
              <w:t>/</w:t>
            </w:r>
          </w:p>
        </w:tc>
        <w:tc>
          <w:tcPr>
            <w:tcW w:w="255" w:type="pct"/>
            <w:vMerge w:val="continue"/>
            <w:vAlign w:val="center"/>
          </w:tcPr>
          <w:p w14:paraId="0D4CF28B">
            <w:pPr>
              <w:pStyle w:val="69"/>
              <w:adjustRightInd w:val="0"/>
              <w:rPr>
                <w:color w:val="auto"/>
              </w:rPr>
            </w:pPr>
          </w:p>
        </w:tc>
        <w:tc>
          <w:tcPr>
            <w:tcW w:w="299" w:type="pct"/>
            <w:vMerge w:val="continue"/>
            <w:vAlign w:val="center"/>
          </w:tcPr>
          <w:p w14:paraId="714592A9">
            <w:pPr>
              <w:pStyle w:val="69"/>
              <w:adjustRightInd w:val="0"/>
              <w:rPr>
                <w:rFonts w:hint="eastAsia"/>
                <w:color w:val="auto"/>
              </w:rPr>
            </w:pPr>
          </w:p>
        </w:tc>
        <w:tc>
          <w:tcPr>
            <w:tcW w:w="416" w:type="pct"/>
            <w:vMerge w:val="continue"/>
            <w:vAlign w:val="center"/>
          </w:tcPr>
          <w:p w14:paraId="746BE0DB">
            <w:pPr>
              <w:pStyle w:val="69"/>
              <w:adjustRightInd w:val="0"/>
              <w:rPr>
                <w:rFonts w:hint="eastAsia"/>
                <w:color w:val="auto"/>
              </w:rPr>
            </w:pPr>
          </w:p>
        </w:tc>
        <w:tc>
          <w:tcPr>
            <w:tcW w:w="197" w:type="pct"/>
            <w:vMerge w:val="continue"/>
            <w:vAlign w:val="center"/>
          </w:tcPr>
          <w:p w14:paraId="4AEF668A">
            <w:pPr>
              <w:pStyle w:val="69"/>
              <w:adjustRightInd w:val="0"/>
              <w:rPr>
                <w:rFonts w:hint="eastAsia"/>
                <w:color w:val="auto"/>
              </w:rPr>
            </w:pPr>
          </w:p>
        </w:tc>
      </w:tr>
      <w:tr w14:paraId="12183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54" w:type="pct"/>
            <w:vAlign w:val="center"/>
          </w:tcPr>
          <w:p w14:paraId="19DEC637">
            <w:pPr>
              <w:pStyle w:val="53"/>
              <w:ind w:firstLine="0" w:firstLineChars="0"/>
              <w:rPr>
                <w:rFonts w:hint="eastAsia"/>
                <w:color w:val="FF0000"/>
                <w:lang w:eastAsia="zh-CN"/>
              </w:rPr>
            </w:pPr>
            <w:r>
              <w:rPr>
                <w:rFonts w:ascii="Times New Roman" w:hAnsi="Times New Roman" w:eastAsia="宋体" w:cs="Times New Roman"/>
              </w:rPr>
              <w:t>钝化</w:t>
            </w:r>
          </w:p>
        </w:tc>
        <w:tc>
          <w:tcPr>
            <w:tcW w:w="334" w:type="pct"/>
            <w:vMerge w:val="continue"/>
            <w:vAlign w:val="center"/>
          </w:tcPr>
          <w:p w14:paraId="4415762E">
            <w:pPr>
              <w:pStyle w:val="69"/>
              <w:adjustRightInd w:val="0"/>
              <w:rPr>
                <w:rFonts w:hint="eastAsia"/>
                <w:color w:val="FF0000"/>
                <w:lang w:eastAsia="zh-CN"/>
              </w:rPr>
            </w:pPr>
          </w:p>
        </w:tc>
        <w:tc>
          <w:tcPr>
            <w:tcW w:w="396" w:type="pct"/>
            <w:vAlign w:val="center"/>
          </w:tcPr>
          <w:p w14:paraId="7C486561">
            <w:pPr>
              <w:pStyle w:val="53"/>
              <w:ind w:firstLine="0" w:firstLineChars="0"/>
              <w:rPr>
                <w:rFonts w:hint="eastAsia"/>
                <w:color w:val="FF0000"/>
              </w:rPr>
            </w:pPr>
            <w:r>
              <w:rPr>
                <w:rFonts w:ascii="Times New Roman" w:hAnsi="Times New Roman" w:eastAsia="宋体" w:cs="Times New Roman"/>
              </w:rPr>
              <w:t>铬酸雾</w:t>
            </w:r>
          </w:p>
        </w:tc>
        <w:tc>
          <w:tcPr>
            <w:tcW w:w="402" w:type="pct"/>
            <w:vMerge w:val="continue"/>
            <w:vAlign w:val="center"/>
          </w:tcPr>
          <w:p w14:paraId="35D63857">
            <w:pPr>
              <w:pStyle w:val="69"/>
              <w:adjustRightInd w:val="0"/>
              <w:rPr>
                <w:rFonts w:hint="eastAsia"/>
                <w:color w:val="auto"/>
              </w:rPr>
            </w:pPr>
          </w:p>
        </w:tc>
        <w:tc>
          <w:tcPr>
            <w:tcW w:w="495" w:type="pct"/>
            <w:vMerge w:val="continue"/>
            <w:vAlign w:val="center"/>
          </w:tcPr>
          <w:p w14:paraId="699F96AF">
            <w:pPr>
              <w:pStyle w:val="69"/>
              <w:adjustRightInd w:val="0"/>
              <w:rPr>
                <w:rFonts w:hint="eastAsia"/>
                <w:color w:val="auto"/>
                <w:lang w:eastAsia="zh-CN"/>
              </w:rPr>
            </w:pPr>
          </w:p>
        </w:tc>
        <w:tc>
          <w:tcPr>
            <w:tcW w:w="549" w:type="pct"/>
            <w:vMerge w:val="continue"/>
            <w:vAlign w:val="center"/>
          </w:tcPr>
          <w:p w14:paraId="42E2E20C">
            <w:pPr>
              <w:pStyle w:val="69"/>
              <w:adjustRightInd w:val="0"/>
              <w:rPr>
                <w:rFonts w:hint="eastAsia"/>
                <w:color w:val="FF0000"/>
              </w:rPr>
            </w:pPr>
          </w:p>
        </w:tc>
        <w:tc>
          <w:tcPr>
            <w:tcW w:w="720" w:type="pct"/>
            <w:vMerge w:val="continue"/>
            <w:vAlign w:val="center"/>
          </w:tcPr>
          <w:p w14:paraId="2B085B18">
            <w:pPr>
              <w:pStyle w:val="69"/>
              <w:adjustRightInd w:val="0"/>
              <w:rPr>
                <w:rFonts w:hint="eastAsia"/>
                <w:color w:val="auto"/>
              </w:rPr>
            </w:pPr>
          </w:p>
        </w:tc>
        <w:tc>
          <w:tcPr>
            <w:tcW w:w="379" w:type="pct"/>
            <w:vAlign w:val="center"/>
          </w:tcPr>
          <w:p w14:paraId="5B14D51D">
            <w:pPr>
              <w:pStyle w:val="69"/>
              <w:adjustRightInd w:val="0"/>
              <w:rPr>
                <w:rFonts w:hint="eastAsia" w:eastAsia="宋体"/>
                <w:color w:val="auto"/>
                <w:lang w:val="en-US" w:eastAsia="zh-CN"/>
              </w:rPr>
            </w:pPr>
            <w:r>
              <w:rPr>
                <w:rFonts w:hint="eastAsia"/>
                <w:color w:val="auto"/>
                <w:lang w:val="en-US" w:eastAsia="zh-CN"/>
              </w:rPr>
              <w:t>/</w:t>
            </w:r>
          </w:p>
        </w:tc>
        <w:tc>
          <w:tcPr>
            <w:tcW w:w="255" w:type="pct"/>
            <w:vMerge w:val="continue"/>
            <w:vAlign w:val="center"/>
          </w:tcPr>
          <w:p w14:paraId="52822DC3">
            <w:pPr>
              <w:pStyle w:val="69"/>
              <w:adjustRightInd w:val="0"/>
              <w:rPr>
                <w:color w:val="auto"/>
              </w:rPr>
            </w:pPr>
          </w:p>
        </w:tc>
        <w:tc>
          <w:tcPr>
            <w:tcW w:w="299" w:type="pct"/>
            <w:vMerge w:val="continue"/>
            <w:vAlign w:val="center"/>
          </w:tcPr>
          <w:p w14:paraId="0F4B7A8B">
            <w:pPr>
              <w:pStyle w:val="69"/>
              <w:adjustRightInd w:val="0"/>
              <w:rPr>
                <w:rFonts w:hint="eastAsia"/>
                <w:color w:val="auto"/>
              </w:rPr>
            </w:pPr>
          </w:p>
        </w:tc>
        <w:tc>
          <w:tcPr>
            <w:tcW w:w="416" w:type="pct"/>
            <w:vMerge w:val="continue"/>
            <w:vAlign w:val="center"/>
          </w:tcPr>
          <w:p w14:paraId="1D114F06">
            <w:pPr>
              <w:pStyle w:val="69"/>
              <w:adjustRightInd w:val="0"/>
              <w:rPr>
                <w:rFonts w:hint="eastAsia"/>
                <w:color w:val="auto"/>
              </w:rPr>
            </w:pPr>
          </w:p>
        </w:tc>
        <w:tc>
          <w:tcPr>
            <w:tcW w:w="197" w:type="pct"/>
            <w:vMerge w:val="continue"/>
            <w:vAlign w:val="center"/>
          </w:tcPr>
          <w:p w14:paraId="2BED64A1">
            <w:pPr>
              <w:pStyle w:val="69"/>
              <w:adjustRightInd w:val="0"/>
              <w:rPr>
                <w:rFonts w:hint="eastAsia"/>
                <w:color w:val="auto"/>
              </w:rPr>
            </w:pPr>
          </w:p>
        </w:tc>
      </w:tr>
      <w:tr w14:paraId="2EFA9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54" w:type="pct"/>
            <w:vAlign w:val="center"/>
          </w:tcPr>
          <w:p w14:paraId="0F359DBA">
            <w:pPr>
              <w:pStyle w:val="53"/>
              <w:ind w:firstLine="0" w:firstLineChars="0"/>
              <w:rPr>
                <w:rFonts w:hint="eastAsia"/>
                <w:color w:val="FF0000"/>
                <w:lang w:eastAsia="zh-CN"/>
              </w:rPr>
            </w:pPr>
            <w:r>
              <w:rPr>
                <w:rFonts w:ascii="Times New Roman" w:hAnsi="Times New Roman" w:eastAsia="宋体" w:cs="Times New Roman"/>
              </w:rPr>
              <w:t>槽液调配</w:t>
            </w:r>
          </w:p>
        </w:tc>
        <w:tc>
          <w:tcPr>
            <w:tcW w:w="334" w:type="pct"/>
            <w:vMerge w:val="continue"/>
            <w:vAlign w:val="center"/>
          </w:tcPr>
          <w:p w14:paraId="6DD7731F">
            <w:pPr>
              <w:pStyle w:val="69"/>
              <w:adjustRightInd w:val="0"/>
              <w:rPr>
                <w:rFonts w:hint="eastAsia"/>
                <w:color w:val="FF0000"/>
                <w:lang w:eastAsia="zh-CN"/>
              </w:rPr>
            </w:pPr>
          </w:p>
        </w:tc>
        <w:tc>
          <w:tcPr>
            <w:tcW w:w="396" w:type="pct"/>
            <w:vAlign w:val="center"/>
          </w:tcPr>
          <w:p w14:paraId="071CDCF6">
            <w:pPr>
              <w:pStyle w:val="53"/>
              <w:ind w:firstLine="0" w:firstLineChars="0"/>
              <w:rPr>
                <w:rFonts w:hint="eastAsia"/>
                <w:color w:val="FF0000"/>
              </w:rPr>
            </w:pPr>
            <w:r>
              <w:rPr>
                <w:rFonts w:ascii="Times New Roman" w:hAnsi="Times New Roman" w:eastAsia="宋体" w:cs="Times New Roman"/>
              </w:rPr>
              <w:t>氯化氢、硝酸雾（以NOx计）</w:t>
            </w:r>
          </w:p>
        </w:tc>
        <w:tc>
          <w:tcPr>
            <w:tcW w:w="402" w:type="pct"/>
            <w:vMerge w:val="continue"/>
            <w:vAlign w:val="center"/>
          </w:tcPr>
          <w:p w14:paraId="6B325929">
            <w:pPr>
              <w:pStyle w:val="69"/>
              <w:adjustRightInd w:val="0"/>
              <w:rPr>
                <w:rFonts w:hint="eastAsia"/>
                <w:color w:val="auto"/>
              </w:rPr>
            </w:pPr>
          </w:p>
        </w:tc>
        <w:tc>
          <w:tcPr>
            <w:tcW w:w="495" w:type="pct"/>
            <w:vAlign w:val="center"/>
          </w:tcPr>
          <w:p w14:paraId="4F42A55E">
            <w:pPr>
              <w:pStyle w:val="69"/>
              <w:adjustRightInd w:val="0"/>
              <w:rPr>
                <w:rFonts w:hint="eastAsia"/>
                <w:color w:val="auto"/>
                <w:lang w:eastAsia="zh-CN"/>
              </w:rPr>
            </w:pPr>
            <w:r>
              <w:rPr>
                <w:rFonts w:hint="eastAsia"/>
                <w:color w:val="auto"/>
                <w:lang w:eastAsia="zh-CN"/>
              </w:rPr>
              <w:t>密闭负压收集</w:t>
            </w:r>
          </w:p>
        </w:tc>
        <w:tc>
          <w:tcPr>
            <w:tcW w:w="549" w:type="pct"/>
            <w:vMerge w:val="continue"/>
            <w:vAlign w:val="center"/>
          </w:tcPr>
          <w:p w14:paraId="57E63A5F">
            <w:pPr>
              <w:pStyle w:val="69"/>
              <w:adjustRightInd w:val="0"/>
              <w:rPr>
                <w:rFonts w:hint="eastAsia"/>
                <w:color w:val="FF0000"/>
              </w:rPr>
            </w:pPr>
          </w:p>
        </w:tc>
        <w:tc>
          <w:tcPr>
            <w:tcW w:w="720" w:type="pct"/>
            <w:vMerge w:val="continue"/>
            <w:vAlign w:val="center"/>
          </w:tcPr>
          <w:p w14:paraId="6F47494B">
            <w:pPr>
              <w:pStyle w:val="69"/>
              <w:adjustRightInd w:val="0"/>
              <w:rPr>
                <w:rFonts w:hint="eastAsia"/>
                <w:color w:val="auto"/>
              </w:rPr>
            </w:pPr>
          </w:p>
        </w:tc>
        <w:tc>
          <w:tcPr>
            <w:tcW w:w="379" w:type="pct"/>
            <w:vAlign w:val="center"/>
          </w:tcPr>
          <w:p w14:paraId="63987FD1">
            <w:pPr>
              <w:pStyle w:val="69"/>
              <w:adjustRightInd w:val="0"/>
              <w:rPr>
                <w:color w:val="auto"/>
              </w:rPr>
            </w:pPr>
            <w:r>
              <w:rPr>
                <w:rFonts w:hint="eastAsia"/>
                <w:color w:val="auto"/>
                <w:lang w:val="en-US" w:eastAsia="zh-CN"/>
              </w:rPr>
              <w:t>95%</w:t>
            </w:r>
          </w:p>
        </w:tc>
        <w:tc>
          <w:tcPr>
            <w:tcW w:w="255" w:type="pct"/>
            <w:vMerge w:val="continue"/>
            <w:vAlign w:val="center"/>
          </w:tcPr>
          <w:p w14:paraId="4FFAC9E6">
            <w:pPr>
              <w:pStyle w:val="69"/>
              <w:adjustRightInd w:val="0"/>
              <w:rPr>
                <w:color w:val="auto"/>
              </w:rPr>
            </w:pPr>
          </w:p>
        </w:tc>
        <w:tc>
          <w:tcPr>
            <w:tcW w:w="299" w:type="pct"/>
            <w:vMerge w:val="continue"/>
            <w:vAlign w:val="center"/>
          </w:tcPr>
          <w:p w14:paraId="6EFE9C58">
            <w:pPr>
              <w:pStyle w:val="69"/>
              <w:adjustRightInd w:val="0"/>
              <w:rPr>
                <w:rFonts w:hint="eastAsia"/>
                <w:color w:val="auto"/>
              </w:rPr>
            </w:pPr>
          </w:p>
        </w:tc>
        <w:tc>
          <w:tcPr>
            <w:tcW w:w="416" w:type="pct"/>
            <w:vMerge w:val="continue"/>
            <w:vAlign w:val="center"/>
          </w:tcPr>
          <w:p w14:paraId="74CAE11B">
            <w:pPr>
              <w:pStyle w:val="69"/>
              <w:adjustRightInd w:val="0"/>
              <w:rPr>
                <w:rFonts w:hint="eastAsia"/>
                <w:color w:val="auto"/>
              </w:rPr>
            </w:pPr>
          </w:p>
        </w:tc>
        <w:tc>
          <w:tcPr>
            <w:tcW w:w="197" w:type="pct"/>
            <w:vMerge w:val="continue"/>
            <w:vAlign w:val="center"/>
          </w:tcPr>
          <w:p w14:paraId="2227D2BE">
            <w:pPr>
              <w:pStyle w:val="69"/>
              <w:adjustRightInd w:val="0"/>
              <w:rPr>
                <w:rFonts w:hint="eastAsia"/>
                <w:color w:val="auto"/>
              </w:rPr>
            </w:pPr>
          </w:p>
        </w:tc>
      </w:tr>
      <w:tr w14:paraId="2E9CB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54" w:type="pct"/>
            <w:vAlign w:val="center"/>
          </w:tcPr>
          <w:p w14:paraId="6AEC4026">
            <w:pPr>
              <w:pStyle w:val="69"/>
              <w:adjustRightInd w:val="0"/>
              <w:rPr>
                <w:rFonts w:hint="eastAsia"/>
                <w:color w:val="FF0000"/>
                <w:lang w:eastAsia="zh-CN"/>
              </w:rPr>
            </w:pPr>
            <w:r>
              <w:rPr>
                <w:rFonts w:hint="eastAsia" w:ascii="Times New Roman" w:hAnsi="Times New Roman" w:eastAsia="宋体" w:cs="Times New Roman"/>
                <w:lang w:val="en-US" w:eastAsia="zh-CN"/>
              </w:rPr>
              <w:t>退镀</w:t>
            </w:r>
          </w:p>
        </w:tc>
        <w:tc>
          <w:tcPr>
            <w:tcW w:w="334" w:type="pct"/>
            <w:vAlign w:val="center"/>
          </w:tcPr>
          <w:p w14:paraId="1E0F758A">
            <w:pPr>
              <w:pStyle w:val="69"/>
              <w:adjustRightInd w:val="0"/>
              <w:rPr>
                <w:rFonts w:hint="eastAsia"/>
                <w:color w:val="FF0000"/>
                <w:lang w:eastAsia="zh-CN"/>
              </w:rPr>
            </w:pPr>
            <w:r>
              <w:rPr>
                <w:rFonts w:hint="eastAsia" w:ascii="Times New Roman" w:hAnsi="Times New Roman" w:eastAsia="宋体" w:cs="Times New Roman"/>
              </w:rPr>
              <w:t>退锌线</w:t>
            </w:r>
          </w:p>
        </w:tc>
        <w:tc>
          <w:tcPr>
            <w:tcW w:w="396" w:type="pct"/>
            <w:vAlign w:val="center"/>
          </w:tcPr>
          <w:p w14:paraId="54B0358F">
            <w:pPr>
              <w:pStyle w:val="69"/>
              <w:adjustRightInd w:val="0"/>
              <w:rPr>
                <w:rFonts w:hint="eastAsia"/>
                <w:color w:val="FF0000"/>
              </w:rPr>
            </w:pPr>
            <w:r>
              <w:rPr>
                <w:rFonts w:ascii="Times New Roman" w:hAnsi="Times New Roman" w:eastAsia="宋体" w:cs="Times New Roman"/>
              </w:rPr>
              <w:t>氯化氢</w:t>
            </w:r>
          </w:p>
        </w:tc>
        <w:tc>
          <w:tcPr>
            <w:tcW w:w="402" w:type="pct"/>
            <w:vAlign w:val="center"/>
          </w:tcPr>
          <w:p w14:paraId="1F814BED">
            <w:pPr>
              <w:pStyle w:val="69"/>
              <w:adjustRightInd w:val="0"/>
              <w:rPr>
                <w:rFonts w:hint="eastAsia"/>
                <w:color w:val="auto"/>
              </w:rPr>
            </w:pPr>
            <w:r>
              <w:rPr>
                <w:rFonts w:hint="eastAsia"/>
                <w:color w:val="auto"/>
              </w:rPr>
              <w:t>间断、有规律</w:t>
            </w:r>
          </w:p>
        </w:tc>
        <w:tc>
          <w:tcPr>
            <w:tcW w:w="495" w:type="pct"/>
            <w:vMerge w:val="restart"/>
            <w:vAlign w:val="center"/>
          </w:tcPr>
          <w:p w14:paraId="159FF5E6">
            <w:pPr>
              <w:pStyle w:val="69"/>
              <w:adjustRightInd w:val="0"/>
              <w:rPr>
                <w:rFonts w:hint="eastAsia"/>
                <w:color w:val="auto"/>
                <w:u w:val="none"/>
                <w:lang w:eastAsia="zh-CN"/>
              </w:rPr>
            </w:pPr>
            <w:r>
              <w:rPr>
                <w:rFonts w:hint="eastAsia"/>
                <w:color w:val="auto"/>
                <w:u w:val="none"/>
              </w:rPr>
              <w:t>封闭生产线</w:t>
            </w:r>
            <w:r>
              <w:rPr>
                <w:color w:val="auto"/>
                <w:u w:val="none"/>
              </w:rPr>
              <w:t>+</w:t>
            </w:r>
            <w:r>
              <w:rPr>
                <w:rFonts w:hint="eastAsia"/>
                <w:color w:val="auto"/>
                <w:u w:val="none"/>
              </w:rPr>
              <w:t>槽上方抽风</w:t>
            </w:r>
            <w:r>
              <w:rPr>
                <w:bCs/>
                <w:color w:val="auto"/>
                <w:u w:val="none"/>
              </w:rPr>
              <w:t>+</w:t>
            </w:r>
            <w:r>
              <w:rPr>
                <w:rFonts w:hint="eastAsia"/>
                <w:bCs/>
                <w:color w:val="auto"/>
                <w:u w:val="none"/>
              </w:rPr>
              <w:t>槽边抽风收集</w:t>
            </w:r>
          </w:p>
        </w:tc>
        <w:tc>
          <w:tcPr>
            <w:tcW w:w="549" w:type="pct"/>
            <w:vMerge w:val="restart"/>
            <w:vAlign w:val="center"/>
          </w:tcPr>
          <w:p w14:paraId="3A538873">
            <w:pPr>
              <w:pStyle w:val="69"/>
              <w:adjustRightInd w:val="0"/>
              <w:rPr>
                <w:rFonts w:hint="eastAsia"/>
                <w:color w:val="FF0000"/>
              </w:rPr>
            </w:pPr>
            <w:r>
              <w:rPr>
                <w:rFonts w:ascii="Times New Roman" w:hAnsi="Times New Roman" w:eastAsia="宋体" w:cs="Times New Roman"/>
                <w:szCs w:val="21"/>
              </w:rPr>
              <w:t>两级酸雾吸收塔+15m排气筒DA003（依托现有钢帽镀镍生产线废气处理系统）</w:t>
            </w:r>
          </w:p>
        </w:tc>
        <w:tc>
          <w:tcPr>
            <w:tcW w:w="720" w:type="pct"/>
            <w:vAlign w:val="center"/>
          </w:tcPr>
          <w:p w14:paraId="401C1879">
            <w:pPr>
              <w:pStyle w:val="69"/>
              <w:adjustRightInd w:val="0"/>
              <w:rPr>
                <w:rFonts w:hint="eastAsia"/>
                <w:color w:val="auto"/>
              </w:rPr>
            </w:pPr>
            <w:r>
              <w:rPr>
                <w:rFonts w:ascii="Times New Roman" w:hAnsi="Times New Roman" w:eastAsia="宋体" w:cs="Times New Roman"/>
                <w:color w:val="auto"/>
              </w:rPr>
              <w:t>氯化氢</w:t>
            </w:r>
            <w:r>
              <w:rPr>
                <w:rFonts w:hint="eastAsia"/>
                <w:color w:val="auto"/>
              </w:rPr>
              <w:t>：</w:t>
            </w:r>
            <w:r>
              <w:rPr>
                <w:rFonts w:hint="eastAsia"/>
                <w:color w:val="auto"/>
                <w:lang w:val="en-US" w:eastAsia="zh-CN"/>
              </w:rPr>
              <w:t>1</w:t>
            </w:r>
            <w:r>
              <w:rPr>
                <w:color w:val="auto"/>
              </w:rPr>
              <w:t>0mg/m</w:t>
            </w:r>
            <w:r>
              <w:rPr>
                <w:color w:val="auto"/>
                <w:vertAlign w:val="superscript"/>
              </w:rPr>
              <w:t>3</w:t>
            </w:r>
          </w:p>
        </w:tc>
        <w:tc>
          <w:tcPr>
            <w:tcW w:w="379" w:type="pct"/>
            <w:vAlign w:val="center"/>
          </w:tcPr>
          <w:p w14:paraId="5DE0B3D3">
            <w:pPr>
              <w:pStyle w:val="69"/>
              <w:adjustRightInd w:val="0"/>
              <w:rPr>
                <w:color w:val="auto"/>
              </w:rPr>
            </w:pPr>
            <w:r>
              <w:rPr>
                <w:rFonts w:hint="eastAsia"/>
                <w:color w:val="auto"/>
                <w:lang w:val="en-US" w:eastAsia="zh-CN"/>
              </w:rPr>
              <w:t>95%</w:t>
            </w:r>
          </w:p>
        </w:tc>
        <w:tc>
          <w:tcPr>
            <w:tcW w:w="255" w:type="pct"/>
            <w:vMerge w:val="restart"/>
            <w:vAlign w:val="center"/>
          </w:tcPr>
          <w:p w14:paraId="28684C8D">
            <w:pPr>
              <w:pStyle w:val="69"/>
              <w:adjustRightInd w:val="0"/>
              <w:rPr>
                <w:color w:val="auto"/>
              </w:rPr>
            </w:pPr>
            <w:r>
              <w:rPr>
                <w:color w:val="auto"/>
              </w:rPr>
              <w:t>1</w:t>
            </w:r>
            <w:r>
              <w:rPr>
                <w:rFonts w:hint="eastAsia"/>
                <w:color w:val="auto"/>
                <w:lang w:eastAsia="zh-CN"/>
              </w:rPr>
              <w:t>5</w:t>
            </w:r>
            <w:r>
              <w:rPr>
                <w:rFonts w:hint="eastAsia"/>
                <w:color w:val="auto"/>
              </w:rPr>
              <w:t>m</w:t>
            </w:r>
          </w:p>
        </w:tc>
        <w:tc>
          <w:tcPr>
            <w:tcW w:w="299" w:type="pct"/>
            <w:vMerge w:val="restart"/>
            <w:vAlign w:val="center"/>
          </w:tcPr>
          <w:p w14:paraId="7ACD15D3">
            <w:pPr>
              <w:pStyle w:val="69"/>
              <w:adjustRightInd w:val="0"/>
              <w:rPr>
                <w:rFonts w:hint="eastAsia"/>
                <w:color w:val="auto"/>
              </w:rPr>
            </w:pPr>
            <w:r>
              <w:rPr>
                <w:rFonts w:hint="eastAsia"/>
                <w:color w:val="auto"/>
              </w:rPr>
              <w:t>Φ</w:t>
            </w:r>
            <w:r>
              <w:rPr>
                <w:rFonts w:hint="eastAsia"/>
                <w:color w:val="auto"/>
                <w:lang w:val="en-US" w:eastAsia="zh-CN"/>
              </w:rPr>
              <w:t>32</w:t>
            </w:r>
            <w:r>
              <w:rPr>
                <w:rFonts w:hint="eastAsia"/>
                <w:color w:val="auto"/>
              </w:rPr>
              <w:t>cm</w:t>
            </w:r>
          </w:p>
        </w:tc>
        <w:tc>
          <w:tcPr>
            <w:tcW w:w="416" w:type="pct"/>
            <w:vMerge w:val="restart"/>
            <w:vAlign w:val="center"/>
          </w:tcPr>
          <w:p w14:paraId="4ECCA76F">
            <w:pPr>
              <w:pStyle w:val="69"/>
              <w:adjustRightInd w:val="0"/>
              <w:ind w:firstLine="0" w:firstLineChars="0"/>
              <w:rPr>
                <w:rFonts w:hint="eastAsia"/>
                <w:color w:val="auto"/>
              </w:rPr>
            </w:pPr>
            <w:r>
              <w:rPr>
                <w:rFonts w:hint="eastAsia"/>
                <w:color w:val="auto"/>
              </w:rPr>
              <w:t>处理设施进口、出口</w:t>
            </w:r>
          </w:p>
        </w:tc>
        <w:tc>
          <w:tcPr>
            <w:tcW w:w="197" w:type="pct"/>
            <w:vMerge w:val="restart"/>
            <w:vAlign w:val="center"/>
          </w:tcPr>
          <w:p w14:paraId="628F3FC3">
            <w:pPr>
              <w:pStyle w:val="69"/>
              <w:adjustRightInd w:val="0"/>
              <w:ind w:firstLine="0" w:firstLineChars="0"/>
              <w:rPr>
                <w:rFonts w:hint="eastAsia"/>
                <w:color w:val="auto"/>
              </w:rPr>
            </w:pPr>
            <w:r>
              <w:rPr>
                <w:rFonts w:hint="eastAsia"/>
                <w:color w:val="auto"/>
              </w:rPr>
              <w:t>大气</w:t>
            </w:r>
          </w:p>
        </w:tc>
      </w:tr>
      <w:tr w14:paraId="69A18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54" w:type="pct"/>
            <w:vAlign w:val="center"/>
          </w:tcPr>
          <w:p w14:paraId="0C4751E3">
            <w:pPr>
              <w:pStyle w:val="53"/>
              <w:ind w:firstLine="0" w:firstLineChars="0"/>
              <w:rPr>
                <w:rFonts w:hint="eastAsia"/>
                <w:color w:val="FF0000"/>
                <w:lang w:eastAsia="zh-CN"/>
              </w:rPr>
            </w:pPr>
            <w:r>
              <w:rPr>
                <w:rFonts w:ascii="Times New Roman" w:hAnsi="Times New Roman" w:eastAsia="宋体" w:cs="Times New Roman"/>
              </w:rPr>
              <w:t>活化</w:t>
            </w:r>
          </w:p>
        </w:tc>
        <w:tc>
          <w:tcPr>
            <w:tcW w:w="334" w:type="pct"/>
            <w:vMerge w:val="restart"/>
            <w:vAlign w:val="center"/>
          </w:tcPr>
          <w:p w14:paraId="436996DD">
            <w:pPr>
              <w:pStyle w:val="69"/>
              <w:adjustRightInd w:val="0"/>
              <w:rPr>
                <w:rFonts w:hint="eastAsia" w:eastAsia="宋体"/>
                <w:color w:val="FF0000"/>
                <w:lang w:val="en-US" w:eastAsia="zh-CN"/>
              </w:rPr>
            </w:pPr>
            <w:r>
              <w:rPr>
                <w:rFonts w:ascii="Times New Roman" w:hAnsi="Times New Roman" w:eastAsia="宋体" w:cs="Times New Roman"/>
              </w:rPr>
              <w:t>1#钢带</w:t>
            </w:r>
            <w:r>
              <w:rPr>
                <w:rFonts w:hint="eastAsia" w:ascii="Times New Roman" w:hAnsi="Times New Roman" w:eastAsia="宋体" w:cs="Times New Roman"/>
                <w:lang w:val="en-US" w:eastAsia="zh-CN"/>
              </w:rPr>
              <w:t>线</w:t>
            </w:r>
          </w:p>
        </w:tc>
        <w:tc>
          <w:tcPr>
            <w:tcW w:w="396" w:type="pct"/>
            <w:vAlign w:val="center"/>
          </w:tcPr>
          <w:p w14:paraId="621CF339">
            <w:pPr>
              <w:pStyle w:val="53"/>
              <w:ind w:firstLine="0" w:firstLineChars="0"/>
              <w:rPr>
                <w:rFonts w:hint="eastAsia"/>
                <w:color w:val="FF0000"/>
              </w:rPr>
            </w:pPr>
            <w:r>
              <w:rPr>
                <w:rFonts w:ascii="Times New Roman" w:hAnsi="Times New Roman" w:eastAsia="宋体" w:cs="Times New Roman"/>
              </w:rPr>
              <w:t>硫酸雾</w:t>
            </w:r>
          </w:p>
        </w:tc>
        <w:tc>
          <w:tcPr>
            <w:tcW w:w="402" w:type="pct"/>
            <w:vMerge w:val="restart"/>
            <w:vAlign w:val="center"/>
          </w:tcPr>
          <w:p w14:paraId="64D6E768">
            <w:pPr>
              <w:pStyle w:val="69"/>
              <w:adjustRightInd w:val="0"/>
              <w:rPr>
                <w:rFonts w:hint="eastAsia"/>
                <w:color w:val="auto"/>
              </w:rPr>
            </w:pPr>
            <w:r>
              <w:rPr>
                <w:rFonts w:hint="eastAsia"/>
                <w:color w:val="auto"/>
              </w:rPr>
              <w:t>间断、有规律</w:t>
            </w:r>
          </w:p>
        </w:tc>
        <w:tc>
          <w:tcPr>
            <w:tcW w:w="495" w:type="pct"/>
            <w:vMerge w:val="continue"/>
            <w:vAlign w:val="center"/>
          </w:tcPr>
          <w:p w14:paraId="4A9D0598">
            <w:pPr>
              <w:pStyle w:val="69"/>
              <w:adjustRightInd w:val="0"/>
              <w:rPr>
                <w:rFonts w:hint="eastAsia"/>
                <w:color w:val="auto"/>
                <w:lang w:eastAsia="zh-CN"/>
              </w:rPr>
            </w:pPr>
          </w:p>
        </w:tc>
        <w:tc>
          <w:tcPr>
            <w:tcW w:w="549" w:type="pct"/>
            <w:vMerge w:val="continue"/>
            <w:vAlign w:val="center"/>
          </w:tcPr>
          <w:p w14:paraId="72958017">
            <w:pPr>
              <w:pStyle w:val="69"/>
              <w:adjustRightInd w:val="0"/>
              <w:rPr>
                <w:rFonts w:hint="eastAsia"/>
                <w:color w:val="FF0000"/>
              </w:rPr>
            </w:pPr>
          </w:p>
        </w:tc>
        <w:tc>
          <w:tcPr>
            <w:tcW w:w="720" w:type="pct"/>
            <w:vAlign w:val="center"/>
          </w:tcPr>
          <w:p w14:paraId="72E62A25">
            <w:pPr>
              <w:pStyle w:val="69"/>
              <w:adjustRightInd w:val="0"/>
              <w:rPr>
                <w:rFonts w:hint="eastAsia"/>
                <w:color w:val="auto"/>
              </w:rPr>
            </w:pPr>
            <w:r>
              <w:rPr>
                <w:rFonts w:hint="eastAsia"/>
                <w:color w:val="auto"/>
              </w:rPr>
              <w:t>硫酸雾：</w:t>
            </w:r>
            <w:r>
              <w:rPr>
                <w:rFonts w:hint="eastAsia"/>
                <w:color w:val="auto"/>
                <w:lang w:val="en-US" w:eastAsia="zh-CN"/>
              </w:rPr>
              <w:t>1</w:t>
            </w:r>
            <w:r>
              <w:rPr>
                <w:color w:val="auto"/>
              </w:rPr>
              <w:t>0mg/m</w:t>
            </w:r>
            <w:r>
              <w:rPr>
                <w:color w:val="auto"/>
                <w:vertAlign w:val="superscript"/>
              </w:rPr>
              <w:t>3</w:t>
            </w:r>
          </w:p>
        </w:tc>
        <w:tc>
          <w:tcPr>
            <w:tcW w:w="379" w:type="pct"/>
            <w:vAlign w:val="center"/>
          </w:tcPr>
          <w:p w14:paraId="41E3581A">
            <w:pPr>
              <w:pStyle w:val="69"/>
              <w:adjustRightInd w:val="0"/>
              <w:rPr>
                <w:rFonts w:hint="default" w:eastAsia="宋体"/>
                <w:color w:val="auto"/>
                <w:lang w:val="en-US" w:eastAsia="zh-CN"/>
              </w:rPr>
            </w:pPr>
            <w:r>
              <w:rPr>
                <w:rFonts w:hint="eastAsia"/>
                <w:color w:val="auto"/>
                <w:lang w:val="en-US" w:eastAsia="zh-CN"/>
              </w:rPr>
              <w:t>90%</w:t>
            </w:r>
          </w:p>
        </w:tc>
        <w:tc>
          <w:tcPr>
            <w:tcW w:w="255" w:type="pct"/>
            <w:vMerge w:val="continue"/>
            <w:vAlign w:val="center"/>
          </w:tcPr>
          <w:p w14:paraId="0608D83C">
            <w:pPr>
              <w:pStyle w:val="69"/>
              <w:adjustRightInd w:val="0"/>
              <w:rPr>
                <w:color w:val="auto"/>
              </w:rPr>
            </w:pPr>
          </w:p>
        </w:tc>
        <w:tc>
          <w:tcPr>
            <w:tcW w:w="299" w:type="pct"/>
            <w:vMerge w:val="continue"/>
            <w:vAlign w:val="center"/>
          </w:tcPr>
          <w:p w14:paraId="0B6B0EE3">
            <w:pPr>
              <w:pStyle w:val="69"/>
              <w:adjustRightInd w:val="0"/>
              <w:rPr>
                <w:rFonts w:hint="eastAsia"/>
                <w:color w:val="auto"/>
              </w:rPr>
            </w:pPr>
          </w:p>
        </w:tc>
        <w:tc>
          <w:tcPr>
            <w:tcW w:w="416" w:type="pct"/>
            <w:vMerge w:val="continue"/>
            <w:vAlign w:val="center"/>
          </w:tcPr>
          <w:p w14:paraId="653C8C5A">
            <w:pPr>
              <w:pStyle w:val="69"/>
              <w:adjustRightInd w:val="0"/>
              <w:rPr>
                <w:rFonts w:hint="eastAsia"/>
                <w:color w:val="auto"/>
              </w:rPr>
            </w:pPr>
          </w:p>
        </w:tc>
        <w:tc>
          <w:tcPr>
            <w:tcW w:w="197" w:type="pct"/>
            <w:vMerge w:val="continue"/>
            <w:vAlign w:val="center"/>
          </w:tcPr>
          <w:p w14:paraId="5FF47624">
            <w:pPr>
              <w:pStyle w:val="69"/>
              <w:adjustRightInd w:val="0"/>
              <w:rPr>
                <w:rFonts w:hint="eastAsia"/>
                <w:color w:val="auto"/>
              </w:rPr>
            </w:pPr>
          </w:p>
        </w:tc>
      </w:tr>
      <w:tr w14:paraId="7CA2F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554" w:type="pct"/>
            <w:vAlign w:val="center"/>
          </w:tcPr>
          <w:p w14:paraId="46F7EC82">
            <w:pPr>
              <w:pStyle w:val="53"/>
              <w:ind w:firstLine="0" w:firstLineChars="0"/>
              <w:rPr>
                <w:rFonts w:hint="eastAsia"/>
                <w:color w:val="FF0000"/>
                <w:lang w:eastAsia="zh-CN"/>
              </w:rPr>
            </w:pPr>
            <w:r>
              <w:rPr>
                <w:rFonts w:ascii="Times New Roman" w:hAnsi="Times New Roman" w:eastAsia="宋体" w:cs="Times New Roman"/>
              </w:rPr>
              <w:t>槽液调配</w:t>
            </w:r>
          </w:p>
        </w:tc>
        <w:tc>
          <w:tcPr>
            <w:tcW w:w="334" w:type="pct"/>
            <w:vMerge w:val="continue"/>
            <w:vAlign w:val="center"/>
          </w:tcPr>
          <w:p w14:paraId="7AC51C9D">
            <w:pPr>
              <w:pStyle w:val="69"/>
              <w:adjustRightInd w:val="0"/>
              <w:rPr>
                <w:rFonts w:hint="eastAsia"/>
                <w:color w:val="FF0000"/>
                <w:lang w:eastAsia="zh-CN"/>
              </w:rPr>
            </w:pPr>
          </w:p>
        </w:tc>
        <w:tc>
          <w:tcPr>
            <w:tcW w:w="396" w:type="pct"/>
            <w:vAlign w:val="center"/>
          </w:tcPr>
          <w:p w14:paraId="4BB60F4C">
            <w:pPr>
              <w:pStyle w:val="53"/>
              <w:ind w:firstLine="0" w:firstLineChars="0"/>
              <w:rPr>
                <w:rFonts w:hint="eastAsia"/>
                <w:color w:val="FF0000"/>
              </w:rPr>
            </w:pPr>
            <w:r>
              <w:rPr>
                <w:rFonts w:ascii="Times New Roman" w:hAnsi="Times New Roman" w:eastAsia="宋体" w:cs="Times New Roman"/>
              </w:rPr>
              <w:t>硫酸雾</w:t>
            </w:r>
          </w:p>
        </w:tc>
        <w:tc>
          <w:tcPr>
            <w:tcW w:w="402" w:type="pct"/>
            <w:vMerge w:val="continue"/>
            <w:vAlign w:val="center"/>
          </w:tcPr>
          <w:p w14:paraId="1EAD9EB5">
            <w:pPr>
              <w:pStyle w:val="69"/>
              <w:adjustRightInd w:val="0"/>
              <w:rPr>
                <w:rFonts w:hint="eastAsia"/>
                <w:color w:val="auto"/>
              </w:rPr>
            </w:pPr>
          </w:p>
        </w:tc>
        <w:tc>
          <w:tcPr>
            <w:tcW w:w="495" w:type="pct"/>
            <w:vMerge w:val="continue"/>
            <w:vAlign w:val="center"/>
          </w:tcPr>
          <w:p w14:paraId="63E6BC3E">
            <w:pPr>
              <w:pStyle w:val="69"/>
              <w:adjustRightInd w:val="0"/>
              <w:rPr>
                <w:rFonts w:hint="eastAsia"/>
                <w:color w:val="auto"/>
                <w:lang w:eastAsia="zh-CN"/>
              </w:rPr>
            </w:pPr>
          </w:p>
        </w:tc>
        <w:tc>
          <w:tcPr>
            <w:tcW w:w="549" w:type="pct"/>
            <w:vMerge w:val="continue"/>
            <w:vAlign w:val="center"/>
          </w:tcPr>
          <w:p w14:paraId="66E386EF">
            <w:pPr>
              <w:pStyle w:val="69"/>
              <w:adjustRightInd w:val="0"/>
              <w:rPr>
                <w:rFonts w:hint="eastAsia"/>
                <w:color w:val="FF0000"/>
              </w:rPr>
            </w:pPr>
          </w:p>
        </w:tc>
        <w:tc>
          <w:tcPr>
            <w:tcW w:w="720" w:type="pct"/>
            <w:vAlign w:val="center"/>
          </w:tcPr>
          <w:p w14:paraId="778432B3">
            <w:pPr>
              <w:pStyle w:val="69"/>
              <w:adjustRightInd w:val="0"/>
              <w:rPr>
                <w:rFonts w:hint="eastAsia"/>
                <w:color w:val="auto"/>
              </w:rPr>
            </w:pPr>
            <w:r>
              <w:rPr>
                <w:rFonts w:hint="eastAsia"/>
                <w:color w:val="auto"/>
              </w:rPr>
              <w:t>硫酸雾：</w:t>
            </w:r>
            <w:r>
              <w:rPr>
                <w:rFonts w:hint="eastAsia"/>
                <w:color w:val="auto"/>
                <w:lang w:val="en-US" w:eastAsia="zh-CN"/>
              </w:rPr>
              <w:t>1</w:t>
            </w:r>
            <w:r>
              <w:rPr>
                <w:color w:val="auto"/>
              </w:rPr>
              <w:t>0mg/m</w:t>
            </w:r>
            <w:r>
              <w:rPr>
                <w:color w:val="auto"/>
                <w:vertAlign w:val="superscript"/>
              </w:rPr>
              <w:t>3</w:t>
            </w:r>
          </w:p>
        </w:tc>
        <w:tc>
          <w:tcPr>
            <w:tcW w:w="379" w:type="pct"/>
            <w:vAlign w:val="center"/>
          </w:tcPr>
          <w:p w14:paraId="0B3108F0">
            <w:pPr>
              <w:pStyle w:val="69"/>
              <w:adjustRightInd w:val="0"/>
              <w:rPr>
                <w:color w:val="auto"/>
              </w:rPr>
            </w:pPr>
            <w:r>
              <w:rPr>
                <w:rFonts w:hint="eastAsia"/>
                <w:color w:val="auto"/>
                <w:lang w:val="en-US" w:eastAsia="zh-CN"/>
              </w:rPr>
              <w:t>90%</w:t>
            </w:r>
          </w:p>
        </w:tc>
        <w:tc>
          <w:tcPr>
            <w:tcW w:w="255" w:type="pct"/>
            <w:vMerge w:val="continue"/>
            <w:vAlign w:val="center"/>
          </w:tcPr>
          <w:p w14:paraId="3704F788">
            <w:pPr>
              <w:pStyle w:val="69"/>
              <w:adjustRightInd w:val="0"/>
              <w:rPr>
                <w:color w:val="auto"/>
              </w:rPr>
            </w:pPr>
          </w:p>
        </w:tc>
        <w:tc>
          <w:tcPr>
            <w:tcW w:w="299" w:type="pct"/>
            <w:vMerge w:val="continue"/>
            <w:vAlign w:val="center"/>
          </w:tcPr>
          <w:p w14:paraId="597C6DD8">
            <w:pPr>
              <w:pStyle w:val="69"/>
              <w:adjustRightInd w:val="0"/>
              <w:rPr>
                <w:rFonts w:hint="eastAsia"/>
                <w:color w:val="auto"/>
              </w:rPr>
            </w:pPr>
          </w:p>
        </w:tc>
        <w:tc>
          <w:tcPr>
            <w:tcW w:w="416" w:type="pct"/>
            <w:vMerge w:val="continue"/>
            <w:vAlign w:val="center"/>
          </w:tcPr>
          <w:p w14:paraId="02D2E360">
            <w:pPr>
              <w:pStyle w:val="69"/>
              <w:adjustRightInd w:val="0"/>
              <w:rPr>
                <w:rFonts w:hint="eastAsia"/>
                <w:color w:val="auto"/>
              </w:rPr>
            </w:pPr>
          </w:p>
        </w:tc>
        <w:tc>
          <w:tcPr>
            <w:tcW w:w="197" w:type="pct"/>
            <w:vMerge w:val="continue"/>
            <w:vAlign w:val="center"/>
          </w:tcPr>
          <w:p w14:paraId="3FB9B1C8">
            <w:pPr>
              <w:pStyle w:val="69"/>
              <w:adjustRightInd w:val="0"/>
              <w:rPr>
                <w:rFonts w:hint="eastAsia"/>
                <w:color w:val="auto"/>
              </w:rPr>
            </w:pPr>
          </w:p>
        </w:tc>
      </w:tr>
      <w:tr w14:paraId="00255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54" w:type="pct"/>
            <w:vAlign w:val="center"/>
          </w:tcPr>
          <w:p w14:paraId="0F4A65BF">
            <w:pPr>
              <w:pStyle w:val="53"/>
              <w:ind w:firstLine="0" w:firstLineChars="0"/>
              <w:rPr>
                <w:rFonts w:hint="eastAsia"/>
                <w:color w:val="FF0000"/>
                <w:lang w:eastAsia="zh-CN"/>
              </w:rPr>
            </w:pPr>
            <w:r>
              <w:rPr>
                <w:rFonts w:ascii="Times New Roman" w:hAnsi="Times New Roman" w:eastAsia="宋体" w:cs="Times New Roman"/>
              </w:rPr>
              <w:t>活化</w:t>
            </w:r>
          </w:p>
        </w:tc>
        <w:tc>
          <w:tcPr>
            <w:tcW w:w="334" w:type="pct"/>
            <w:vMerge w:val="restart"/>
            <w:shd w:val="clear" w:color="auto" w:fill="auto"/>
            <w:vAlign w:val="center"/>
          </w:tcPr>
          <w:p w14:paraId="2EBFB703">
            <w:pPr>
              <w:pStyle w:val="53"/>
              <w:ind w:firstLine="0" w:firstLineChars="0"/>
              <w:rPr>
                <w:rFonts w:hint="eastAsia" w:ascii="Times New Roman" w:hAnsi="Times New Roman" w:eastAsia="宋体" w:cs="Times New Roman"/>
                <w:sz w:val="21"/>
                <w:szCs w:val="21"/>
                <w:lang w:val="en-US" w:eastAsia="zh-CN" w:bidi="ar-SA"/>
              </w:rPr>
            </w:pPr>
            <w:r>
              <w:rPr>
                <w:rFonts w:ascii="Times New Roman" w:hAnsi="Times New Roman" w:eastAsia="宋体" w:cs="Times New Roman"/>
              </w:rPr>
              <w:t>2#钢带</w:t>
            </w:r>
          </w:p>
        </w:tc>
        <w:tc>
          <w:tcPr>
            <w:tcW w:w="396" w:type="pct"/>
            <w:shd w:val="clear" w:color="auto" w:fill="auto"/>
            <w:vAlign w:val="center"/>
          </w:tcPr>
          <w:p w14:paraId="3BB5BFEE">
            <w:pPr>
              <w:pStyle w:val="53"/>
              <w:ind w:firstLine="0" w:firstLineChars="0"/>
              <w:rPr>
                <w:rFonts w:hint="eastAsia" w:ascii="Times New Roman" w:hAnsi="Times New Roman" w:eastAsia="宋体" w:cs="Times New Roman"/>
                <w:color w:val="FF0000"/>
                <w:sz w:val="21"/>
                <w:szCs w:val="21"/>
                <w:lang w:val="en-US" w:eastAsia="zh-CN" w:bidi="ar-SA"/>
              </w:rPr>
            </w:pPr>
            <w:r>
              <w:rPr>
                <w:rFonts w:ascii="Times New Roman" w:hAnsi="Times New Roman" w:eastAsia="宋体" w:cs="Times New Roman"/>
              </w:rPr>
              <w:t>硫酸雾</w:t>
            </w:r>
          </w:p>
        </w:tc>
        <w:tc>
          <w:tcPr>
            <w:tcW w:w="402" w:type="pct"/>
            <w:vMerge w:val="restart"/>
            <w:vAlign w:val="center"/>
          </w:tcPr>
          <w:p w14:paraId="2D99774C">
            <w:pPr>
              <w:pStyle w:val="69"/>
              <w:adjustRightInd w:val="0"/>
              <w:rPr>
                <w:rFonts w:hint="eastAsia"/>
                <w:color w:val="auto"/>
              </w:rPr>
            </w:pPr>
            <w:r>
              <w:rPr>
                <w:rFonts w:hint="eastAsia"/>
                <w:color w:val="auto"/>
              </w:rPr>
              <w:t>间断、有规律</w:t>
            </w:r>
          </w:p>
        </w:tc>
        <w:tc>
          <w:tcPr>
            <w:tcW w:w="495" w:type="pct"/>
            <w:vAlign w:val="center"/>
          </w:tcPr>
          <w:p w14:paraId="002A546E">
            <w:pPr>
              <w:pStyle w:val="53"/>
              <w:ind w:firstLine="0" w:firstLineChars="0"/>
              <w:rPr>
                <w:rFonts w:hint="eastAsia"/>
                <w:color w:val="auto"/>
                <w:u w:val="none"/>
                <w:lang w:eastAsia="zh-CN"/>
              </w:rPr>
            </w:pPr>
            <w:r>
              <w:rPr>
                <w:rFonts w:hint="eastAsia"/>
                <w:color w:val="auto"/>
                <w:u w:val="none"/>
              </w:rPr>
              <w:t>封闭生产线</w:t>
            </w:r>
            <w:r>
              <w:rPr>
                <w:color w:val="auto"/>
                <w:u w:val="none"/>
              </w:rPr>
              <w:t>+</w:t>
            </w:r>
            <w:r>
              <w:rPr>
                <w:rFonts w:hint="eastAsia"/>
                <w:color w:val="auto"/>
                <w:u w:val="none"/>
              </w:rPr>
              <w:t>槽上方抽风</w:t>
            </w:r>
            <w:r>
              <w:rPr>
                <w:bCs/>
                <w:color w:val="auto"/>
                <w:u w:val="none"/>
              </w:rPr>
              <w:t>+</w:t>
            </w:r>
            <w:r>
              <w:rPr>
                <w:rFonts w:hint="eastAsia"/>
                <w:bCs/>
                <w:color w:val="auto"/>
                <w:u w:val="none"/>
              </w:rPr>
              <w:t>槽边抽风收集</w:t>
            </w:r>
          </w:p>
        </w:tc>
        <w:tc>
          <w:tcPr>
            <w:tcW w:w="549" w:type="pct"/>
            <w:vMerge w:val="restart"/>
            <w:vAlign w:val="center"/>
          </w:tcPr>
          <w:p w14:paraId="29FA8099">
            <w:pPr>
              <w:pStyle w:val="69"/>
              <w:adjustRightInd w:val="0"/>
              <w:rPr>
                <w:rFonts w:hint="eastAsia" w:ascii="Times New Roman" w:hAnsi="Times New Roman" w:eastAsia="宋体" w:cs="Times New Roman"/>
                <w:szCs w:val="21"/>
              </w:rPr>
            </w:pPr>
            <w:r>
              <w:rPr>
                <w:rFonts w:ascii="Times New Roman" w:hAnsi="Times New Roman" w:eastAsia="宋体" w:cs="Times New Roman"/>
                <w:szCs w:val="21"/>
              </w:rPr>
              <w:t>两级酸雾吸收塔+15m排气筒DA004</w:t>
            </w:r>
          </w:p>
        </w:tc>
        <w:tc>
          <w:tcPr>
            <w:tcW w:w="720" w:type="pct"/>
            <w:vAlign w:val="center"/>
          </w:tcPr>
          <w:p w14:paraId="6599EEE7">
            <w:pPr>
              <w:pStyle w:val="69"/>
              <w:adjustRightInd w:val="0"/>
              <w:rPr>
                <w:rFonts w:hint="eastAsia"/>
                <w:color w:val="auto"/>
              </w:rPr>
            </w:pPr>
            <w:r>
              <w:rPr>
                <w:rFonts w:hint="eastAsia"/>
                <w:color w:val="auto"/>
              </w:rPr>
              <w:t>硫酸雾：</w:t>
            </w:r>
            <w:r>
              <w:rPr>
                <w:rFonts w:hint="eastAsia"/>
                <w:color w:val="auto"/>
                <w:lang w:val="en-US" w:eastAsia="zh-CN"/>
              </w:rPr>
              <w:t>1</w:t>
            </w:r>
            <w:r>
              <w:rPr>
                <w:color w:val="auto"/>
              </w:rPr>
              <w:t>0mg/m</w:t>
            </w:r>
            <w:r>
              <w:rPr>
                <w:color w:val="auto"/>
                <w:vertAlign w:val="superscript"/>
              </w:rPr>
              <w:t>3</w:t>
            </w:r>
          </w:p>
        </w:tc>
        <w:tc>
          <w:tcPr>
            <w:tcW w:w="379" w:type="pct"/>
            <w:vAlign w:val="center"/>
          </w:tcPr>
          <w:p w14:paraId="4B2FB81F">
            <w:pPr>
              <w:pStyle w:val="69"/>
              <w:adjustRightInd w:val="0"/>
              <w:rPr>
                <w:color w:val="auto"/>
              </w:rPr>
            </w:pPr>
            <w:r>
              <w:rPr>
                <w:rFonts w:hint="eastAsia"/>
                <w:color w:val="auto"/>
                <w:lang w:val="en-US" w:eastAsia="zh-CN"/>
              </w:rPr>
              <w:t>90%</w:t>
            </w:r>
          </w:p>
        </w:tc>
        <w:tc>
          <w:tcPr>
            <w:tcW w:w="255" w:type="pct"/>
            <w:vMerge w:val="restart"/>
            <w:shd w:val="clear" w:color="auto" w:fill="auto"/>
            <w:vAlign w:val="center"/>
          </w:tcPr>
          <w:p w14:paraId="1631EFCC">
            <w:pPr>
              <w:pStyle w:val="69"/>
              <w:adjustRightInd w:val="0"/>
              <w:ind w:firstLine="0" w:firstLineChars="0"/>
              <w:rPr>
                <w:rFonts w:ascii="Times New Roman" w:hAnsi="Times New Roman" w:eastAsia="宋体" w:cs="Times New Roman"/>
                <w:color w:val="auto"/>
                <w:kern w:val="2"/>
                <w:sz w:val="21"/>
                <w:szCs w:val="21"/>
                <w:lang w:val="zh-CN" w:eastAsia="zh-CN" w:bidi="ar-SA"/>
              </w:rPr>
            </w:pPr>
            <w:r>
              <w:rPr>
                <w:color w:val="auto"/>
              </w:rPr>
              <w:t>1</w:t>
            </w:r>
            <w:r>
              <w:rPr>
                <w:rFonts w:hint="eastAsia"/>
                <w:color w:val="auto"/>
                <w:lang w:eastAsia="zh-CN"/>
              </w:rPr>
              <w:t>5</w:t>
            </w:r>
            <w:r>
              <w:rPr>
                <w:rFonts w:hint="eastAsia"/>
                <w:color w:val="auto"/>
              </w:rPr>
              <w:t>m</w:t>
            </w:r>
          </w:p>
        </w:tc>
        <w:tc>
          <w:tcPr>
            <w:tcW w:w="299" w:type="pct"/>
            <w:vMerge w:val="restart"/>
            <w:shd w:val="clear" w:color="auto" w:fill="auto"/>
            <w:vAlign w:val="center"/>
          </w:tcPr>
          <w:p w14:paraId="166B654E">
            <w:pPr>
              <w:pStyle w:val="69"/>
              <w:adjustRightInd w:val="0"/>
              <w:ind w:firstLine="0" w:firstLineChars="0"/>
              <w:rPr>
                <w:rFonts w:hint="eastAsia" w:ascii="Times New Roman" w:hAnsi="Times New Roman" w:eastAsia="宋体" w:cs="Times New Roman"/>
                <w:color w:val="auto"/>
                <w:kern w:val="2"/>
                <w:sz w:val="21"/>
                <w:szCs w:val="21"/>
                <w:lang w:val="zh-CN" w:eastAsia="zh-CN" w:bidi="ar-SA"/>
              </w:rPr>
            </w:pPr>
            <w:r>
              <w:rPr>
                <w:rFonts w:hint="eastAsia"/>
                <w:color w:val="auto"/>
              </w:rPr>
              <w:t>Φ</w:t>
            </w:r>
            <w:r>
              <w:rPr>
                <w:rFonts w:hint="eastAsia"/>
                <w:color w:val="auto"/>
                <w:lang w:val="en-US" w:eastAsia="zh-CN"/>
              </w:rPr>
              <w:t>25</w:t>
            </w:r>
            <w:r>
              <w:rPr>
                <w:rFonts w:hint="eastAsia"/>
                <w:color w:val="auto"/>
              </w:rPr>
              <w:t>cm</w:t>
            </w:r>
          </w:p>
        </w:tc>
        <w:tc>
          <w:tcPr>
            <w:tcW w:w="416" w:type="pct"/>
            <w:vMerge w:val="restart"/>
            <w:shd w:val="clear" w:color="auto" w:fill="auto"/>
            <w:vAlign w:val="center"/>
          </w:tcPr>
          <w:p w14:paraId="3ED3731D">
            <w:pPr>
              <w:pStyle w:val="69"/>
              <w:adjustRightInd w:val="0"/>
              <w:ind w:firstLine="0" w:firstLineChars="0"/>
              <w:rPr>
                <w:rFonts w:hint="eastAsia" w:ascii="Times New Roman" w:hAnsi="Times New Roman" w:eastAsia="宋体" w:cs="Times New Roman"/>
                <w:color w:val="auto"/>
                <w:kern w:val="2"/>
                <w:sz w:val="21"/>
                <w:szCs w:val="21"/>
                <w:lang w:val="zh-CN" w:eastAsia="zh-CN" w:bidi="ar-SA"/>
              </w:rPr>
            </w:pPr>
            <w:r>
              <w:rPr>
                <w:rFonts w:hint="eastAsia"/>
                <w:color w:val="auto"/>
              </w:rPr>
              <w:t>处理设施进口、出口</w:t>
            </w:r>
          </w:p>
        </w:tc>
        <w:tc>
          <w:tcPr>
            <w:tcW w:w="197" w:type="pct"/>
            <w:vMerge w:val="restart"/>
            <w:shd w:val="clear" w:color="auto" w:fill="auto"/>
            <w:vAlign w:val="center"/>
          </w:tcPr>
          <w:p w14:paraId="21548768">
            <w:pPr>
              <w:pStyle w:val="69"/>
              <w:adjustRightInd w:val="0"/>
              <w:ind w:firstLine="0" w:firstLineChars="0"/>
              <w:rPr>
                <w:rFonts w:hint="eastAsia" w:ascii="Times New Roman" w:hAnsi="Times New Roman" w:eastAsia="宋体" w:cs="Times New Roman"/>
                <w:color w:val="auto"/>
                <w:kern w:val="2"/>
                <w:sz w:val="21"/>
                <w:szCs w:val="21"/>
                <w:lang w:val="zh-CN" w:eastAsia="zh-CN" w:bidi="ar-SA"/>
              </w:rPr>
            </w:pPr>
            <w:r>
              <w:rPr>
                <w:rFonts w:hint="eastAsia"/>
                <w:color w:val="auto"/>
              </w:rPr>
              <w:t>大气</w:t>
            </w:r>
          </w:p>
        </w:tc>
      </w:tr>
      <w:tr w14:paraId="0CA9D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54" w:type="pct"/>
            <w:vAlign w:val="center"/>
          </w:tcPr>
          <w:p w14:paraId="640ADDF6">
            <w:pPr>
              <w:pStyle w:val="53"/>
              <w:ind w:firstLine="0" w:firstLineChars="0"/>
              <w:rPr>
                <w:rFonts w:hint="eastAsia"/>
                <w:color w:val="FF0000"/>
                <w:lang w:eastAsia="zh-CN"/>
              </w:rPr>
            </w:pPr>
            <w:r>
              <w:rPr>
                <w:rFonts w:ascii="Times New Roman" w:hAnsi="Times New Roman" w:eastAsia="宋体" w:cs="Times New Roman"/>
              </w:rPr>
              <w:t>槽液调配</w:t>
            </w:r>
          </w:p>
        </w:tc>
        <w:tc>
          <w:tcPr>
            <w:tcW w:w="334" w:type="pct"/>
            <w:vMerge w:val="continue"/>
            <w:vAlign w:val="center"/>
          </w:tcPr>
          <w:p w14:paraId="2C9B4B86">
            <w:pPr>
              <w:pStyle w:val="53"/>
              <w:ind w:firstLine="0" w:firstLineChars="0"/>
              <w:rPr>
                <w:rFonts w:hint="eastAsia"/>
                <w:color w:val="FF0000"/>
                <w:lang w:eastAsia="zh-CN"/>
              </w:rPr>
            </w:pPr>
          </w:p>
        </w:tc>
        <w:tc>
          <w:tcPr>
            <w:tcW w:w="396" w:type="pct"/>
            <w:shd w:val="clear" w:color="auto" w:fill="auto"/>
            <w:vAlign w:val="center"/>
          </w:tcPr>
          <w:p w14:paraId="37CB78EE">
            <w:pPr>
              <w:pStyle w:val="53"/>
              <w:ind w:firstLine="0" w:firstLineChars="0"/>
              <w:rPr>
                <w:rFonts w:hint="eastAsia" w:ascii="Times New Roman" w:hAnsi="Times New Roman" w:eastAsia="宋体" w:cs="Times New Roman"/>
                <w:color w:val="FF0000"/>
                <w:sz w:val="21"/>
                <w:szCs w:val="21"/>
                <w:lang w:val="en-US" w:eastAsia="zh-CN" w:bidi="ar-SA"/>
              </w:rPr>
            </w:pPr>
            <w:r>
              <w:rPr>
                <w:rFonts w:ascii="Times New Roman" w:hAnsi="Times New Roman" w:eastAsia="宋体" w:cs="Times New Roman"/>
              </w:rPr>
              <w:t>硫酸雾</w:t>
            </w:r>
          </w:p>
        </w:tc>
        <w:tc>
          <w:tcPr>
            <w:tcW w:w="402" w:type="pct"/>
            <w:vMerge w:val="continue"/>
            <w:vAlign w:val="center"/>
          </w:tcPr>
          <w:p w14:paraId="08C0803F">
            <w:pPr>
              <w:pStyle w:val="69"/>
              <w:adjustRightInd w:val="0"/>
              <w:rPr>
                <w:rFonts w:hint="eastAsia"/>
                <w:color w:val="auto"/>
              </w:rPr>
            </w:pPr>
          </w:p>
        </w:tc>
        <w:tc>
          <w:tcPr>
            <w:tcW w:w="495" w:type="pct"/>
            <w:vAlign w:val="center"/>
          </w:tcPr>
          <w:p w14:paraId="2A4125E1">
            <w:pPr>
              <w:widowControl/>
              <w:spacing w:line="240" w:lineRule="auto"/>
              <w:ind w:firstLine="0" w:firstLineChars="0"/>
              <w:jc w:val="center"/>
              <w:rPr>
                <w:rFonts w:hint="eastAsia"/>
                <w:color w:val="auto"/>
                <w:u w:val="none"/>
                <w:lang w:eastAsia="zh-CN"/>
              </w:rPr>
            </w:pPr>
            <w:r>
              <w:rPr>
                <w:rFonts w:hint="eastAsia" w:eastAsiaTheme="minorEastAsia"/>
                <w:color w:val="auto"/>
                <w:kern w:val="2"/>
                <w:sz w:val="21"/>
                <w:szCs w:val="21"/>
                <w:u w:val="none"/>
              </w:rPr>
              <w:t>密闭负压收集</w:t>
            </w:r>
          </w:p>
        </w:tc>
        <w:tc>
          <w:tcPr>
            <w:tcW w:w="549" w:type="pct"/>
            <w:vMerge w:val="continue"/>
            <w:vAlign w:val="center"/>
          </w:tcPr>
          <w:p w14:paraId="744EBEB8">
            <w:pPr>
              <w:pStyle w:val="69"/>
              <w:adjustRightInd w:val="0"/>
              <w:rPr>
                <w:rFonts w:hint="eastAsia" w:ascii="Times New Roman" w:hAnsi="Times New Roman" w:eastAsia="宋体" w:cs="Times New Roman"/>
                <w:szCs w:val="21"/>
              </w:rPr>
            </w:pPr>
          </w:p>
        </w:tc>
        <w:tc>
          <w:tcPr>
            <w:tcW w:w="720" w:type="pct"/>
            <w:vAlign w:val="center"/>
          </w:tcPr>
          <w:p w14:paraId="443B9FCF">
            <w:pPr>
              <w:pStyle w:val="69"/>
              <w:adjustRightInd w:val="0"/>
              <w:rPr>
                <w:rFonts w:hint="eastAsia"/>
                <w:color w:val="auto"/>
              </w:rPr>
            </w:pPr>
            <w:r>
              <w:rPr>
                <w:rFonts w:hint="eastAsia"/>
                <w:color w:val="auto"/>
              </w:rPr>
              <w:t>硫酸雾：</w:t>
            </w:r>
            <w:r>
              <w:rPr>
                <w:rFonts w:hint="eastAsia"/>
                <w:color w:val="auto"/>
                <w:lang w:val="en-US" w:eastAsia="zh-CN"/>
              </w:rPr>
              <w:t>1</w:t>
            </w:r>
            <w:r>
              <w:rPr>
                <w:color w:val="auto"/>
              </w:rPr>
              <w:t>0mg/m</w:t>
            </w:r>
            <w:r>
              <w:rPr>
                <w:color w:val="auto"/>
                <w:vertAlign w:val="superscript"/>
              </w:rPr>
              <w:t>3</w:t>
            </w:r>
          </w:p>
        </w:tc>
        <w:tc>
          <w:tcPr>
            <w:tcW w:w="379" w:type="pct"/>
            <w:vAlign w:val="center"/>
          </w:tcPr>
          <w:p w14:paraId="304FE766">
            <w:pPr>
              <w:pStyle w:val="69"/>
              <w:adjustRightInd w:val="0"/>
              <w:rPr>
                <w:color w:val="auto"/>
              </w:rPr>
            </w:pPr>
            <w:r>
              <w:rPr>
                <w:rFonts w:hint="eastAsia"/>
                <w:color w:val="auto"/>
                <w:lang w:val="en-US" w:eastAsia="zh-CN"/>
              </w:rPr>
              <w:t>90%</w:t>
            </w:r>
          </w:p>
        </w:tc>
        <w:tc>
          <w:tcPr>
            <w:tcW w:w="255" w:type="pct"/>
            <w:vMerge w:val="continue"/>
            <w:vAlign w:val="center"/>
          </w:tcPr>
          <w:p w14:paraId="567F435B">
            <w:pPr>
              <w:pStyle w:val="69"/>
              <w:adjustRightInd w:val="0"/>
              <w:rPr>
                <w:color w:val="auto"/>
              </w:rPr>
            </w:pPr>
          </w:p>
        </w:tc>
        <w:tc>
          <w:tcPr>
            <w:tcW w:w="299" w:type="pct"/>
            <w:vMerge w:val="continue"/>
            <w:vAlign w:val="center"/>
          </w:tcPr>
          <w:p w14:paraId="67678878">
            <w:pPr>
              <w:pStyle w:val="69"/>
              <w:adjustRightInd w:val="0"/>
              <w:rPr>
                <w:rFonts w:hint="eastAsia"/>
                <w:color w:val="auto"/>
              </w:rPr>
            </w:pPr>
          </w:p>
        </w:tc>
        <w:tc>
          <w:tcPr>
            <w:tcW w:w="416" w:type="pct"/>
            <w:vMerge w:val="continue"/>
            <w:vAlign w:val="center"/>
          </w:tcPr>
          <w:p w14:paraId="11CBA0E2">
            <w:pPr>
              <w:pStyle w:val="69"/>
              <w:adjustRightInd w:val="0"/>
              <w:rPr>
                <w:rFonts w:hint="eastAsia"/>
                <w:color w:val="auto"/>
              </w:rPr>
            </w:pPr>
          </w:p>
        </w:tc>
        <w:tc>
          <w:tcPr>
            <w:tcW w:w="197" w:type="pct"/>
            <w:vMerge w:val="continue"/>
            <w:vAlign w:val="center"/>
          </w:tcPr>
          <w:p w14:paraId="43840BE0">
            <w:pPr>
              <w:pStyle w:val="69"/>
              <w:adjustRightInd w:val="0"/>
              <w:rPr>
                <w:rFonts w:hint="eastAsia"/>
                <w:color w:val="auto"/>
              </w:rPr>
            </w:pPr>
          </w:p>
        </w:tc>
      </w:tr>
      <w:tr w14:paraId="63DB7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54" w:type="pct"/>
            <w:vAlign w:val="center"/>
          </w:tcPr>
          <w:p w14:paraId="49EF3446">
            <w:pPr>
              <w:pStyle w:val="53"/>
              <w:ind w:firstLine="0" w:firstLineChars="0"/>
              <w:rPr>
                <w:rFonts w:hint="eastAsia"/>
                <w:color w:val="FF0000"/>
                <w:lang w:eastAsia="zh-CN"/>
              </w:rPr>
            </w:pPr>
            <w:r>
              <w:rPr>
                <w:rFonts w:ascii="Times New Roman" w:hAnsi="Times New Roman" w:eastAsia="宋体" w:cs="Times New Roman"/>
              </w:rPr>
              <w:t>活化</w:t>
            </w:r>
          </w:p>
        </w:tc>
        <w:tc>
          <w:tcPr>
            <w:tcW w:w="334" w:type="pct"/>
            <w:vMerge w:val="restart"/>
            <w:shd w:val="clear" w:color="auto" w:fill="auto"/>
            <w:vAlign w:val="center"/>
          </w:tcPr>
          <w:p w14:paraId="1B0503CA">
            <w:pPr>
              <w:pStyle w:val="53"/>
              <w:ind w:firstLine="0" w:firstLineChars="0"/>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lang w:val="en-US" w:eastAsia="zh-CN"/>
              </w:rPr>
              <w:t>3</w:t>
            </w:r>
            <w:r>
              <w:rPr>
                <w:rFonts w:ascii="Times New Roman" w:hAnsi="Times New Roman" w:eastAsia="宋体" w:cs="Times New Roman"/>
              </w:rPr>
              <w:t>#钢带</w:t>
            </w:r>
          </w:p>
        </w:tc>
        <w:tc>
          <w:tcPr>
            <w:tcW w:w="396" w:type="pct"/>
            <w:shd w:val="clear" w:color="auto" w:fill="auto"/>
            <w:vAlign w:val="center"/>
          </w:tcPr>
          <w:p w14:paraId="4F97D0DC">
            <w:pPr>
              <w:pStyle w:val="53"/>
              <w:ind w:firstLine="0" w:firstLineChars="0"/>
              <w:rPr>
                <w:rFonts w:hint="eastAsia" w:ascii="Times New Roman" w:hAnsi="Times New Roman" w:eastAsia="宋体" w:cs="Times New Roman"/>
                <w:color w:val="FF0000"/>
                <w:sz w:val="21"/>
                <w:szCs w:val="21"/>
                <w:lang w:val="en-US" w:eastAsia="zh-CN" w:bidi="ar-SA"/>
              </w:rPr>
            </w:pPr>
            <w:r>
              <w:rPr>
                <w:rFonts w:ascii="Times New Roman" w:hAnsi="Times New Roman" w:eastAsia="宋体" w:cs="Times New Roman"/>
              </w:rPr>
              <w:t>硫酸雾</w:t>
            </w:r>
          </w:p>
        </w:tc>
        <w:tc>
          <w:tcPr>
            <w:tcW w:w="402" w:type="pct"/>
            <w:vMerge w:val="restart"/>
            <w:vAlign w:val="center"/>
          </w:tcPr>
          <w:p w14:paraId="49E89DE8">
            <w:pPr>
              <w:pStyle w:val="69"/>
              <w:adjustRightInd w:val="0"/>
              <w:rPr>
                <w:rFonts w:hint="eastAsia"/>
                <w:color w:val="auto"/>
              </w:rPr>
            </w:pPr>
            <w:r>
              <w:rPr>
                <w:rFonts w:hint="eastAsia"/>
                <w:color w:val="auto"/>
              </w:rPr>
              <w:t>间断、有规律</w:t>
            </w:r>
          </w:p>
        </w:tc>
        <w:tc>
          <w:tcPr>
            <w:tcW w:w="495" w:type="pct"/>
            <w:vAlign w:val="center"/>
          </w:tcPr>
          <w:p w14:paraId="141F84B5">
            <w:pPr>
              <w:pStyle w:val="53"/>
              <w:ind w:firstLine="0" w:firstLineChars="0"/>
              <w:rPr>
                <w:rFonts w:hint="eastAsia"/>
                <w:color w:val="auto"/>
                <w:u w:val="none"/>
                <w:lang w:eastAsia="zh-CN"/>
              </w:rPr>
            </w:pPr>
            <w:r>
              <w:rPr>
                <w:rFonts w:hint="eastAsia"/>
                <w:color w:val="auto"/>
                <w:u w:val="none"/>
              </w:rPr>
              <w:t>封闭生产线</w:t>
            </w:r>
            <w:r>
              <w:rPr>
                <w:color w:val="auto"/>
                <w:u w:val="none"/>
              </w:rPr>
              <w:t>+</w:t>
            </w:r>
            <w:r>
              <w:rPr>
                <w:rFonts w:hint="eastAsia"/>
                <w:color w:val="auto"/>
                <w:u w:val="none"/>
              </w:rPr>
              <w:t>槽上方抽风</w:t>
            </w:r>
            <w:r>
              <w:rPr>
                <w:bCs/>
                <w:color w:val="auto"/>
                <w:u w:val="none"/>
              </w:rPr>
              <w:t>+</w:t>
            </w:r>
            <w:r>
              <w:rPr>
                <w:rFonts w:hint="eastAsia"/>
                <w:bCs/>
                <w:color w:val="auto"/>
                <w:u w:val="none"/>
              </w:rPr>
              <w:t>槽边抽风收集</w:t>
            </w:r>
          </w:p>
        </w:tc>
        <w:tc>
          <w:tcPr>
            <w:tcW w:w="549" w:type="pct"/>
            <w:vMerge w:val="restart"/>
            <w:vAlign w:val="center"/>
          </w:tcPr>
          <w:p w14:paraId="35180957">
            <w:pPr>
              <w:pStyle w:val="69"/>
              <w:adjustRightInd w:val="0"/>
              <w:rPr>
                <w:rFonts w:hint="eastAsia" w:ascii="Times New Roman" w:hAnsi="Times New Roman" w:eastAsia="宋体" w:cs="Times New Roman"/>
                <w:szCs w:val="21"/>
              </w:rPr>
            </w:pPr>
            <w:r>
              <w:rPr>
                <w:rFonts w:ascii="Times New Roman" w:hAnsi="Times New Roman" w:eastAsia="宋体" w:cs="Times New Roman"/>
                <w:szCs w:val="21"/>
              </w:rPr>
              <w:t>两级酸雾吸收塔+15m排气筒DA00</w:t>
            </w:r>
            <w:r>
              <w:rPr>
                <w:rFonts w:hint="eastAsia" w:ascii="Times New Roman" w:hAnsi="Times New Roman" w:eastAsia="宋体" w:cs="Times New Roman"/>
                <w:szCs w:val="21"/>
                <w:lang w:val="en-US" w:eastAsia="zh-CN"/>
              </w:rPr>
              <w:t>5</w:t>
            </w:r>
          </w:p>
        </w:tc>
        <w:tc>
          <w:tcPr>
            <w:tcW w:w="720" w:type="pct"/>
            <w:vAlign w:val="center"/>
          </w:tcPr>
          <w:p w14:paraId="63FE9732">
            <w:pPr>
              <w:pStyle w:val="69"/>
              <w:adjustRightInd w:val="0"/>
              <w:rPr>
                <w:rFonts w:hint="eastAsia"/>
                <w:color w:val="auto"/>
              </w:rPr>
            </w:pPr>
            <w:r>
              <w:rPr>
                <w:rFonts w:hint="eastAsia"/>
                <w:color w:val="auto"/>
              </w:rPr>
              <w:t>硫酸雾：</w:t>
            </w:r>
            <w:r>
              <w:rPr>
                <w:rFonts w:hint="eastAsia"/>
                <w:color w:val="auto"/>
                <w:lang w:val="en-US" w:eastAsia="zh-CN"/>
              </w:rPr>
              <w:t>1</w:t>
            </w:r>
            <w:r>
              <w:rPr>
                <w:color w:val="auto"/>
              </w:rPr>
              <w:t>0mg/m</w:t>
            </w:r>
            <w:r>
              <w:rPr>
                <w:color w:val="auto"/>
                <w:vertAlign w:val="superscript"/>
              </w:rPr>
              <w:t>3</w:t>
            </w:r>
          </w:p>
        </w:tc>
        <w:tc>
          <w:tcPr>
            <w:tcW w:w="379" w:type="pct"/>
            <w:vAlign w:val="center"/>
          </w:tcPr>
          <w:p w14:paraId="017D47B8">
            <w:pPr>
              <w:pStyle w:val="69"/>
              <w:adjustRightInd w:val="0"/>
              <w:rPr>
                <w:color w:val="auto"/>
              </w:rPr>
            </w:pPr>
            <w:r>
              <w:rPr>
                <w:rFonts w:hint="eastAsia"/>
                <w:color w:val="auto"/>
                <w:lang w:val="en-US" w:eastAsia="zh-CN"/>
              </w:rPr>
              <w:t>90%</w:t>
            </w:r>
          </w:p>
        </w:tc>
        <w:tc>
          <w:tcPr>
            <w:tcW w:w="255" w:type="pct"/>
            <w:vMerge w:val="restart"/>
            <w:shd w:val="clear" w:color="auto" w:fill="auto"/>
            <w:vAlign w:val="center"/>
          </w:tcPr>
          <w:p w14:paraId="79A83F50">
            <w:pPr>
              <w:pStyle w:val="69"/>
              <w:adjustRightInd w:val="0"/>
              <w:ind w:firstLine="0" w:firstLineChars="0"/>
              <w:rPr>
                <w:rFonts w:ascii="Times New Roman" w:hAnsi="Times New Roman" w:eastAsia="宋体" w:cs="Times New Roman"/>
                <w:color w:val="auto"/>
                <w:kern w:val="2"/>
                <w:sz w:val="21"/>
                <w:szCs w:val="21"/>
                <w:lang w:val="zh-CN" w:eastAsia="zh-CN" w:bidi="ar-SA"/>
              </w:rPr>
            </w:pPr>
            <w:r>
              <w:rPr>
                <w:color w:val="auto"/>
              </w:rPr>
              <w:t>1</w:t>
            </w:r>
            <w:r>
              <w:rPr>
                <w:rFonts w:hint="eastAsia"/>
                <w:color w:val="auto"/>
                <w:lang w:eastAsia="zh-CN"/>
              </w:rPr>
              <w:t>5</w:t>
            </w:r>
            <w:r>
              <w:rPr>
                <w:rFonts w:hint="eastAsia"/>
                <w:color w:val="auto"/>
              </w:rPr>
              <w:t>m</w:t>
            </w:r>
          </w:p>
        </w:tc>
        <w:tc>
          <w:tcPr>
            <w:tcW w:w="299" w:type="pct"/>
            <w:vMerge w:val="restart"/>
            <w:shd w:val="clear" w:color="auto" w:fill="auto"/>
            <w:vAlign w:val="center"/>
          </w:tcPr>
          <w:p w14:paraId="3B9414FE">
            <w:pPr>
              <w:pStyle w:val="69"/>
              <w:adjustRightInd w:val="0"/>
              <w:ind w:firstLine="0" w:firstLineChars="0"/>
              <w:rPr>
                <w:rFonts w:hint="eastAsia" w:ascii="Times New Roman" w:hAnsi="Times New Roman" w:eastAsia="宋体" w:cs="Times New Roman"/>
                <w:color w:val="auto"/>
                <w:kern w:val="2"/>
                <w:sz w:val="21"/>
                <w:szCs w:val="21"/>
                <w:lang w:val="zh-CN" w:eastAsia="zh-CN" w:bidi="ar-SA"/>
              </w:rPr>
            </w:pPr>
            <w:r>
              <w:rPr>
                <w:rFonts w:hint="eastAsia"/>
                <w:color w:val="auto"/>
              </w:rPr>
              <w:t>Φ</w:t>
            </w:r>
            <w:r>
              <w:rPr>
                <w:rFonts w:hint="eastAsia"/>
                <w:color w:val="auto"/>
                <w:lang w:val="en-US" w:eastAsia="zh-CN"/>
              </w:rPr>
              <w:t>3</w:t>
            </w:r>
            <w:r>
              <w:rPr>
                <w:color w:val="auto"/>
              </w:rPr>
              <w:t>0</w:t>
            </w:r>
            <w:r>
              <w:rPr>
                <w:rFonts w:hint="eastAsia"/>
                <w:color w:val="auto"/>
              </w:rPr>
              <w:t>cm</w:t>
            </w:r>
          </w:p>
        </w:tc>
        <w:tc>
          <w:tcPr>
            <w:tcW w:w="416" w:type="pct"/>
            <w:vMerge w:val="restart"/>
            <w:shd w:val="clear" w:color="auto" w:fill="auto"/>
            <w:vAlign w:val="center"/>
          </w:tcPr>
          <w:p w14:paraId="3DF5A477">
            <w:pPr>
              <w:pStyle w:val="69"/>
              <w:adjustRightInd w:val="0"/>
              <w:ind w:firstLine="0" w:firstLineChars="0"/>
              <w:rPr>
                <w:rFonts w:hint="eastAsia" w:ascii="Times New Roman" w:hAnsi="Times New Roman" w:eastAsia="宋体" w:cs="Times New Roman"/>
                <w:color w:val="auto"/>
                <w:kern w:val="2"/>
                <w:sz w:val="21"/>
                <w:szCs w:val="21"/>
                <w:lang w:val="zh-CN" w:eastAsia="zh-CN" w:bidi="ar-SA"/>
              </w:rPr>
            </w:pPr>
            <w:r>
              <w:rPr>
                <w:rFonts w:hint="eastAsia"/>
                <w:color w:val="auto"/>
              </w:rPr>
              <w:t>处理设施进口、出口</w:t>
            </w:r>
          </w:p>
        </w:tc>
        <w:tc>
          <w:tcPr>
            <w:tcW w:w="197" w:type="pct"/>
            <w:vMerge w:val="restart"/>
            <w:shd w:val="clear" w:color="auto" w:fill="auto"/>
            <w:vAlign w:val="center"/>
          </w:tcPr>
          <w:p w14:paraId="4B26F958">
            <w:pPr>
              <w:pStyle w:val="69"/>
              <w:adjustRightInd w:val="0"/>
              <w:ind w:firstLine="0" w:firstLineChars="0"/>
              <w:rPr>
                <w:rFonts w:hint="eastAsia" w:ascii="Times New Roman" w:hAnsi="Times New Roman" w:eastAsia="宋体" w:cs="Times New Roman"/>
                <w:color w:val="auto"/>
                <w:kern w:val="2"/>
                <w:sz w:val="21"/>
                <w:szCs w:val="21"/>
                <w:lang w:val="zh-CN" w:eastAsia="zh-CN" w:bidi="ar-SA"/>
              </w:rPr>
            </w:pPr>
            <w:r>
              <w:rPr>
                <w:rFonts w:hint="eastAsia"/>
                <w:color w:val="auto"/>
              </w:rPr>
              <w:t>大气</w:t>
            </w:r>
          </w:p>
        </w:tc>
      </w:tr>
      <w:tr w14:paraId="61C21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54" w:type="pct"/>
            <w:vAlign w:val="center"/>
          </w:tcPr>
          <w:p w14:paraId="5FBC4D47">
            <w:pPr>
              <w:pStyle w:val="53"/>
              <w:ind w:firstLine="0" w:firstLineChars="0"/>
              <w:rPr>
                <w:rFonts w:hint="eastAsia"/>
                <w:color w:val="FF0000"/>
                <w:lang w:eastAsia="zh-CN"/>
              </w:rPr>
            </w:pPr>
            <w:r>
              <w:rPr>
                <w:rFonts w:ascii="Times New Roman" w:hAnsi="Times New Roman" w:eastAsia="宋体" w:cs="Times New Roman"/>
              </w:rPr>
              <w:t>槽液调配</w:t>
            </w:r>
          </w:p>
        </w:tc>
        <w:tc>
          <w:tcPr>
            <w:tcW w:w="334" w:type="pct"/>
            <w:vMerge w:val="continue"/>
            <w:vAlign w:val="center"/>
          </w:tcPr>
          <w:p w14:paraId="487007A6">
            <w:pPr>
              <w:pStyle w:val="53"/>
              <w:ind w:firstLine="0" w:firstLineChars="0"/>
              <w:rPr>
                <w:rFonts w:hint="eastAsia"/>
                <w:color w:val="FF0000"/>
                <w:lang w:eastAsia="zh-CN"/>
              </w:rPr>
            </w:pPr>
          </w:p>
        </w:tc>
        <w:tc>
          <w:tcPr>
            <w:tcW w:w="396" w:type="pct"/>
            <w:shd w:val="clear" w:color="auto" w:fill="auto"/>
            <w:vAlign w:val="center"/>
          </w:tcPr>
          <w:p w14:paraId="58BFFE79">
            <w:pPr>
              <w:pStyle w:val="53"/>
              <w:ind w:firstLine="0" w:firstLineChars="0"/>
              <w:rPr>
                <w:rFonts w:hint="eastAsia" w:ascii="Times New Roman" w:hAnsi="Times New Roman" w:eastAsia="宋体" w:cs="Times New Roman"/>
                <w:color w:val="FF0000"/>
                <w:sz w:val="21"/>
                <w:szCs w:val="21"/>
                <w:lang w:val="en-US" w:eastAsia="zh-CN" w:bidi="ar-SA"/>
              </w:rPr>
            </w:pPr>
            <w:r>
              <w:rPr>
                <w:rFonts w:ascii="Times New Roman" w:hAnsi="Times New Roman" w:eastAsia="宋体" w:cs="Times New Roman"/>
              </w:rPr>
              <w:t>硫酸雾</w:t>
            </w:r>
          </w:p>
        </w:tc>
        <w:tc>
          <w:tcPr>
            <w:tcW w:w="402" w:type="pct"/>
            <w:vMerge w:val="continue"/>
            <w:vAlign w:val="center"/>
          </w:tcPr>
          <w:p w14:paraId="1159E319">
            <w:pPr>
              <w:pStyle w:val="69"/>
              <w:adjustRightInd w:val="0"/>
              <w:rPr>
                <w:rFonts w:hint="eastAsia"/>
                <w:color w:val="auto"/>
              </w:rPr>
            </w:pPr>
          </w:p>
        </w:tc>
        <w:tc>
          <w:tcPr>
            <w:tcW w:w="495" w:type="pct"/>
            <w:vAlign w:val="center"/>
          </w:tcPr>
          <w:p w14:paraId="2D0C70B7">
            <w:pPr>
              <w:widowControl/>
              <w:spacing w:line="240" w:lineRule="auto"/>
              <w:ind w:firstLine="0" w:firstLineChars="0"/>
              <w:jc w:val="center"/>
              <w:rPr>
                <w:rFonts w:hint="eastAsia"/>
                <w:color w:val="auto"/>
                <w:u w:val="none"/>
                <w:lang w:eastAsia="zh-CN"/>
              </w:rPr>
            </w:pPr>
            <w:r>
              <w:rPr>
                <w:rFonts w:hint="eastAsia" w:eastAsiaTheme="minorEastAsia"/>
                <w:color w:val="auto"/>
                <w:kern w:val="2"/>
                <w:sz w:val="21"/>
                <w:szCs w:val="21"/>
                <w:u w:val="none"/>
              </w:rPr>
              <w:t>密闭负压收集</w:t>
            </w:r>
          </w:p>
        </w:tc>
        <w:tc>
          <w:tcPr>
            <w:tcW w:w="549" w:type="pct"/>
            <w:vMerge w:val="continue"/>
            <w:vAlign w:val="center"/>
          </w:tcPr>
          <w:p w14:paraId="3BFD2852">
            <w:pPr>
              <w:pStyle w:val="69"/>
              <w:adjustRightInd w:val="0"/>
              <w:rPr>
                <w:rFonts w:hint="eastAsia"/>
                <w:color w:val="FF0000"/>
              </w:rPr>
            </w:pPr>
          </w:p>
        </w:tc>
        <w:tc>
          <w:tcPr>
            <w:tcW w:w="720" w:type="pct"/>
            <w:vAlign w:val="center"/>
          </w:tcPr>
          <w:p w14:paraId="181C5369">
            <w:pPr>
              <w:pStyle w:val="69"/>
              <w:adjustRightInd w:val="0"/>
              <w:rPr>
                <w:rFonts w:hint="eastAsia"/>
                <w:color w:val="auto"/>
              </w:rPr>
            </w:pPr>
            <w:r>
              <w:rPr>
                <w:rFonts w:hint="eastAsia"/>
                <w:color w:val="auto"/>
              </w:rPr>
              <w:t>硫酸雾：</w:t>
            </w:r>
            <w:r>
              <w:rPr>
                <w:rFonts w:hint="eastAsia"/>
                <w:color w:val="auto"/>
                <w:lang w:val="en-US" w:eastAsia="zh-CN"/>
              </w:rPr>
              <w:t>1</w:t>
            </w:r>
            <w:r>
              <w:rPr>
                <w:color w:val="auto"/>
              </w:rPr>
              <w:t>0mg/m</w:t>
            </w:r>
            <w:r>
              <w:rPr>
                <w:color w:val="auto"/>
                <w:vertAlign w:val="superscript"/>
              </w:rPr>
              <w:t>3</w:t>
            </w:r>
          </w:p>
        </w:tc>
        <w:tc>
          <w:tcPr>
            <w:tcW w:w="379" w:type="pct"/>
            <w:vAlign w:val="center"/>
          </w:tcPr>
          <w:p w14:paraId="68F54775">
            <w:pPr>
              <w:pStyle w:val="69"/>
              <w:adjustRightInd w:val="0"/>
              <w:rPr>
                <w:color w:val="auto"/>
              </w:rPr>
            </w:pPr>
            <w:r>
              <w:rPr>
                <w:rFonts w:hint="eastAsia"/>
                <w:color w:val="auto"/>
                <w:lang w:val="en-US" w:eastAsia="zh-CN"/>
              </w:rPr>
              <w:t>90%</w:t>
            </w:r>
          </w:p>
        </w:tc>
        <w:tc>
          <w:tcPr>
            <w:tcW w:w="255" w:type="pct"/>
            <w:vMerge w:val="continue"/>
            <w:vAlign w:val="center"/>
          </w:tcPr>
          <w:p w14:paraId="4B70EB01">
            <w:pPr>
              <w:pStyle w:val="69"/>
              <w:adjustRightInd w:val="0"/>
              <w:rPr>
                <w:color w:val="auto"/>
              </w:rPr>
            </w:pPr>
          </w:p>
        </w:tc>
        <w:tc>
          <w:tcPr>
            <w:tcW w:w="299" w:type="pct"/>
            <w:vMerge w:val="continue"/>
            <w:vAlign w:val="center"/>
          </w:tcPr>
          <w:p w14:paraId="52A3F199">
            <w:pPr>
              <w:pStyle w:val="69"/>
              <w:adjustRightInd w:val="0"/>
              <w:rPr>
                <w:rFonts w:hint="eastAsia"/>
                <w:color w:val="auto"/>
              </w:rPr>
            </w:pPr>
          </w:p>
        </w:tc>
        <w:tc>
          <w:tcPr>
            <w:tcW w:w="416" w:type="pct"/>
            <w:vMerge w:val="continue"/>
            <w:vAlign w:val="center"/>
          </w:tcPr>
          <w:p w14:paraId="6BC1CA4D">
            <w:pPr>
              <w:pStyle w:val="69"/>
              <w:adjustRightInd w:val="0"/>
              <w:rPr>
                <w:rFonts w:hint="eastAsia"/>
                <w:color w:val="auto"/>
              </w:rPr>
            </w:pPr>
          </w:p>
        </w:tc>
        <w:tc>
          <w:tcPr>
            <w:tcW w:w="197" w:type="pct"/>
            <w:vMerge w:val="continue"/>
            <w:vAlign w:val="center"/>
          </w:tcPr>
          <w:p w14:paraId="54DA2494">
            <w:pPr>
              <w:pStyle w:val="69"/>
              <w:adjustRightInd w:val="0"/>
              <w:rPr>
                <w:rFonts w:hint="eastAsia"/>
                <w:color w:val="auto"/>
              </w:rPr>
            </w:pPr>
          </w:p>
        </w:tc>
      </w:tr>
      <w:tr w14:paraId="3ED3B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88" w:type="pct"/>
            <w:gridSpan w:val="2"/>
            <w:vAlign w:val="center"/>
          </w:tcPr>
          <w:p w14:paraId="536EAE2C">
            <w:pPr>
              <w:pStyle w:val="53"/>
              <w:ind w:firstLine="0" w:firstLineChars="0"/>
              <w:rPr>
                <w:rFonts w:hint="eastAsia" w:eastAsia="宋体"/>
                <w:color w:val="FF0000"/>
                <w:lang w:val="en-US" w:eastAsia="zh-CN"/>
              </w:rPr>
            </w:pPr>
            <w:r>
              <w:rPr>
                <w:rFonts w:ascii="Times New Roman" w:hAnsi="Times New Roman" w:eastAsia="宋体" w:cs="Times New Roman"/>
              </w:rPr>
              <w:t>污水处理</w:t>
            </w:r>
            <w:r>
              <w:rPr>
                <w:rFonts w:hint="eastAsia" w:ascii="Times New Roman" w:hAnsi="Times New Roman" w:eastAsia="宋体" w:cs="Times New Roman"/>
                <w:lang w:val="en-US" w:eastAsia="zh-CN"/>
              </w:rPr>
              <w:t>站</w:t>
            </w:r>
          </w:p>
        </w:tc>
        <w:tc>
          <w:tcPr>
            <w:tcW w:w="396" w:type="pct"/>
            <w:shd w:val="clear" w:color="auto" w:fill="auto"/>
            <w:vAlign w:val="center"/>
          </w:tcPr>
          <w:p w14:paraId="38E030AD">
            <w:pPr>
              <w:pStyle w:val="53"/>
              <w:ind w:firstLine="0" w:firstLineChars="0"/>
              <w:rPr>
                <w:rFonts w:ascii="Times New Roman" w:hAnsi="Times New Roman" w:eastAsia="宋体" w:cs="Times New Roman"/>
              </w:rPr>
            </w:pPr>
            <w:r>
              <w:rPr>
                <w:rFonts w:ascii="Times New Roman" w:hAnsi="Times New Roman" w:eastAsia="宋体" w:cs="Times New Roman"/>
                <w:bCs/>
              </w:rPr>
              <w:t>臭气浓度、H</w:t>
            </w:r>
            <w:r>
              <w:rPr>
                <w:rFonts w:ascii="Times New Roman" w:hAnsi="Times New Roman" w:eastAsia="宋体" w:cs="Times New Roman"/>
                <w:bCs/>
                <w:vertAlign w:val="subscript"/>
              </w:rPr>
              <w:t>2</w:t>
            </w:r>
            <w:r>
              <w:rPr>
                <w:rFonts w:ascii="Times New Roman" w:hAnsi="Times New Roman" w:eastAsia="宋体" w:cs="Times New Roman"/>
                <w:bCs/>
              </w:rPr>
              <w:t>S、NH</w:t>
            </w:r>
            <w:r>
              <w:rPr>
                <w:rFonts w:ascii="Times New Roman" w:hAnsi="Times New Roman" w:eastAsia="宋体" w:cs="Times New Roman"/>
                <w:bCs/>
                <w:vertAlign w:val="subscript"/>
              </w:rPr>
              <w:t>3</w:t>
            </w:r>
          </w:p>
        </w:tc>
        <w:tc>
          <w:tcPr>
            <w:tcW w:w="402" w:type="pct"/>
            <w:vAlign w:val="center"/>
          </w:tcPr>
          <w:p w14:paraId="1F1E1067">
            <w:pPr>
              <w:pStyle w:val="69"/>
              <w:adjustRightInd w:val="0"/>
              <w:rPr>
                <w:rFonts w:hint="eastAsia"/>
                <w:color w:val="auto"/>
              </w:rPr>
            </w:pPr>
            <w:r>
              <w:rPr>
                <w:rFonts w:hint="eastAsia"/>
                <w:color w:val="auto"/>
                <w:lang w:val="en-US" w:eastAsia="zh-CN"/>
              </w:rPr>
              <w:t>持续</w:t>
            </w:r>
          </w:p>
        </w:tc>
        <w:tc>
          <w:tcPr>
            <w:tcW w:w="495" w:type="pct"/>
            <w:vAlign w:val="center"/>
          </w:tcPr>
          <w:p w14:paraId="63AFA0DB">
            <w:pPr>
              <w:widowControl/>
              <w:spacing w:line="240" w:lineRule="auto"/>
              <w:ind w:firstLine="0" w:firstLineChars="0"/>
              <w:jc w:val="center"/>
              <w:rPr>
                <w:rFonts w:hint="eastAsia" w:eastAsiaTheme="minorEastAsia"/>
                <w:color w:val="auto"/>
                <w:kern w:val="2"/>
                <w:sz w:val="21"/>
                <w:szCs w:val="21"/>
                <w:u w:val="none"/>
              </w:rPr>
            </w:pPr>
            <w:r>
              <w:rPr>
                <w:rFonts w:hint="eastAsia"/>
                <w:color w:val="auto"/>
                <w:sz w:val="21"/>
                <w:szCs w:val="21"/>
              </w:rPr>
              <w:t>加盖密闭收集</w:t>
            </w:r>
          </w:p>
        </w:tc>
        <w:tc>
          <w:tcPr>
            <w:tcW w:w="549" w:type="pct"/>
            <w:vAlign w:val="center"/>
          </w:tcPr>
          <w:p w14:paraId="7C26FB03">
            <w:pPr>
              <w:pStyle w:val="69"/>
              <w:adjustRightInd w:val="0"/>
              <w:rPr>
                <w:rFonts w:hint="eastAsia"/>
                <w:color w:val="FF0000"/>
              </w:rPr>
            </w:pPr>
            <w:r>
              <w:rPr>
                <w:rFonts w:ascii="Times New Roman" w:hAnsi="Times New Roman" w:eastAsia="宋体" w:cs="Times New Roman"/>
              </w:rPr>
              <w:t>生物除臭塔+15m高排气筒DA00</w:t>
            </w:r>
            <w:r>
              <w:rPr>
                <w:rFonts w:hint="eastAsia" w:ascii="Times New Roman" w:hAnsi="Times New Roman" w:eastAsia="宋体" w:cs="Times New Roman"/>
                <w:lang w:val="en-US" w:eastAsia="zh-CN"/>
              </w:rPr>
              <w:t>7</w:t>
            </w:r>
          </w:p>
        </w:tc>
        <w:tc>
          <w:tcPr>
            <w:tcW w:w="720" w:type="pct"/>
            <w:vAlign w:val="center"/>
          </w:tcPr>
          <w:p w14:paraId="58C5BDC3">
            <w:pPr>
              <w:pStyle w:val="69"/>
              <w:adjustRightInd w:val="0"/>
              <w:rPr>
                <w:rFonts w:hint="eastAsia"/>
                <w:color w:val="auto"/>
              </w:rPr>
            </w:pPr>
            <w:r>
              <w:rPr>
                <w:color w:val="auto"/>
                <w:szCs w:val="24"/>
              </w:rPr>
              <w:t>臭气浓度2000</w:t>
            </w:r>
            <w:r>
              <w:rPr>
                <w:rFonts w:hint="eastAsia"/>
                <w:color w:val="auto"/>
                <w:szCs w:val="24"/>
                <w:lang w:eastAsia="zh-CN"/>
              </w:rPr>
              <w:t>（</w:t>
            </w:r>
            <w:r>
              <w:rPr>
                <w:rFonts w:hint="eastAsia"/>
                <w:color w:val="auto"/>
                <w:szCs w:val="24"/>
                <w:lang w:val="en-US" w:eastAsia="zh-CN"/>
              </w:rPr>
              <w:t>无量纲</w:t>
            </w:r>
            <w:r>
              <w:rPr>
                <w:rFonts w:hint="eastAsia"/>
                <w:color w:val="auto"/>
                <w:szCs w:val="24"/>
                <w:lang w:eastAsia="zh-CN"/>
              </w:rPr>
              <w:t>）；</w:t>
            </w:r>
            <w:r>
              <w:rPr>
                <w:rFonts w:hint="eastAsia"/>
                <w:bCs/>
                <w:color w:val="auto"/>
              </w:rPr>
              <w:t>硫化氢</w:t>
            </w:r>
            <w:r>
              <w:rPr>
                <w:bCs/>
                <w:color w:val="auto"/>
              </w:rPr>
              <w:t>0.33kg/h</w:t>
            </w:r>
            <w:r>
              <w:rPr>
                <w:rFonts w:hint="eastAsia"/>
                <w:bCs/>
                <w:color w:val="auto"/>
                <w:lang w:eastAsia="zh-CN"/>
              </w:rPr>
              <w:t>；</w:t>
            </w:r>
            <w:r>
              <w:rPr>
                <w:rFonts w:hint="eastAsia"/>
                <w:bCs/>
                <w:color w:val="auto"/>
              </w:rPr>
              <w:t>氨</w:t>
            </w:r>
            <w:r>
              <w:rPr>
                <w:bCs/>
                <w:color w:val="auto"/>
              </w:rPr>
              <w:t>4.9kg/h</w:t>
            </w:r>
          </w:p>
        </w:tc>
        <w:tc>
          <w:tcPr>
            <w:tcW w:w="379" w:type="pct"/>
            <w:vAlign w:val="center"/>
          </w:tcPr>
          <w:p w14:paraId="26E6A330">
            <w:pPr>
              <w:pStyle w:val="69"/>
              <w:adjustRightInd w:val="0"/>
              <w:rPr>
                <w:color w:val="auto"/>
              </w:rPr>
            </w:pPr>
            <w:r>
              <w:rPr>
                <w:rFonts w:hint="eastAsia"/>
                <w:color w:val="auto"/>
                <w:lang w:val="en-US" w:eastAsia="zh-CN"/>
              </w:rPr>
              <w:t>90%</w:t>
            </w:r>
          </w:p>
        </w:tc>
        <w:tc>
          <w:tcPr>
            <w:tcW w:w="255" w:type="pct"/>
            <w:vAlign w:val="center"/>
          </w:tcPr>
          <w:p w14:paraId="3CCDA549">
            <w:pPr>
              <w:pStyle w:val="69"/>
              <w:adjustRightInd w:val="0"/>
              <w:ind w:firstLine="0" w:firstLineChars="0"/>
              <w:rPr>
                <w:color w:val="auto"/>
              </w:rPr>
            </w:pPr>
            <w:r>
              <w:rPr>
                <w:color w:val="auto"/>
              </w:rPr>
              <w:t>1</w:t>
            </w:r>
            <w:r>
              <w:rPr>
                <w:rFonts w:hint="eastAsia"/>
                <w:color w:val="auto"/>
                <w:lang w:eastAsia="zh-CN"/>
              </w:rPr>
              <w:t>5</w:t>
            </w:r>
            <w:r>
              <w:rPr>
                <w:rFonts w:hint="eastAsia"/>
                <w:color w:val="auto"/>
              </w:rPr>
              <w:t>m</w:t>
            </w:r>
          </w:p>
        </w:tc>
        <w:tc>
          <w:tcPr>
            <w:tcW w:w="299" w:type="pct"/>
            <w:vAlign w:val="center"/>
          </w:tcPr>
          <w:p w14:paraId="6F6D37F5">
            <w:pPr>
              <w:pStyle w:val="69"/>
              <w:adjustRightInd w:val="0"/>
              <w:ind w:firstLine="0" w:firstLineChars="0"/>
              <w:rPr>
                <w:rFonts w:hint="eastAsia"/>
                <w:color w:val="auto"/>
              </w:rPr>
            </w:pPr>
            <w:r>
              <w:rPr>
                <w:rFonts w:hint="eastAsia"/>
                <w:color w:val="auto"/>
              </w:rPr>
              <w:t>Φ</w:t>
            </w:r>
            <w:r>
              <w:rPr>
                <w:rFonts w:hint="eastAsia"/>
                <w:color w:val="auto"/>
                <w:lang w:val="en-US" w:eastAsia="zh-CN"/>
              </w:rPr>
              <w:t>25</w:t>
            </w:r>
            <w:r>
              <w:rPr>
                <w:rFonts w:hint="eastAsia"/>
                <w:color w:val="auto"/>
              </w:rPr>
              <w:t>cm</w:t>
            </w:r>
          </w:p>
        </w:tc>
        <w:tc>
          <w:tcPr>
            <w:tcW w:w="416" w:type="pct"/>
            <w:vAlign w:val="center"/>
          </w:tcPr>
          <w:p w14:paraId="2BF08F92">
            <w:pPr>
              <w:pStyle w:val="69"/>
              <w:adjustRightInd w:val="0"/>
              <w:ind w:firstLine="0" w:firstLineChars="0"/>
              <w:rPr>
                <w:rFonts w:hint="eastAsia"/>
                <w:color w:val="auto"/>
              </w:rPr>
            </w:pPr>
            <w:r>
              <w:rPr>
                <w:rFonts w:hint="eastAsia"/>
                <w:color w:val="auto"/>
              </w:rPr>
              <w:t>处理设施进口、出口</w:t>
            </w:r>
          </w:p>
        </w:tc>
        <w:tc>
          <w:tcPr>
            <w:tcW w:w="197" w:type="pct"/>
            <w:vAlign w:val="center"/>
          </w:tcPr>
          <w:p w14:paraId="6F50A445">
            <w:pPr>
              <w:pStyle w:val="69"/>
              <w:adjustRightInd w:val="0"/>
              <w:ind w:firstLine="0" w:firstLineChars="0"/>
              <w:rPr>
                <w:rFonts w:hint="eastAsia"/>
                <w:color w:val="auto"/>
              </w:rPr>
            </w:pPr>
            <w:r>
              <w:rPr>
                <w:rFonts w:hint="eastAsia"/>
                <w:color w:val="auto"/>
              </w:rPr>
              <w:t>大气</w:t>
            </w:r>
          </w:p>
        </w:tc>
      </w:tr>
    </w:tbl>
    <w:p w14:paraId="3480F6CF">
      <w:pPr>
        <w:ind w:firstLine="480"/>
        <w:rPr>
          <w:rFonts w:cs="Times New Roman"/>
          <w:color w:val="auto"/>
        </w:rPr>
        <w:sectPr>
          <w:pgSz w:w="16838" w:h="11906" w:orient="landscape"/>
          <w:pgMar w:top="1417" w:right="1417" w:bottom="1417" w:left="1417" w:header="851" w:footer="992" w:gutter="0"/>
          <w:cols w:space="425" w:num="1"/>
          <w:docGrid w:type="lines" w:linePitch="326" w:charSpace="0"/>
        </w:sectPr>
      </w:pPr>
    </w:p>
    <w:p w14:paraId="5EBE779A">
      <w:pPr>
        <w:pStyle w:val="4"/>
        <w:ind w:firstLine="562"/>
        <w:rPr>
          <w:rFonts w:cs="Times New Roman"/>
          <w:color w:val="auto"/>
        </w:rPr>
      </w:pPr>
      <w:r>
        <w:rPr>
          <w:rFonts w:cs="Times New Roman"/>
          <w:color w:val="auto"/>
        </w:rPr>
        <w:t>4.1.3噪声</w:t>
      </w:r>
    </w:p>
    <w:p w14:paraId="18E040C5">
      <w:pPr>
        <w:ind w:firstLine="480"/>
        <w:jc w:val="both"/>
        <w:rPr>
          <w:color w:val="auto"/>
        </w:rPr>
      </w:pPr>
      <w:r>
        <w:rPr>
          <w:rFonts w:hint="eastAsia"/>
          <w:color w:val="auto"/>
        </w:rPr>
        <w:t>本项目噪声源为</w:t>
      </w:r>
      <w:bookmarkStart w:id="30" w:name="_Hlk171960764"/>
      <w:r>
        <w:rPr>
          <w:rFonts w:hint="eastAsia"/>
          <w:color w:val="auto"/>
        </w:rPr>
        <w:t>冲床、折弯机、铣床、车床、风机</w:t>
      </w:r>
      <w:bookmarkEnd w:id="30"/>
      <w:r>
        <w:rPr>
          <w:rFonts w:hint="eastAsia"/>
          <w:color w:val="auto"/>
        </w:rPr>
        <w:t>等机械设备噪声，</w:t>
      </w:r>
      <w:r>
        <w:rPr>
          <w:color w:val="auto"/>
        </w:rPr>
        <w:t>各类主要设备的噪声源强见下表。</w:t>
      </w:r>
    </w:p>
    <w:p w14:paraId="6E217D76">
      <w:pPr>
        <w:pStyle w:val="40"/>
        <w:spacing w:beforeLines="0"/>
        <w:rPr>
          <w:color w:val="auto"/>
        </w:rPr>
      </w:pPr>
      <w:r>
        <w:rPr>
          <w:color w:val="auto"/>
        </w:rPr>
        <w:t xml:space="preserve">表4-2           </w:t>
      </w:r>
      <w:r>
        <w:rPr>
          <w:rFonts w:hint="eastAsia"/>
          <w:color w:val="auto"/>
          <w:lang w:val="en-US" w:eastAsia="zh-CN"/>
        </w:rPr>
        <w:t xml:space="preserve">        </w:t>
      </w:r>
      <w:r>
        <w:rPr>
          <w:color w:val="auto"/>
        </w:rPr>
        <w:t xml:space="preserve">    </w:t>
      </w:r>
      <w:r>
        <w:rPr>
          <w:rFonts w:hint="eastAsia"/>
          <w:color w:val="auto"/>
          <w:lang w:val="en-US" w:eastAsia="zh-CN"/>
        </w:rPr>
        <w:t xml:space="preserve">    </w:t>
      </w:r>
      <w:r>
        <w:rPr>
          <w:rFonts w:hint="eastAsia"/>
          <w:color w:val="auto"/>
        </w:rPr>
        <w:t xml:space="preserve">   </w:t>
      </w:r>
      <w:r>
        <w:rPr>
          <w:rFonts w:hint="eastAsia"/>
          <w:color w:val="auto"/>
          <w:lang w:val="en-US" w:eastAsia="zh-CN"/>
        </w:rPr>
        <w:t>本项目</w:t>
      </w:r>
      <w:r>
        <w:rPr>
          <w:color w:val="auto"/>
        </w:rPr>
        <w:t>车间主要设备噪声源强</w:t>
      </w:r>
    </w:p>
    <w:tbl>
      <w:tblPr>
        <w:tblStyle w:val="26"/>
        <w:tblW w:w="502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516"/>
        <w:gridCol w:w="1514"/>
        <w:gridCol w:w="1593"/>
        <w:gridCol w:w="1544"/>
        <w:gridCol w:w="1398"/>
        <w:gridCol w:w="1553"/>
      </w:tblGrid>
      <w:tr w14:paraId="636E5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31" w:type="pct"/>
            <w:vAlign w:val="center"/>
          </w:tcPr>
          <w:p w14:paraId="73C9D160">
            <w:pPr>
              <w:pStyle w:val="39"/>
              <w:rPr>
                <w:b/>
                <w:color w:val="auto"/>
              </w:rPr>
            </w:pPr>
            <w:r>
              <w:rPr>
                <w:rFonts w:hint="eastAsia"/>
                <w:b/>
                <w:color w:val="auto"/>
              </w:rPr>
              <w:t>设备名称</w:t>
            </w:r>
          </w:p>
        </w:tc>
        <w:tc>
          <w:tcPr>
            <w:tcW w:w="830" w:type="pct"/>
            <w:vAlign w:val="center"/>
          </w:tcPr>
          <w:p w14:paraId="20724943">
            <w:pPr>
              <w:pStyle w:val="39"/>
              <w:rPr>
                <w:b/>
                <w:color w:val="auto"/>
              </w:rPr>
            </w:pPr>
            <w:r>
              <w:rPr>
                <w:rFonts w:hint="eastAsia"/>
                <w:b/>
                <w:color w:val="auto"/>
              </w:rPr>
              <w:t>数量</w:t>
            </w:r>
          </w:p>
          <w:p w14:paraId="5B714CB4">
            <w:pPr>
              <w:pStyle w:val="39"/>
              <w:rPr>
                <w:b/>
                <w:color w:val="auto"/>
              </w:rPr>
            </w:pPr>
            <w:r>
              <w:rPr>
                <w:rFonts w:hint="eastAsia"/>
                <w:b/>
                <w:color w:val="auto"/>
              </w:rPr>
              <w:t>（台）</w:t>
            </w:r>
          </w:p>
        </w:tc>
        <w:tc>
          <w:tcPr>
            <w:tcW w:w="873" w:type="pct"/>
            <w:vAlign w:val="center"/>
          </w:tcPr>
          <w:p w14:paraId="24988C87">
            <w:pPr>
              <w:pStyle w:val="39"/>
              <w:rPr>
                <w:b/>
                <w:color w:val="auto"/>
              </w:rPr>
            </w:pPr>
            <w:r>
              <w:rPr>
                <w:rFonts w:hint="eastAsia"/>
                <w:b/>
                <w:color w:val="auto"/>
              </w:rPr>
              <w:t>源强</w:t>
            </w:r>
          </w:p>
          <w:p w14:paraId="0B53E98B">
            <w:pPr>
              <w:pStyle w:val="39"/>
              <w:rPr>
                <w:b/>
                <w:color w:val="auto"/>
              </w:rPr>
            </w:pPr>
            <w:r>
              <w:rPr>
                <w:b/>
                <w:color w:val="auto"/>
              </w:rPr>
              <w:t>dB(A)</w:t>
            </w:r>
          </w:p>
        </w:tc>
        <w:tc>
          <w:tcPr>
            <w:tcW w:w="846" w:type="pct"/>
            <w:vAlign w:val="center"/>
          </w:tcPr>
          <w:p w14:paraId="2D332C73">
            <w:pPr>
              <w:pStyle w:val="39"/>
              <w:rPr>
                <w:b/>
                <w:color w:val="auto"/>
              </w:rPr>
            </w:pPr>
            <w:r>
              <w:rPr>
                <w:rFonts w:hint="eastAsia"/>
                <w:b/>
                <w:color w:val="auto"/>
              </w:rPr>
              <w:t>位置</w:t>
            </w:r>
          </w:p>
        </w:tc>
        <w:tc>
          <w:tcPr>
            <w:tcW w:w="766" w:type="pct"/>
            <w:vAlign w:val="center"/>
          </w:tcPr>
          <w:p w14:paraId="1F3CFF09">
            <w:pPr>
              <w:pStyle w:val="39"/>
              <w:rPr>
                <w:b/>
                <w:color w:val="auto"/>
              </w:rPr>
            </w:pPr>
            <w:r>
              <w:rPr>
                <w:rFonts w:hint="eastAsia"/>
                <w:b/>
                <w:color w:val="auto"/>
              </w:rPr>
              <w:t>运行</w:t>
            </w:r>
          </w:p>
          <w:p w14:paraId="0210CC26">
            <w:pPr>
              <w:pStyle w:val="39"/>
              <w:rPr>
                <w:b/>
                <w:color w:val="auto"/>
              </w:rPr>
            </w:pPr>
            <w:r>
              <w:rPr>
                <w:rFonts w:hint="eastAsia"/>
                <w:b/>
                <w:color w:val="auto"/>
              </w:rPr>
              <w:t>方式</w:t>
            </w:r>
          </w:p>
        </w:tc>
        <w:tc>
          <w:tcPr>
            <w:tcW w:w="851" w:type="pct"/>
            <w:vAlign w:val="center"/>
          </w:tcPr>
          <w:p w14:paraId="5974730B">
            <w:pPr>
              <w:pStyle w:val="39"/>
              <w:rPr>
                <w:b/>
                <w:color w:val="auto"/>
              </w:rPr>
            </w:pPr>
            <w:r>
              <w:rPr>
                <w:rFonts w:hint="eastAsia"/>
                <w:b/>
                <w:color w:val="auto"/>
              </w:rPr>
              <w:t>防治措施</w:t>
            </w:r>
          </w:p>
        </w:tc>
      </w:tr>
      <w:tr w14:paraId="2C5CB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31" w:type="pct"/>
            <w:vAlign w:val="center"/>
          </w:tcPr>
          <w:p w14:paraId="1A35B62F">
            <w:pPr>
              <w:pStyle w:val="39"/>
              <w:rPr>
                <w:color w:val="auto"/>
              </w:rPr>
            </w:pPr>
            <w:r>
              <w:rPr>
                <w:rFonts w:hint="eastAsia"/>
                <w:color w:val="auto"/>
              </w:rPr>
              <w:t>冲床</w:t>
            </w:r>
          </w:p>
        </w:tc>
        <w:tc>
          <w:tcPr>
            <w:tcW w:w="830" w:type="pct"/>
            <w:vAlign w:val="center"/>
          </w:tcPr>
          <w:p w14:paraId="199AF3C8">
            <w:pPr>
              <w:pStyle w:val="39"/>
              <w:rPr>
                <w:rFonts w:hint="eastAsia" w:eastAsia="宋体"/>
                <w:color w:val="auto"/>
                <w:lang w:eastAsia="zh-CN"/>
              </w:rPr>
            </w:pPr>
            <w:r>
              <w:rPr>
                <w:rFonts w:hint="eastAsia"/>
                <w:color w:val="auto"/>
                <w:lang w:val="en-US" w:eastAsia="zh-CN"/>
              </w:rPr>
              <w:t>7</w:t>
            </w:r>
          </w:p>
        </w:tc>
        <w:tc>
          <w:tcPr>
            <w:tcW w:w="873" w:type="pct"/>
            <w:vAlign w:val="center"/>
          </w:tcPr>
          <w:p w14:paraId="6886F6CD">
            <w:pPr>
              <w:pStyle w:val="39"/>
              <w:rPr>
                <w:color w:val="auto"/>
              </w:rPr>
            </w:pPr>
            <w:r>
              <w:rPr>
                <w:rFonts w:hint="eastAsia"/>
                <w:color w:val="auto"/>
              </w:rPr>
              <w:t>85</w:t>
            </w:r>
          </w:p>
        </w:tc>
        <w:tc>
          <w:tcPr>
            <w:tcW w:w="846" w:type="pct"/>
            <w:vMerge w:val="restart"/>
            <w:vAlign w:val="center"/>
          </w:tcPr>
          <w:p w14:paraId="504667A1">
            <w:pPr>
              <w:pStyle w:val="39"/>
              <w:rPr>
                <w:color w:val="auto"/>
              </w:rPr>
            </w:pPr>
            <w:r>
              <w:rPr>
                <w:rFonts w:hint="eastAsia"/>
                <w:color w:val="auto"/>
              </w:rPr>
              <w:t>生产车间</w:t>
            </w:r>
          </w:p>
        </w:tc>
        <w:tc>
          <w:tcPr>
            <w:tcW w:w="766" w:type="pct"/>
            <w:vAlign w:val="center"/>
          </w:tcPr>
          <w:p w14:paraId="3521D136">
            <w:pPr>
              <w:pStyle w:val="39"/>
              <w:rPr>
                <w:color w:val="auto"/>
              </w:rPr>
            </w:pPr>
            <w:r>
              <w:rPr>
                <w:rFonts w:hint="eastAsia"/>
                <w:color w:val="auto"/>
              </w:rPr>
              <w:t>间断</w:t>
            </w:r>
          </w:p>
        </w:tc>
        <w:tc>
          <w:tcPr>
            <w:tcW w:w="851" w:type="pct"/>
            <w:vMerge w:val="restart"/>
            <w:vAlign w:val="center"/>
          </w:tcPr>
          <w:p w14:paraId="6D63E533">
            <w:pPr>
              <w:pStyle w:val="39"/>
              <w:rPr>
                <w:color w:val="auto"/>
              </w:rPr>
            </w:pPr>
            <w:r>
              <w:rPr>
                <w:rFonts w:hint="eastAsia"/>
                <w:color w:val="auto"/>
              </w:rPr>
              <w:t>基础</w:t>
            </w:r>
            <w:r>
              <w:rPr>
                <w:color w:val="auto"/>
              </w:rPr>
              <w:t>减振</w:t>
            </w:r>
            <w:r>
              <w:rPr>
                <w:rFonts w:hint="eastAsia"/>
                <w:color w:val="auto"/>
              </w:rPr>
              <w:t>、厂房</w:t>
            </w:r>
            <w:r>
              <w:rPr>
                <w:color w:val="auto"/>
              </w:rPr>
              <w:t>隔声</w:t>
            </w:r>
          </w:p>
        </w:tc>
      </w:tr>
      <w:tr w14:paraId="62924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31" w:type="pct"/>
            <w:vAlign w:val="center"/>
          </w:tcPr>
          <w:p w14:paraId="6E0EEB25">
            <w:pPr>
              <w:pStyle w:val="39"/>
              <w:rPr>
                <w:rFonts w:hint="eastAsia" w:eastAsia="宋体"/>
                <w:color w:val="auto"/>
                <w:lang w:eastAsia="zh-CN"/>
              </w:rPr>
            </w:pPr>
            <w:r>
              <w:rPr>
                <w:rFonts w:hint="eastAsia"/>
                <w:color w:val="auto"/>
                <w:lang w:val="en-US" w:eastAsia="zh-CN"/>
              </w:rPr>
              <w:t>折弯机</w:t>
            </w:r>
          </w:p>
        </w:tc>
        <w:tc>
          <w:tcPr>
            <w:tcW w:w="830" w:type="pct"/>
            <w:vAlign w:val="center"/>
          </w:tcPr>
          <w:p w14:paraId="4D5FCF25">
            <w:pPr>
              <w:pStyle w:val="39"/>
              <w:rPr>
                <w:rFonts w:hint="eastAsia" w:eastAsia="宋体"/>
                <w:color w:val="auto"/>
                <w:lang w:eastAsia="zh-CN"/>
              </w:rPr>
            </w:pPr>
            <w:r>
              <w:rPr>
                <w:rFonts w:hint="eastAsia"/>
                <w:color w:val="auto"/>
                <w:lang w:val="en-US" w:eastAsia="zh-CN"/>
              </w:rPr>
              <w:t>3</w:t>
            </w:r>
          </w:p>
        </w:tc>
        <w:tc>
          <w:tcPr>
            <w:tcW w:w="873" w:type="pct"/>
            <w:vAlign w:val="center"/>
          </w:tcPr>
          <w:p w14:paraId="6F9A9D13">
            <w:pPr>
              <w:pStyle w:val="39"/>
              <w:rPr>
                <w:rFonts w:hint="default" w:eastAsia="宋体"/>
                <w:color w:val="auto"/>
                <w:lang w:val="en-US" w:eastAsia="zh-CN"/>
              </w:rPr>
            </w:pPr>
            <w:r>
              <w:rPr>
                <w:rFonts w:hint="eastAsia"/>
                <w:color w:val="auto"/>
                <w:lang w:val="en-US" w:eastAsia="zh-CN"/>
              </w:rPr>
              <w:t>85</w:t>
            </w:r>
          </w:p>
        </w:tc>
        <w:tc>
          <w:tcPr>
            <w:tcW w:w="846" w:type="pct"/>
            <w:vMerge w:val="continue"/>
            <w:vAlign w:val="center"/>
          </w:tcPr>
          <w:p w14:paraId="1988CB8E">
            <w:pPr>
              <w:pStyle w:val="39"/>
              <w:rPr>
                <w:color w:val="auto"/>
              </w:rPr>
            </w:pPr>
          </w:p>
        </w:tc>
        <w:tc>
          <w:tcPr>
            <w:tcW w:w="766" w:type="pct"/>
            <w:vAlign w:val="center"/>
          </w:tcPr>
          <w:p w14:paraId="2FF5BE8F">
            <w:pPr>
              <w:pStyle w:val="39"/>
              <w:rPr>
                <w:color w:val="auto"/>
              </w:rPr>
            </w:pPr>
            <w:r>
              <w:rPr>
                <w:rFonts w:hint="eastAsia"/>
                <w:color w:val="auto"/>
              </w:rPr>
              <w:t>间断</w:t>
            </w:r>
          </w:p>
        </w:tc>
        <w:tc>
          <w:tcPr>
            <w:tcW w:w="851" w:type="pct"/>
            <w:vMerge w:val="continue"/>
            <w:vAlign w:val="center"/>
          </w:tcPr>
          <w:p w14:paraId="019C41BB">
            <w:pPr>
              <w:pStyle w:val="39"/>
              <w:rPr>
                <w:color w:val="auto"/>
              </w:rPr>
            </w:pPr>
          </w:p>
        </w:tc>
      </w:tr>
      <w:tr w14:paraId="0EB69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31" w:type="pct"/>
            <w:vAlign w:val="center"/>
          </w:tcPr>
          <w:p w14:paraId="7B86D1E5">
            <w:pPr>
              <w:pStyle w:val="39"/>
              <w:rPr>
                <w:rFonts w:hint="eastAsia" w:eastAsia="宋体"/>
                <w:color w:val="auto"/>
                <w:lang w:eastAsia="zh-CN"/>
              </w:rPr>
            </w:pPr>
            <w:r>
              <w:rPr>
                <w:rFonts w:hint="eastAsia"/>
                <w:color w:val="auto"/>
                <w:szCs w:val="22"/>
                <w:lang w:val="en-US" w:eastAsia="zh-CN"/>
              </w:rPr>
              <w:t>铣床</w:t>
            </w:r>
          </w:p>
        </w:tc>
        <w:tc>
          <w:tcPr>
            <w:tcW w:w="830" w:type="pct"/>
            <w:vAlign w:val="center"/>
          </w:tcPr>
          <w:p w14:paraId="7E2F2E21">
            <w:pPr>
              <w:pStyle w:val="39"/>
              <w:rPr>
                <w:color w:val="auto"/>
              </w:rPr>
            </w:pPr>
            <w:r>
              <w:rPr>
                <w:rFonts w:hint="eastAsia"/>
                <w:color w:val="auto"/>
              </w:rPr>
              <w:t>1</w:t>
            </w:r>
          </w:p>
        </w:tc>
        <w:tc>
          <w:tcPr>
            <w:tcW w:w="873" w:type="pct"/>
            <w:vAlign w:val="center"/>
          </w:tcPr>
          <w:p w14:paraId="7309B693">
            <w:pPr>
              <w:pStyle w:val="39"/>
              <w:rPr>
                <w:rFonts w:hint="eastAsia" w:eastAsia="宋体"/>
                <w:color w:val="auto"/>
                <w:lang w:eastAsia="zh-CN"/>
              </w:rPr>
            </w:pPr>
            <w:r>
              <w:rPr>
                <w:rFonts w:hint="eastAsia"/>
                <w:color w:val="auto"/>
              </w:rPr>
              <w:t>8</w:t>
            </w:r>
            <w:r>
              <w:rPr>
                <w:rFonts w:hint="eastAsia"/>
                <w:color w:val="auto"/>
                <w:lang w:val="en-US" w:eastAsia="zh-CN"/>
              </w:rPr>
              <w:t>5</w:t>
            </w:r>
          </w:p>
        </w:tc>
        <w:tc>
          <w:tcPr>
            <w:tcW w:w="846" w:type="pct"/>
            <w:vMerge w:val="continue"/>
            <w:vAlign w:val="center"/>
          </w:tcPr>
          <w:p w14:paraId="56AE18B7">
            <w:pPr>
              <w:pStyle w:val="39"/>
              <w:rPr>
                <w:color w:val="auto"/>
              </w:rPr>
            </w:pPr>
          </w:p>
        </w:tc>
        <w:tc>
          <w:tcPr>
            <w:tcW w:w="766" w:type="pct"/>
            <w:vAlign w:val="center"/>
          </w:tcPr>
          <w:p w14:paraId="6FF7134C">
            <w:pPr>
              <w:pStyle w:val="39"/>
              <w:rPr>
                <w:color w:val="auto"/>
              </w:rPr>
            </w:pPr>
            <w:r>
              <w:rPr>
                <w:rFonts w:hint="eastAsia"/>
                <w:color w:val="auto"/>
              </w:rPr>
              <w:t>间断</w:t>
            </w:r>
          </w:p>
        </w:tc>
        <w:tc>
          <w:tcPr>
            <w:tcW w:w="851" w:type="pct"/>
            <w:vMerge w:val="continue"/>
            <w:vAlign w:val="center"/>
          </w:tcPr>
          <w:p w14:paraId="74AC3D3F">
            <w:pPr>
              <w:pStyle w:val="39"/>
              <w:rPr>
                <w:color w:val="auto"/>
              </w:rPr>
            </w:pPr>
          </w:p>
        </w:tc>
      </w:tr>
      <w:tr w14:paraId="6CAC2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31" w:type="pct"/>
            <w:vAlign w:val="center"/>
          </w:tcPr>
          <w:p w14:paraId="3D9E636D">
            <w:pPr>
              <w:pStyle w:val="39"/>
              <w:rPr>
                <w:rFonts w:hint="eastAsia"/>
                <w:color w:val="auto"/>
                <w:szCs w:val="22"/>
                <w:lang w:val="en-US" w:eastAsia="zh-CN"/>
              </w:rPr>
            </w:pPr>
            <w:r>
              <w:rPr>
                <w:rFonts w:hint="eastAsia"/>
                <w:color w:val="auto"/>
                <w:szCs w:val="22"/>
                <w:lang w:val="en-US" w:eastAsia="zh-CN"/>
              </w:rPr>
              <w:t>车床</w:t>
            </w:r>
          </w:p>
        </w:tc>
        <w:tc>
          <w:tcPr>
            <w:tcW w:w="830" w:type="pct"/>
            <w:vAlign w:val="center"/>
          </w:tcPr>
          <w:p w14:paraId="7D6C5B03">
            <w:pPr>
              <w:pStyle w:val="39"/>
              <w:rPr>
                <w:rFonts w:hint="eastAsia"/>
                <w:color w:val="auto"/>
                <w:szCs w:val="22"/>
                <w:lang w:val="en-US" w:eastAsia="zh-CN"/>
              </w:rPr>
            </w:pPr>
            <w:r>
              <w:rPr>
                <w:rFonts w:hint="eastAsia"/>
                <w:color w:val="auto"/>
                <w:szCs w:val="22"/>
                <w:lang w:val="en-US" w:eastAsia="zh-CN"/>
              </w:rPr>
              <w:t>1</w:t>
            </w:r>
          </w:p>
        </w:tc>
        <w:tc>
          <w:tcPr>
            <w:tcW w:w="873" w:type="pct"/>
            <w:vAlign w:val="center"/>
          </w:tcPr>
          <w:p w14:paraId="4FA1B320">
            <w:pPr>
              <w:pStyle w:val="39"/>
              <w:rPr>
                <w:rFonts w:hint="eastAsia"/>
                <w:color w:val="auto"/>
                <w:szCs w:val="22"/>
                <w:lang w:val="en-US" w:eastAsia="zh-CN"/>
              </w:rPr>
            </w:pPr>
            <w:r>
              <w:rPr>
                <w:rFonts w:hint="eastAsia"/>
                <w:color w:val="auto"/>
                <w:szCs w:val="22"/>
                <w:lang w:val="en-US" w:eastAsia="zh-CN"/>
              </w:rPr>
              <w:t>85</w:t>
            </w:r>
          </w:p>
        </w:tc>
        <w:tc>
          <w:tcPr>
            <w:tcW w:w="846" w:type="pct"/>
            <w:vMerge w:val="continue"/>
            <w:vAlign w:val="center"/>
          </w:tcPr>
          <w:p w14:paraId="4B713B0C">
            <w:pPr>
              <w:pStyle w:val="39"/>
              <w:rPr>
                <w:rFonts w:hint="eastAsia"/>
                <w:color w:val="auto"/>
              </w:rPr>
            </w:pPr>
          </w:p>
        </w:tc>
        <w:tc>
          <w:tcPr>
            <w:tcW w:w="766" w:type="pct"/>
            <w:vAlign w:val="center"/>
          </w:tcPr>
          <w:p w14:paraId="63B5F11B">
            <w:pPr>
              <w:pStyle w:val="39"/>
              <w:rPr>
                <w:rFonts w:hint="eastAsia"/>
                <w:color w:val="auto"/>
              </w:rPr>
            </w:pPr>
            <w:r>
              <w:rPr>
                <w:rFonts w:hint="eastAsia"/>
                <w:color w:val="auto"/>
              </w:rPr>
              <w:t>间断</w:t>
            </w:r>
          </w:p>
        </w:tc>
        <w:tc>
          <w:tcPr>
            <w:tcW w:w="851" w:type="pct"/>
            <w:vMerge w:val="continue"/>
            <w:vAlign w:val="center"/>
          </w:tcPr>
          <w:p w14:paraId="3B8C0B8C">
            <w:pPr>
              <w:pStyle w:val="39"/>
              <w:rPr>
                <w:color w:val="auto"/>
              </w:rPr>
            </w:pPr>
          </w:p>
        </w:tc>
      </w:tr>
      <w:tr w14:paraId="1D7B4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31" w:type="pct"/>
            <w:vAlign w:val="center"/>
          </w:tcPr>
          <w:p w14:paraId="17F9C3D6">
            <w:pPr>
              <w:pStyle w:val="39"/>
              <w:rPr>
                <w:rFonts w:hint="eastAsia"/>
                <w:color w:val="auto"/>
                <w:szCs w:val="22"/>
                <w:lang w:val="en-US" w:eastAsia="zh-CN"/>
              </w:rPr>
            </w:pPr>
            <w:r>
              <w:rPr>
                <w:rFonts w:hint="eastAsia"/>
                <w:color w:val="auto"/>
                <w:szCs w:val="22"/>
                <w:lang w:val="en-US" w:eastAsia="zh-CN"/>
              </w:rPr>
              <w:t>钻床</w:t>
            </w:r>
          </w:p>
        </w:tc>
        <w:tc>
          <w:tcPr>
            <w:tcW w:w="830" w:type="pct"/>
            <w:vAlign w:val="center"/>
          </w:tcPr>
          <w:p w14:paraId="1F7BC21F">
            <w:pPr>
              <w:pStyle w:val="39"/>
              <w:rPr>
                <w:rFonts w:hint="eastAsia"/>
                <w:color w:val="auto"/>
                <w:szCs w:val="22"/>
                <w:lang w:val="en-US" w:eastAsia="zh-CN"/>
              </w:rPr>
            </w:pPr>
            <w:r>
              <w:rPr>
                <w:rFonts w:hint="eastAsia"/>
                <w:color w:val="auto"/>
                <w:szCs w:val="22"/>
                <w:lang w:val="en-US" w:eastAsia="zh-CN"/>
              </w:rPr>
              <w:t>1</w:t>
            </w:r>
          </w:p>
        </w:tc>
        <w:tc>
          <w:tcPr>
            <w:tcW w:w="873" w:type="pct"/>
            <w:vAlign w:val="center"/>
          </w:tcPr>
          <w:p w14:paraId="35CBC402">
            <w:pPr>
              <w:pStyle w:val="39"/>
              <w:rPr>
                <w:rFonts w:hint="eastAsia"/>
                <w:color w:val="auto"/>
                <w:szCs w:val="22"/>
                <w:lang w:val="en-US" w:eastAsia="zh-CN"/>
              </w:rPr>
            </w:pPr>
            <w:r>
              <w:rPr>
                <w:rFonts w:hint="eastAsia"/>
                <w:color w:val="auto"/>
                <w:szCs w:val="22"/>
                <w:lang w:val="en-US" w:eastAsia="zh-CN"/>
              </w:rPr>
              <w:t>85</w:t>
            </w:r>
          </w:p>
        </w:tc>
        <w:tc>
          <w:tcPr>
            <w:tcW w:w="846" w:type="pct"/>
            <w:vMerge w:val="continue"/>
            <w:vAlign w:val="center"/>
          </w:tcPr>
          <w:p w14:paraId="0A91EB69">
            <w:pPr>
              <w:pStyle w:val="39"/>
              <w:rPr>
                <w:rFonts w:hint="eastAsia"/>
                <w:color w:val="auto"/>
              </w:rPr>
            </w:pPr>
          </w:p>
        </w:tc>
        <w:tc>
          <w:tcPr>
            <w:tcW w:w="766" w:type="pct"/>
            <w:vAlign w:val="center"/>
          </w:tcPr>
          <w:p w14:paraId="3AE44BED">
            <w:pPr>
              <w:pStyle w:val="39"/>
              <w:rPr>
                <w:rFonts w:hint="eastAsia"/>
                <w:color w:val="auto"/>
              </w:rPr>
            </w:pPr>
            <w:r>
              <w:rPr>
                <w:rFonts w:hint="eastAsia"/>
                <w:color w:val="auto"/>
              </w:rPr>
              <w:t>间断</w:t>
            </w:r>
          </w:p>
        </w:tc>
        <w:tc>
          <w:tcPr>
            <w:tcW w:w="851" w:type="pct"/>
            <w:vMerge w:val="continue"/>
            <w:vAlign w:val="center"/>
          </w:tcPr>
          <w:p w14:paraId="588DA163">
            <w:pPr>
              <w:pStyle w:val="39"/>
              <w:rPr>
                <w:color w:val="auto"/>
              </w:rPr>
            </w:pPr>
          </w:p>
        </w:tc>
      </w:tr>
      <w:tr w14:paraId="7BC00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831" w:type="pct"/>
            <w:vAlign w:val="center"/>
          </w:tcPr>
          <w:p w14:paraId="3FB3AE1C">
            <w:pPr>
              <w:pStyle w:val="39"/>
              <w:rPr>
                <w:color w:val="auto"/>
              </w:rPr>
            </w:pPr>
            <w:r>
              <w:rPr>
                <w:rFonts w:hint="eastAsia"/>
                <w:color w:val="auto"/>
              </w:rPr>
              <w:t>风机</w:t>
            </w:r>
          </w:p>
        </w:tc>
        <w:tc>
          <w:tcPr>
            <w:tcW w:w="830" w:type="pct"/>
            <w:vAlign w:val="center"/>
          </w:tcPr>
          <w:p w14:paraId="6B2B2C6E">
            <w:pPr>
              <w:pStyle w:val="39"/>
              <w:rPr>
                <w:rFonts w:hint="eastAsia" w:eastAsia="宋体"/>
                <w:color w:val="auto"/>
                <w:lang w:eastAsia="zh-CN"/>
              </w:rPr>
            </w:pPr>
            <w:r>
              <w:rPr>
                <w:rFonts w:hint="eastAsia"/>
                <w:color w:val="auto"/>
                <w:lang w:val="en-US" w:eastAsia="zh-CN"/>
              </w:rPr>
              <w:t>3</w:t>
            </w:r>
          </w:p>
        </w:tc>
        <w:tc>
          <w:tcPr>
            <w:tcW w:w="873" w:type="pct"/>
            <w:vAlign w:val="center"/>
          </w:tcPr>
          <w:p w14:paraId="72546401">
            <w:pPr>
              <w:pStyle w:val="39"/>
              <w:rPr>
                <w:color w:val="auto"/>
              </w:rPr>
            </w:pPr>
            <w:r>
              <w:rPr>
                <w:rFonts w:hint="eastAsia"/>
                <w:color w:val="auto"/>
              </w:rPr>
              <w:t>90</w:t>
            </w:r>
          </w:p>
        </w:tc>
        <w:tc>
          <w:tcPr>
            <w:tcW w:w="846" w:type="pct"/>
            <w:vAlign w:val="center"/>
          </w:tcPr>
          <w:p w14:paraId="2A8D77DF">
            <w:pPr>
              <w:pStyle w:val="39"/>
              <w:rPr>
                <w:color w:val="auto"/>
              </w:rPr>
            </w:pPr>
            <w:r>
              <w:rPr>
                <w:rFonts w:hint="eastAsia"/>
                <w:color w:val="auto"/>
              </w:rPr>
              <w:t>车间外</w:t>
            </w:r>
          </w:p>
        </w:tc>
        <w:tc>
          <w:tcPr>
            <w:tcW w:w="766" w:type="pct"/>
            <w:vAlign w:val="center"/>
          </w:tcPr>
          <w:p w14:paraId="103C6315">
            <w:pPr>
              <w:pStyle w:val="39"/>
              <w:rPr>
                <w:color w:val="auto"/>
              </w:rPr>
            </w:pPr>
            <w:r>
              <w:rPr>
                <w:rFonts w:hint="eastAsia"/>
                <w:color w:val="auto"/>
              </w:rPr>
              <w:t>间断</w:t>
            </w:r>
          </w:p>
        </w:tc>
        <w:tc>
          <w:tcPr>
            <w:tcW w:w="851" w:type="pct"/>
            <w:vMerge w:val="continue"/>
            <w:vAlign w:val="center"/>
          </w:tcPr>
          <w:p w14:paraId="77B1D186">
            <w:pPr>
              <w:pStyle w:val="39"/>
              <w:rPr>
                <w:color w:val="auto"/>
              </w:rPr>
            </w:pPr>
          </w:p>
        </w:tc>
      </w:tr>
    </w:tbl>
    <w:p w14:paraId="5D02D03D">
      <w:pPr>
        <w:pStyle w:val="4"/>
        <w:ind w:firstLine="562"/>
        <w:rPr>
          <w:rFonts w:cs="Times New Roman"/>
          <w:color w:val="auto"/>
        </w:rPr>
      </w:pPr>
      <w:r>
        <w:rPr>
          <w:rFonts w:cs="Times New Roman"/>
          <w:color w:val="auto"/>
        </w:rPr>
        <w:t>4.1.4固体废物</w:t>
      </w:r>
    </w:p>
    <w:p w14:paraId="7A723B9D">
      <w:pPr>
        <w:ind w:firstLine="480"/>
        <w:jc w:val="both"/>
        <w:rPr>
          <w:rFonts w:cs="Times New Roman"/>
          <w:color w:val="auto"/>
        </w:rPr>
      </w:pPr>
      <w:bookmarkStart w:id="31" w:name="_Hlk101345765"/>
      <w:r>
        <w:rPr>
          <w:rFonts w:cs="Times New Roman"/>
          <w:color w:val="auto"/>
        </w:rPr>
        <w:t>本项目</w:t>
      </w:r>
      <w:r>
        <w:rPr>
          <w:rFonts w:hint="eastAsia" w:cs="Times New Roman"/>
          <w:color w:val="auto"/>
        </w:rPr>
        <w:t>固废为一般固废和危险废物，其中一般固废包括废边角料</w:t>
      </w:r>
      <w:r>
        <w:rPr>
          <w:rFonts w:hint="eastAsia" w:cs="Times New Roman"/>
          <w:color w:val="auto"/>
          <w:lang w:eastAsia="zh-CN"/>
        </w:rPr>
        <w:t>、</w:t>
      </w:r>
      <w:r>
        <w:rPr>
          <w:rFonts w:hint="eastAsia" w:cs="Times New Roman"/>
          <w:color w:val="auto"/>
        </w:rPr>
        <w:t>废钢带</w:t>
      </w:r>
      <w:r>
        <w:rPr>
          <w:rFonts w:hint="eastAsia" w:cs="Times New Roman"/>
          <w:color w:val="auto"/>
          <w:lang w:eastAsia="zh-CN"/>
        </w:rPr>
        <w:t>、</w:t>
      </w:r>
      <w:r>
        <w:rPr>
          <w:rFonts w:hint="eastAsia" w:cs="Times New Roman"/>
          <w:color w:val="auto"/>
        </w:rPr>
        <w:t>污泥</w:t>
      </w:r>
      <w:r>
        <w:rPr>
          <w:rFonts w:hint="eastAsia" w:cs="Times New Roman"/>
          <w:color w:val="auto"/>
          <w:lang w:eastAsia="zh-CN"/>
        </w:rPr>
        <w:t>、</w:t>
      </w:r>
      <w:r>
        <w:rPr>
          <w:rFonts w:hint="eastAsia" w:cs="Times New Roman"/>
          <w:color w:val="auto"/>
        </w:rPr>
        <w:t>废过滤器</w:t>
      </w:r>
      <w:r>
        <w:rPr>
          <w:rFonts w:hint="eastAsia" w:cs="Times New Roman"/>
          <w:color w:val="auto"/>
          <w:lang w:eastAsia="zh-CN"/>
        </w:rPr>
        <w:t>、</w:t>
      </w:r>
      <w:r>
        <w:rPr>
          <w:rFonts w:hint="eastAsia" w:cs="Times New Roman"/>
          <w:color w:val="auto"/>
        </w:rPr>
        <w:t>废活性炭</w:t>
      </w:r>
      <w:r>
        <w:rPr>
          <w:rFonts w:hint="eastAsia" w:cs="Times New Roman"/>
          <w:color w:val="auto"/>
          <w:lang w:eastAsia="zh-CN"/>
        </w:rPr>
        <w:t>、</w:t>
      </w:r>
      <w:r>
        <w:rPr>
          <w:rFonts w:hint="eastAsia" w:cs="Times New Roman"/>
          <w:color w:val="auto"/>
        </w:rPr>
        <w:t>废RO膜；危险废物主要包括废包装物</w:t>
      </w:r>
      <w:r>
        <w:rPr>
          <w:rFonts w:hint="eastAsia" w:cs="Times New Roman"/>
          <w:color w:val="auto"/>
          <w:lang w:eastAsia="zh-CN"/>
        </w:rPr>
        <w:t>、</w:t>
      </w:r>
      <w:r>
        <w:rPr>
          <w:rFonts w:hint="eastAsia" w:cs="Times New Roman"/>
          <w:color w:val="auto"/>
        </w:rPr>
        <w:t>废拉伸油</w:t>
      </w:r>
      <w:r>
        <w:rPr>
          <w:rFonts w:hint="eastAsia" w:cs="Times New Roman"/>
          <w:color w:val="auto"/>
          <w:lang w:eastAsia="zh-CN"/>
        </w:rPr>
        <w:t>、</w:t>
      </w:r>
      <w:r>
        <w:rPr>
          <w:rFonts w:hint="eastAsia" w:cs="Times New Roman"/>
          <w:color w:val="auto"/>
        </w:rPr>
        <w:t>废切削液</w:t>
      </w:r>
      <w:r>
        <w:rPr>
          <w:rFonts w:hint="eastAsia" w:cs="Times New Roman"/>
          <w:color w:val="auto"/>
          <w:lang w:eastAsia="zh-CN"/>
        </w:rPr>
        <w:t>、</w:t>
      </w:r>
      <w:r>
        <w:rPr>
          <w:rFonts w:hint="eastAsia" w:cs="Times New Roman"/>
          <w:color w:val="auto"/>
        </w:rPr>
        <w:t>废油渣</w:t>
      </w:r>
      <w:r>
        <w:rPr>
          <w:rFonts w:hint="eastAsia" w:cs="Times New Roman"/>
          <w:color w:val="auto"/>
          <w:lang w:eastAsia="zh-CN"/>
        </w:rPr>
        <w:t>、</w:t>
      </w:r>
      <w:r>
        <w:rPr>
          <w:rFonts w:hint="eastAsia" w:cs="Times New Roman"/>
          <w:color w:val="auto"/>
        </w:rPr>
        <w:t>含酸废水预处理系统重金属污泥</w:t>
      </w:r>
      <w:r>
        <w:rPr>
          <w:rFonts w:hint="eastAsia" w:cs="Times New Roman"/>
          <w:color w:val="auto"/>
          <w:lang w:eastAsia="zh-CN"/>
        </w:rPr>
        <w:t>、</w:t>
      </w:r>
      <w:r>
        <w:rPr>
          <w:rFonts w:hint="eastAsia" w:cs="Times New Roman"/>
          <w:color w:val="auto"/>
        </w:rPr>
        <w:t>含镍废槽液</w:t>
      </w:r>
      <w:r>
        <w:rPr>
          <w:rFonts w:hint="eastAsia" w:cs="Times New Roman"/>
          <w:color w:val="auto"/>
          <w:lang w:eastAsia="zh-CN"/>
        </w:rPr>
        <w:t>、</w:t>
      </w:r>
      <w:r>
        <w:rPr>
          <w:rFonts w:hint="eastAsia" w:cs="Times New Roman"/>
          <w:color w:val="auto"/>
        </w:rPr>
        <w:t>含镍废槽渣</w:t>
      </w:r>
      <w:r>
        <w:rPr>
          <w:rFonts w:hint="eastAsia" w:cs="Times New Roman"/>
          <w:color w:val="auto"/>
          <w:lang w:eastAsia="zh-CN"/>
        </w:rPr>
        <w:t>、</w:t>
      </w:r>
      <w:r>
        <w:rPr>
          <w:rFonts w:hint="eastAsia" w:cs="Times New Roman"/>
          <w:color w:val="auto"/>
        </w:rPr>
        <w:t>含锌废槽液</w:t>
      </w:r>
      <w:r>
        <w:rPr>
          <w:rFonts w:hint="eastAsia" w:cs="Times New Roman"/>
          <w:color w:val="auto"/>
          <w:lang w:eastAsia="zh-CN"/>
        </w:rPr>
        <w:t>、</w:t>
      </w:r>
      <w:r>
        <w:rPr>
          <w:rFonts w:hint="eastAsia" w:cs="Times New Roman"/>
          <w:color w:val="auto"/>
        </w:rPr>
        <w:t>含锌废槽渣</w:t>
      </w:r>
      <w:r>
        <w:rPr>
          <w:rFonts w:hint="eastAsia" w:cs="Times New Roman"/>
          <w:color w:val="auto"/>
          <w:lang w:eastAsia="zh-CN"/>
        </w:rPr>
        <w:t>、</w:t>
      </w:r>
      <w:r>
        <w:rPr>
          <w:rFonts w:hint="eastAsia" w:cs="Times New Roman"/>
          <w:color w:val="auto"/>
        </w:rPr>
        <w:t>退锌线废槽液</w:t>
      </w:r>
      <w:r>
        <w:rPr>
          <w:rFonts w:hint="eastAsia" w:cs="Times New Roman"/>
          <w:color w:val="auto"/>
          <w:lang w:eastAsia="zh-CN"/>
        </w:rPr>
        <w:t>、</w:t>
      </w:r>
      <w:r>
        <w:rPr>
          <w:rFonts w:hint="eastAsia" w:cs="Times New Roman"/>
          <w:color w:val="auto"/>
        </w:rPr>
        <w:t>退镍线废槽液</w:t>
      </w:r>
      <w:r>
        <w:rPr>
          <w:rFonts w:hint="eastAsia" w:cs="Times New Roman"/>
          <w:color w:val="auto"/>
          <w:lang w:eastAsia="zh-CN"/>
        </w:rPr>
        <w:t>、</w:t>
      </w:r>
      <w:r>
        <w:rPr>
          <w:rFonts w:hint="eastAsia" w:cs="Times New Roman"/>
          <w:color w:val="auto"/>
        </w:rPr>
        <w:t>废滤芯</w:t>
      </w:r>
      <w:r>
        <w:rPr>
          <w:rFonts w:hint="eastAsia" w:cs="Times New Roman"/>
          <w:color w:val="auto"/>
          <w:lang w:eastAsia="zh-CN"/>
        </w:rPr>
        <w:t>、</w:t>
      </w:r>
      <w:r>
        <w:rPr>
          <w:rFonts w:hint="eastAsia" w:cs="Times New Roman"/>
          <w:color w:val="auto"/>
        </w:rPr>
        <w:t>废油渣</w:t>
      </w:r>
      <w:r>
        <w:rPr>
          <w:rFonts w:hint="eastAsia" w:cs="Times New Roman"/>
          <w:color w:val="auto"/>
          <w:lang w:eastAsia="zh-CN"/>
        </w:rPr>
        <w:t>、</w:t>
      </w:r>
      <w:r>
        <w:rPr>
          <w:rFonts w:hint="eastAsia" w:cs="Times New Roman"/>
          <w:color w:val="auto"/>
        </w:rPr>
        <w:t>含镍废活性炭</w:t>
      </w:r>
      <w:r>
        <w:rPr>
          <w:rFonts w:hint="eastAsia" w:cs="Times New Roman"/>
          <w:color w:val="auto"/>
          <w:lang w:eastAsia="zh-CN"/>
        </w:rPr>
        <w:t>、</w:t>
      </w:r>
      <w:r>
        <w:rPr>
          <w:rFonts w:hint="eastAsia" w:cs="Times New Roman"/>
          <w:color w:val="auto"/>
        </w:rPr>
        <w:t>含镍废过滤膜</w:t>
      </w:r>
      <w:r>
        <w:rPr>
          <w:rFonts w:hint="eastAsia" w:cs="Times New Roman"/>
          <w:color w:val="auto"/>
          <w:lang w:eastAsia="zh-CN"/>
        </w:rPr>
        <w:t>、</w:t>
      </w:r>
      <w:r>
        <w:rPr>
          <w:rFonts w:hint="eastAsia" w:cs="Times New Roman"/>
          <w:color w:val="auto"/>
        </w:rPr>
        <w:t>含镍污泥</w:t>
      </w:r>
      <w:r>
        <w:rPr>
          <w:rFonts w:hint="eastAsia" w:cs="Times New Roman"/>
          <w:color w:val="auto"/>
          <w:lang w:eastAsia="zh-CN"/>
        </w:rPr>
        <w:t>、</w:t>
      </w:r>
      <w:r>
        <w:rPr>
          <w:rFonts w:hint="eastAsia" w:cs="Times New Roman"/>
          <w:color w:val="auto"/>
        </w:rPr>
        <w:t>含铬废活性炭</w:t>
      </w:r>
      <w:r>
        <w:rPr>
          <w:rFonts w:hint="eastAsia" w:cs="Times New Roman"/>
          <w:color w:val="auto"/>
          <w:lang w:eastAsia="zh-CN"/>
        </w:rPr>
        <w:t>、</w:t>
      </w:r>
      <w:r>
        <w:rPr>
          <w:rFonts w:hint="eastAsia" w:cs="Times New Roman"/>
          <w:color w:val="auto"/>
        </w:rPr>
        <w:t>含铬废过滤膜</w:t>
      </w:r>
      <w:r>
        <w:rPr>
          <w:rFonts w:hint="eastAsia" w:cs="Times New Roman"/>
          <w:color w:val="auto"/>
          <w:lang w:eastAsia="zh-CN"/>
        </w:rPr>
        <w:t>、</w:t>
      </w:r>
      <w:r>
        <w:rPr>
          <w:rFonts w:hint="eastAsia" w:cs="Times New Roman"/>
          <w:color w:val="auto"/>
        </w:rPr>
        <w:t>含铬污泥</w:t>
      </w:r>
      <w:r>
        <w:rPr>
          <w:rFonts w:hint="eastAsia" w:cs="Times New Roman"/>
          <w:color w:val="auto"/>
          <w:lang w:eastAsia="zh-CN"/>
        </w:rPr>
        <w:t>、</w:t>
      </w:r>
      <w:r>
        <w:rPr>
          <w:rFonts w:hint="eastAsia" w:cs="Times New Roman"/>
          <w:color w:val="auto"/>
        </w:rPr>
        <w:t>蒸发浓液</w:t>
      </w:r>
      <w:r>
        <w:rPr>
          <w:rFonts w:hint="eastAsia" w:cs="Times New Roman"/>
          <w:color w:val="auto"/>
          <w:lang w:eastAsia="zh-CN"/>
        </w:rPr>
        <w:t>、</w:t>
      </w:r>
      <w:r>
        <w:rPr>
          <w:rFonts w:hint="eastAsia" w:cs="Times New Roman"/>
          <w:color w:val="auto"/>
        </w:rPr>
        <w:t>含锌废活性炭</w:t>
      </w:r>
      <w:r>
        <w:rPr>
          <w:rFonts w:hint="eastAsia" w:cs="Times New Roman"/>
          <w:color w:val="auto"/>
          <w:lang w:eastAsia="zh-CN"/>
        </w:rPr>
        <w:t>、</w:t>
      </w:r>
      <w:r>
        <w:rPr>
          <w:rFonts w:hint="eastAsia" w:cs="Times New Roman"/>
          <w:color w:val="auto"/>
        </w:rPr>
        <w:t>含锌废过滤膜</w:t>
      </w:r>
      <w:r>
        <w:rPr>
          <w:rFonts w:hint="eastAsia" w:cs="Times New Roman"/>
          <w:color w:val="auto"/>
          <w:lang w:eastAsia="zh-CN"/>
        </w:rPr>
        <w:t>、</w:t>
      </w:r>
      <w:r>
        <w:rPr>
          <w:rFonts w:hint="eastAsia" w:cs="Times New Roman"/>
          <w:color w:val="auto"/>
        </w:rPr>
        <w:t>含锌污泥</w:t>
      </w:r>
      <w:r>
        <w:rPr>
          <w:rFonts w:hint="eastAsia" w:cs="Times New Roman"/>
          <w:color w:val="auto"/>
          <w:lang w:eastAsia="zh-CN"/>
        </w:rPr>
        <w:t>、</w:t>
      </w:r>
      <w:r>
        <w:rPr>
          <w:rFonts w:hint="eastAsia" w:cs="Times New Roman"/>
          <w:color w:val="auto"/>
        </w:rPr>
        <w:t>含铬镍污泥</w:t>
      </w:r>
      <w:r>
        <w:rPr>
          <w:rFonts w:hint="eastAsia" w:cs="Times New Roman"/>
          <w:color w:val="auto"/>
          <w:lang w:eastAsia="zh-CN"/>
        </w:rPr>
        <w:t>、</w:t>
      </w:r>
      <w:r>
        <w:rPr>
          <w:rFonts w:hint="eastAsia" w:cs="Times New Roman"/>
          <w:color w:val="auto"/>
        </w:rPr>
        <w:t>含铬镍废活性炭</w:t>
      </w:r>
      <w:r>
        <w:rPr>
          <w:rFonts w:hint="eastAsia" w:cs="Times New Roman"/>
          <w:color w:val="auto"/>
          <w:lang w:eastAsia="zh-CN"/>
        </w:rPr>
        <w:t>、</w:t>
      </w:r>
      <w:r>
        <w:rPr>
          <w:rFonts w:hint="eastAsia" w:cs="Times New Roman"/>
          <w:color w:val="auto"/>
        </w:rPr>
        <w:t>含铬镍废过滤膜。</w:t>
      </w:r>
    </w:p>
    <w:bookmarkEnd w:id="31"/>
    <w:p w14:paraId="039CC3FB">
      <w:pPr>
        <w:ind w:firstLine="480"/>
        <w:rPr>
          <w:rFonts w:cs="Times New Roman"/>
          <w:color w:val="auto"/>
        </w:rPr>
      </w:pPr>
      <w:r>
        <w:rPr>
          <w:rFonts w:cs="Times New Roman"/>
          <w:color w:val="auto"/>
        </w:rPr>
        <w:t>项目产生的固废种类及处置措施情况见下表。</w:t>
      </w:r>
    </w:p>
    <w:p w14:paraId="301734B3">
      <w:pPr>
        <w:pStyle w:val="40"/>
        <w:spacing w:beforeLines="0"/>
        <w:rPr>
          <w:color w:val="auto"/>
        </w:rPr>
      </w:pPr>
      <w:r>
        <w:rPr>
          <w:color w:val="auto"/>
        </w:rPr>
        <w:t xml:space="preserve">表4-3             </w:t>
      </w:r>
      <w:r>
        <w:rPr>
          <w:rFonts w:hint="eastAsia"/>
          <w:color w:val="auto"/>
          <w:lang w:val="en-US" w:eastAsia="zh-CN"/>
        </w:rPr>
        <w:t xml:space="preserve"> </w:t>
      </w:r>
      <w:r>
        <w:rPr>
          <w:color w:val="auto"/>
        </w:rPr>
        <w:t xml:space="preserve"> </w:t>
      </w:r>
      <w:r>
        <w:rPr>
          <w:rFonts w:hint="eastAsia"/>
          <w:color w:val="auto"/>
          <w:lang w:val="en-US" w:eastAsia="zh-CN"/>
        </w:rPr>
        <w:t xml:space="preserve">   </w:t>
      </w:r>
      <w:r>
        <w:rPr>
          <w:color w:val="auto"/>
        </w:rPr>
        <w:t xml:space="preserve">   </w:t>
      </w:r>
      <w:r>
        <w:rPr>
          <w:rFonts w:hint="eastAsia"/>
          <w:color w:val="auto"/>
          <w:lang w:val="en-US" w:eastAsia="zh-CN"/>
        </w:rPr>
        <w:t xml:space="preserve">   本项目</w:t>
      </w:r>
      <w:r>
        <w:rPr>
          <w:color w:val="auto"/>
        </w:rPr>
        <w:t>固体废物产生量及处置措施</w:t>
      </w:r>
    </w:p>
    <w:tbl>
      <w:tblPr>
        <w:tblStyle w:val="26"/>
        <w:tblW w:w="4587" w:type="pct"/>
        <w:jc w:val="center"/>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Layout w:type="fixed"/>
        <w:tblCellMar>
          <w:top w:w="0" w:type="dxa"/>
          <w:left w:w="108" w:type="dxa"/>
          <w:bottom w:w="0" w:type="dxa"/>
          <w:right w:w="108" w:type="dxa"/>
        </w:tblCellMar>
      </w:tblPr>
      <w:tblGrid>
        <w:gridCol w:w="1094"/>
        <w:gridCol w:w="2070"/>
        <w:gridCol w:w="2092"/>
        <w:gridCol w:w="1442"/>
        <w:gridCol w:w="1824"/>
      </w:tblGrid>
      <w:tr w14:paraId="79B875EC">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400" w:hRule="atLeast"/>
          <w:jc w:val="center"/>
        </w:trPr>
        <w:tc>
          <w:tcPr>
            <w:tcW w:w="641" w:type="pct"/>
            <w:shd w:val="clear" w:color="auto" w:fill="auto"/>
            <w:tcMar>
              <w:top w:w="28" w:type="dxa"/>
              <w:bottom w:w="28" w:type="dxa"/>
            </w:tcMar>
            <w:vAlign w:val="center"/>
          </w:tcPr>
          <w:p w14:paraId="5FC57C53">
            <w:pPr>
              <w:pStyle w:val="69"/>
              <w:rPr>
                <w:b/>
                <w:bCs/>
                <w:color w:val="auto"/>
              </w:rPr>
            </w:pPr>
            <w:r>
              <w:rPr>
                <w:b/>
                <w:bCs/>
                <w:color w:val="auto"/>
              </w:rPr>
              <w:t>项目</w:t>
            </w:r>
          </w:p>
        </w:tc>
        <w:tc>
          <w:tcPr>
            <w:tcW w:w="1214" w:type="pct"/>
            <w:shd w:val="clear" w:color="auto" w:fill="auto"/>
            <w:tcMar>
              <w:top w:w="28" w:type="dxa"/>
              <w:bottom w:w="28" w:type="dxa"/>
            </w:tcMar>
            <w:vAlign w:val="center"/>
          </w:tcPr>
          <w:p w14:paraId="363F5EFC">
            <w:pPr>
              <w:pStyle w:val="69"/>
              <w:rPr>
                <w:rFonts w:hint="default" w:eastAsia="宋体"/>
                <w:b/>
                <w:bCs/>
                <w:color w:val="auto"/>
                <w:lang w:val="en-US" w:eastAsia="zh-CN"/>
              </w:rPr>
            </w:pPr>
            <w:r>
              <w:rPr>
                <w:rFonts w:hint="eastAsia"/>
                <w:b/>
                <w:bCs/>
                <w:color w:val="auto"/>
                <w:lang w:val="en-US" w:eastAsia="zh-CN"/>
              </w:rPr>
              <w:t>产污环节</w:t>
            </w:r>
          </w:p>
        </w:tc>
        <w:tc>
          <w:tcPr>
            <w:tcW w:w="1227" w:type="pct"/>
            <w:shd w:val="clear" w:color="auto" w:fill="auto"/>
            <w:tcMar>
              <w:top w:w="28" w:type="dxa"/>
              <w:bottom w:w="28" w:type="dxa"/>
            </w:tcMar>
            <w:vAlign w:val="center"/>
          </w:tcPr>
          <w:p w14:paraId="382BB36D">
            <w:pPr>
              <w:pStyle w:val="69"/>
              <w:rPr>
                <w:rFonts w:hint="default" w:eastAsia="宋体"/>
                <w:b/>
                <w:bCs/>
                <w:color w:val="auto"/>
                <w:lang w:val="en-US" w:eastAsia="zh-CN"/>
              </w:rPr>
            </w:pPr>
            <w:r>
              <w:rPr>
                <w:rFonts w:hint="eastAsia"/>
                <w:b/>
                <w:bCs/>
                <w:color w:val="auto"/>
                <w:lang w:val="en-US" w:eastAsia="zh-CN"/>
              </w:rPr>
              <w:t>固废名称</w:t>
            </w:r>
          </w:p>
        </w:tc>
        <w:tc>
          <w:tcPr>
            <w:tcW w:w="846" w:type="pct"/>
            <w:shd w:val="clear" w:color="auto" w:fill="auto"/>
            <w:tcMar>
              <w:top w:w="28" w:type="dxa"/>
              <w:bottom w:w="28" w:type="dxa"/>
            </w:tcMar>
            <w:vAlign w:val="center"/>
          </w:tcPr>
          <w:p w14:paraId="7F8F3A2E">
            <w:pPr>
              <w:pStyle w:val="69"/>
              <w:rPr>
                <w:b/>
                <w:bCs/>
                <w:color w:val="auto"/>
              </w:rPr>
            </w:pPr>
            <w:r>
              <w:rPr>
                <w:rFonts w:hint="eastAsia"/>
                <w:b/>
                <w:bCs/>
                <w:color w:val="auto"/>
              </w:rPr>
              <w:t>废物特性</w:t>
            </w:r>
          </w:p>
        </w:tc>
        <w:tc>
          <w:tcPr>
            <w:tcW w:w="1070" w:type="pct"/>
            <w:shd w:val="clear" w:color="auto" w:fill="auto"/>
            <w:vAlign w:val="center"/>
          </w:tcPr>
          <w:p w14:paraId="0FC7A959">
            <w:pPr>
              <w:pStyle w:val="69"/>
              <w:rPr>
                <w:b/>
                <w:bCs/>
                <w:color w:val="auto"/>
              </w:rPr>
            </w:pPr>
            <w:r>
              <w:rPr>
                <w:rFonts w:hint="eastAsia"/>
                <w:b/>
                <w:bCs/>
                <w:color w:val="auto"/>
              </w:rPr>
              <w:t>治理措施</w:t>
            </w:r>
          </w:p>
        </w:tc>
      </w:tr>
      <w:tr w14:paraId="6D8CADD7">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641" w:type="pct"/>
            <w:vMerge w:val="restart"/>
            <w:shd w:val="clear" w:color="auto" w:fill="auto"/>
            <w:tcMar>
              <w:top w:w="28" w:type="dxa"/>
              <w:bottom w:w="28" w:type="dxa"/>
            </w:tcMar>
            <w:vAlign w:val="center"/>
          </w:tcPr>
          <w:p w14:paraId="003C2052">
            <w:pPr>
              <w:pStyle w:val="69"/>
              <w:rPr>
                <w:color w:val="auto"/>
              </w:rPr>
            </w:pPr>
            <w:r>
              <w:rPr>
                <w:color w:val="auto"/>
              </w:rPr>
              <w:t>固体</w:t>
            </w:r>
          </w:p>
          <w:p w14:paraId="5F94C49E">
            <w:pPr>
              <w:pStyle w:val="69"/>
              <w:rPr>
                <w:color w:val="auto"/>
              </w:rPr>
            </w:pPr>
            <w:r>
              <w:rPr>
                <w:color w:val="auto"/>
              </w:rPr>
              <w:t>废物</w:t>
            </w:r>
          </w:p>
        </w:tc>
        <w:tc>
          <w:tcPr>
            <w:tcW w:w="1214" w:type="pct"/>
            <w:shd w:val="clear" w:color="auto" w:fill="auto"/>
            <w:tcMar>
              <w:top w:w="28" w:type="dxa"/>
              <w:bottom w:w="28" w:type="dxa"/>
            </w:tcMar>
            <w:vAlign w:val="center"/>
          </w:tcPr>
          <w:p w14:paraId="6D1C8890">
            <w:pPr>
              <w:pStyle w:val="53"/>
              <w:ind w:firstLine="0" w:firstLineChars="0"/>
              <w:rPr>
                <w:color w:val="auto"/>
              </w:rPr>
            </w:pPr>
            <w:r>
              <w:rPr>
                <w:rFonts w:hint="eastAsia"/>
                <w:color w:val="auto"/>
              </w:rPr>
              <w:t>冲压</w:t>
            </w:r>
          </w:p>
        </w:tc>
        <w:tc>
          <w:tcPr>
            <w:tcW w:w="1227" w:type="pct"/>
            <w:shd w:val="clear" w:color="auto" w:fill="auto"/>
            <w:tcMar>
              <w:top w:w="28" w:type="dxa"/>
              <w:bottom w:w="28" w:type="dxa"/>
            </w:tcMar>
            <w:vAlign w:val="center"/>
          </w:tcPr>
          <w:p w14:paraId="64BC8EA1">
            <w:pPr>
              <w:pStyle w:val="53"/>
              <w:ind w:firstLine="0" w:firstLineChars="0"/>
              <w:rPr>
                <w:rFonts w:ascii="Times New Roman" w:hAnsi="Times New Roman" w:eastAsia="宋体" w:cs="Times New Roman"/>
                <w:color w:val="auto"/>
                <w:sz w:val="21"/>
                <w:szCs w:val="21"/>
                <w:lang w:val="en-US" w:eastAsia="zh-CN" w:bidi="ar-SA"/>
              </w:rPr>
            </w:pPr>
            <w:r>
              <w:rPr>
                <w:rFonts w:hint="eastAsia"/>
                <w:color w:val="auto"/>
              </w:rPr>
              <w:t>废边角料</w:t>
            </w:r>
          </w:p>
        </w:tc>
        <w:tc>
          <w:tcPr>
            <w:tcW w:w="846" w:type="pct"/>
            <w:shd w:val="clear" w:color="auto" w:fill="auto"/>
            <w:tcMar>
              <w:top w:w="28" w:type="dxa"/>
              <w:bottom w:w="28" w:type="dxa"/>
            </w:tcMar>
            <w:vAlign w:val="center"/>
          </w:tcPr>
          <w:p w14:paraId="1855CAE7">
            <w:pPr>
              <w:pStyle w:val="69"/>
              <w:rPr>
                <w:rFonts w:hint="eastAsia"/>
                <w:color w:val="auto"/>
              </w:rPr>
            </w:pPr>
            <w:r>
              <w:rPr>
                <w:rFonts w:hint="eastAsia" w:cs="Times New Roman"/>
                <w:color w:val="auto"/>
              </w:rPr>
              <w:t>一般固废</w:t>
            </w:r>
          </w:p>
        </w:tc>
        <w:tc>
          <w:tcPr>
            <w:tcW w:w="1070" w:type="pct"/>
            <w:vMerge w:val="restart"/>
            <w:shd w:val="clear" w:color="auto" w:fill="auto"/>
            <w:vAlign w:val="center"/>
          </w:tcPr>
          <w:p w14:paraId="46C3D706">
            <w:pPr>
              <w:pStyle w:val="69"/>
              <w:rPr>
                <w:color w:val="auto"/>
              </w:rPr>
            </w:pPr>
            <w:r>
              <w:rPr>
                <w:rFonts w:hint="eastAsia" w:cs="宋体"/>
                <w:color w:val="auto"/>
              </w:rPr>
              <w:t>收集至一般固废暂存间暂存，定期外售</w:t>
            </w:r>
          </w:p>
        </w:tc>
      </w:tr>
      <w:tr w14:paraId="0E84DED5">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641" w:type="pct"/>
            <w:vMerge w:val="continue"/>
            <w:shd w:val="clear" w:color="auto" w:fill="auto"/>
            <w:tcMar>
              <w:top w:w="28" w:type="dxa"/>
              <w:bottom w:w="28" w:type="dxa"/>
            </w:tcMar>
            <w:vAlign w:val="center"/>
          </w:tcPr>
          <w:p w14:paraId="4BF3C8A3">
            <w:pPr>
              <w:pStyle w:val="69"/>
              <w:rPr>
                <w:color w:val="auto"/>
              </w:rPr>
            </w:pPr>
          </w:p>
        </w:tc>
        <w:tc>
          <w:tcPr>
            <w:tcW w:w="1214" w:type="pct"/>
            <w:shd w:val="clear" w:color="auto" w:fill="auto"/>
            <w:tcMar>
              <w:top w:w="28" w:type="dxa"/>
              <w:bottom w:w="28" w:type="dxa"/>
            </w:tcMar>
            <w:vAlign w:val="center"/>
          </w:tcPr>
          <w:p w14:paraId="291C839C">
            <w:pPr>
              <w:pStyle w:val="53"/>
              <w:ind w:firstLine="0" w:firstLineChars="0"/>
              <w:rPr>
                <w:color w:val="auto"/>
              </w:rPr>
            </w:pPr>
            <w:r>
              <w:rPr>
                <w:rFonts w:hint="eastAsia"/>
                <w:color w:val="auto"/>
              </w:rPr>
              <w:t>检验</w:t>
            </w:r>
          </w:p>
        </w:tc>
        <w:tc>
          <w:tcPr>
            <w:tcW w:w="1227" w:type="pct"/>
            <w:shd w:val="clear" w:color="auto" w:fill="auto"/>
            <w:tcMar>
              <w:top w:w="28" w:type="dxa"/>
              <w:bottom w:w="28" w:type="dxa"/>
            </w:tcMar>
            <w:vAlign w:val="center"/>
          </w:tcPr>
          <w:p w14:paraId="6DE73DB7">
            <w:pPr>
              <w:pStyle w:val="53"/>
              <w:ind w:firstLine="0" w:firstLineChars="0"/>
              <w:rPr>
                <w:rFonts w:ascii="Times New Roman" w:hAnsi="Times New Roman" w:eastAsia="宋体" w:cs="Times New Roman"/>
                <w:color w:val="auto"/>
                <w:sz w:val="21"/>
                <w:szCs w:val="21"/>
                <w:lang w:val="en-US" w:eastAsia="zh-CN" w:bidi="ar-SA"/>
              </w:rPr>
            </w:pPr>
            <w:r>
              <w:rPr>
                <w:rFonts w:hint="eastAsia"/>
                <w:color w:val="auto"/>
              </w:rPr>
              <w:t>废钢带</w:t>
            </w:r>
          </w:p>
        </w:tc>
        <w:tc>
          <w:tcPr>
            <w:tcW w:w="846" w:type="pct"/>
            <w:shd w:val="clear" w:color="auto" w:fill="auto"/>
            <w:tcMar>
              <w:top w:w="28" w:type="dxa"/>
              <w:bottom w:w="28" w:type="dxa"/>
            </w:tcMar>
            <w:vAlign w:val="center"/>
          </w:tcPr>
          <w:p w14:paraId="68CC1C4F">
            <w:pPr>
              <w:pStyle w:val="69"/>
              <w:rPr>
                <w:rFonts w:hint="eastAsia"/>
                <w:color w:val="auto"/>
              </w:rPr>
            </w:pPr>
            <w:r>
              <w:rPr>
                <w:rFonts w:hint="eastAsia" w:cs="Times New Roman"/>
                <w:color w:val="auto"/>
              </w:rPr>
              <w:t>一般固废</w:t>
            </w:r>
          </w:p>
        </w:tc>
        <w:tc>
          <w:tcPr>
            <w:tcW w:w="1070" w:type="pct"/>
            <w:vMerge w:val="continue"/>
            <w:shd w:val="clear" w:color="auto" w:fill="auto"/>
            <w:vAlign w:val="center"/>
          </w:tcPr>
          <w:p w14:paraId="669DD0C0">
            <w:pPr>
              <w:pStyle w:val="69"/>
              <w:rPr>
                <w:color w:val="auto"/>
              </w:rPr>
            </w:pPr>
          </w:p>
        </w:tc>
      </w:tr>
      <w:tr w14:paraId="4E03D465">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641" w:type="pct"/>
            <w:vMerge w:val="continue"/>
            <w:shd w:val="clear" w:color="auto" w:fill="auto"/>
            <w:tcMar>
              <w:top w:w="28" w:type="dxa"/>
              <w:bottom w:w="28" w:type="dxa"/>
            </w:tcMar>
            <w:vAlign w:val="center"/>
          </w:tcPr>
          <w:p w14:paraId="1269AA38">
            <w:pPr>
              <w:pStyle w:val="69"/>
              <w:rPr>
                <w:color w:val="auto"/>
              </w:rPr>
            </w:pPr>
          </w:p>
        </w:tc>
        <w:tc>
          <w:tcPr>
            <w:tcW w:w="1214" w:type="pct"/>
            <w:shd w:val="clear" w:color="auto" w:fill="auto"/>
            <w:tcMar>
              <w:top w:w="28" w:type="dxa"/>
              <w:bottom w:w="28" w:type="dxa"/>
            </w:tcMar>
            <w:vAlign w:val="center"/>
          </w:tcPr>
          <w:p w14:paraId="1DB678BC">
            <w:pPr>
              <w:pStyle w:val="53"/>
              <w:ind w:firstLine="0" w:firstLineChars="0"/>
              <w:rPr>
                <w:color w:val="auto"/>
              </w:rPr>
            </w:pPr>
            <w:r>
              <w:rPr>
                <w:rFonts w:hint="eastAsia"/>
                <w:color w:val="auto"/>
              </w:rPr>
              <w:t>综合污水处理系统</w:t>
            </w:r>
          </w:p>
        </w:tc>
        <w:tc>
          <w:tcPr>
            <w:tcW w:w="1227" w:type="pct"/>
            <w:shd w:val="clear" w:color="auto" w:fill="auto"/>
            <w:tcMar>
              <w:top w:w="28" w:type="dxa"/>
              <w:bottom w:w="28" w:type="dxa"/>
            </w:tcMar>
            <w:vAlign w:val="center"/>
          </w:tcPr>
          <w:p w14:paraId="63BAEE18">
            <w:pPr>
              <w:pStyle w:val="53"/>
              <w:ind w:firstLine="0" w:firstLineChars="0"/>
              <w:rPr>
                <w:rFonts w:ascii="Times New Roman" w:hAnsi="Times New Roman" w:eastAsia="宋体" w:cs="Times New Roman"/>
                <w:color w:val="auto"/>
                <w:sz w:val="21"/>
                <w:szCs w:val="21"/>
                <w:lang w:val="en-US" w:eastAsia="zh-CN" w:bidi="ar-SA"/>
              </w:rPr>
            </w:pPr>
            <w:r>
              <w:rPr>
                <w:rFonts w:hint="eastAsia"/>
                <w:color w:val="auto"/>
              </w:rPr>
              <w:t>污泥</w:t>
            </w:r>
          </w:p>
        </w:tc>
        <w:tc>
          <w:tcPr>
            <w:tcW w:w="846" w:type="pct"/>
            <w:shd w:val="clear" w:color="auto" w:fill="auto"/>
            <w:tcMar>
              <w:top w:w="28" w:type="dxa"/>
              <w:bottom w:w="28" w:type="dxa"/>
            </w:tcMar>
            <w:vAlign w:val="center"/>
          </w:tcPr>
          <w:p w14:paraId="762A225E">
            <w:pPr>
              <w:pStyle w:val="69"/>
              <w:rPr>
                <w:rFonts w:hint="eastAsia"/>
                <w:color w:val="auto"/>
              </w:rPr>
            </w:pPr>
            <w:r>
              <w:rPr>
                <w:rFonts w:hint="eastAsia" w:cs="Times New Roman"/>
                <w:color w:val="auto"/>
              </w:rPr>
              <w:t>一般固废</w:t>
            </w:r>
          </w:p>
        </w:tc>
        <w:tc>
          <w:tcPr>
            <w:tcW w:w="1070" w:type="pct"/>
            <w:vMerge w:val="continue"/>
            <w:shd w:val="clear" w:color="auto" w:fill="auto"/>
            <w:vAlign w:val="center"/>
          </w:tcPr>
          <w:p w14:paraId="6A775B41">
            <w:pPr>
              <w:pStyle w:val="69"/>
              <w:rPr>
                <w:color w:val="auto"/>
              </w:rPr>
            </w:pPr>
          </w:p>
        </w:tc>
      </w:tr>
      <w:tr w14:paraId="350C238F">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641" w:type="pct"/>
            <w:vMerge w:val="continue"/>
            <w:shd w:val="clear" w:color="auto" w:fill="auto"/>
            <w:tcMar>
              <w:top w:w="28" w:type="dxa"/>
              <w:bottom w:w="28" w:type="dxa"/>
            </w:tcMar>
            <w:vAlign w:val="center"/>
          </w:tcPr>
          <w:p w14:paraId="3504AC17">
            <w:pPr>
              <w:pStyle w:val="69"/>
              <w:rPr>
                <w:color w:val="auto"/>
              </w:rPr>
            </w:pPr>
          </w:p>
        </w:tc>
        <w:tc>
          <w:tcPr>
            <w:tcW w:w="1214" w:type="pct"/>
            <w:vMerge w:val="restart"/>
            <w:shd w:val="clear" w:color="auto" w:fill="auto"/>
            <w:tcMar>
              <w:top w:w="28" w:type="dxa"/>
              <w:bottom w:w="28" w:type="dxa"/>
            </w:tcMar>
            <w:vAlign w:val="center"/>
          </w:tcPr>
          <w:p w14:paraId="0F4AC0C8">
            <w:pPr>
              <w:pStyle w:val="53"/>
              <w:ind w:firstLine="0" w:firstLineChars="0"/>
              <w:rPr>
                <w:color w:val="auto"/>
              </w:rPr>
            </w:pPr>
            <w:r>
              <w:rPr>
                <w:rFonts w:hint="eastAsia"/>
                <w:color w:val="auto"/>
              </w:rPr>
              <w:t>纯水制备</w:t>
            </w:r>
          </w:p>
        </w:tc>
        <w:tc>
          <w:tcPr>
            <w:tcW w:w="1227" w:type="pct"/>
            <w:shd w:val="clear" w:color="auto" w:fill="auto"/>
            <w:tcMar>
              <w:top w:w="28" w:type="dxa"/>
              <w:bottom w:w="28" w:type="dxa"/>
            </w:tcMar>
            <w:vAlign w:val="center"/>
          </w:tcPr>
          <w:p w14:paraId="41D264A4">
            <w:pPr>
              <w:pStyle w:val="53"/>
              <w:ind w:firstLine="0" w:firstLineChars="0"/>
              <w:rPr>
                <w:rFonts w:ascii="Times New Roman" w:hAnsi="Times New Roman" w:eastAsia="宋体" w:cs="Times New Roman"/>
                <w:color w:val="auto"/>
                <w:sz w:val="21"/>
                <w:szCs w:val="21"/>
                <w:lang w:val="en-US" w:eastAsia="zh-CN" w:bidi="ar-SA"/>
              </w:rPr>
            </w:pPr>
            <w:r>
              <w:rPr>
                <w:rFonts w:hint="eastAsia" w:cs="宋体"/>
                <w:color w:val="auto"/>
              </w:rPr>
              <w:t>废过滤器</w:t>
            </w:r>
          </w:p>
        </w:tc>
        <w:tc>
          <w:tcPr>
            <w:tcW w:w="846" w:type="pct"/>
            <w:shd w:val="clear" w:color="auto" w:fill="auto"/>
            <w:tcMar>
              <w:top w:w="28" w:type="dxa"/>
              <w:bottom w:w="28" w:type="dxa"/>
            </w:tcMar>
            <w:vAlign w:val="center"/>
          </w:tcPr>
          <w:p w14:paraId="3F6BB2F5">
            <w:pPr>
              <w:pStyle w:val="69"/>
              <w:rPr>
                <w:color w:val="auto"/>
              </w:rPr>
            </w:pPr>
            <w:r>
              <w:rPr>
                <w:rFonts w:hint="eastAsia" w:cs="Times New Roman"/>
                <w:color w:val="auto"/>
              </w:rPr>
              <w:t>一般固废</w:t>
            </w:r>
          </w:p>
        </w:tc>
        <w:tc>
          <w:tcPr>
            <w:tcW w:w="1070" w:type="pct"/>
            <w:vMerge w:val="restart"/>
            <w:shd w:val="clear" w:color="auto" w:fill="auto"/>
            <w:vAlign w:val="center"/>
          </w:tcPr>
          <w:p w14:paraId="71FA93FC">
            <w:pPr>
              <w:pStyle w:val="69"/>
              <w:rPr>
                <w:color w:val="auto"/>
              </w:rPr>
            </w:pPr>
            <w:r>
              <w:rPr>
                <w:rFonts w:hint="eastAsia" w:cs="宋体"/>
                <w:color w:val="auto"/>
              </w:rPr>
              <w:t>更换时</w:t>
            </w:r>
            <w:r>
              <w:rPr>
                <w:color w:val="auto"/>
                <w:szCs w:val="24"/>
              </w:rPr>
              <w:t>由供应厂家回收</w:t>
            </w:r>
          </w:p>
        </w:tc>
      </w:tr>
      <w:tr w14:paraId="6A54D6B1">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641" w:type="pct"/>
            <w:vMerge w:val="continue"/>
            <w:shd w:val="clear" w:color="auto" w:fill="auto"/>
            <w:tcMar>
              <w:top w:w="28" w:type="dxa"/>
              <w:bottom w:w="28" w:type="dxa"/>
            </w:tcMar>
            <w:vAlign w:val="center"/>
          </w:tcPr>
          <w:p w14:paraId="2DBCE5EA">
            <w:pPr>
              <w:pStyle w:val="69"/>
              <w:rPr>
                <w:color w:val="auto"/>
              </w:rPr>
            </w:pPr>
          </w:p>
        </w:tc>
        <w:tc>
          <w:tcPr>
            <w:tcW w:w="1214" w:type="pct"/>
            <w:vMerge w:val="continue"/>
            <w:shd w:val="clear" w:color="auto" w:fill="auto"/>
            <w:tcMar>
              <w:top w:w="28" w:type="dxa"/>
              <w:bottom w:w="28" w:type="dxa"/>
            </w:tcMar>
            <w:vAlign w:val="center"/>
          </w:tcPr>
          <w:p w14:paraId="42CD07FE">
            <w:pPr>
              <w:pStyle w:val="69"/>
              <w:rPr>
                <w:color w:val="auto"/>
              </w:rPr>
            </w:pPr>
          </w:p>
        </w:tc>
        <w:tc>
          <w:tcPr>
            <w:tcW w:w="1227" w:type="pct"/>
            <w:shd w:val="clear" w:color="auto" w:fill="auto"/>
            <w:tcMar>
              <w:top w:w="28" w:type="dxa"/>
              <w:bottom w:w="28" w:type="dxa"/>
            </w:tcMar>
            <w:vAlign w:val="center"/>
          </w:tcPr>
          <w:p w14:paraId="4EB867C6">
            <w:pPr>
              <w:pStyle w:val="53"/>
              <w:ind w:firstLine="0" w:firstLineChars="0"/>
              <w:rPr>
                <w:rFonts w:ascii="Times New Roman" w:hAnsi="Times New Roman" w:eastAsia="宋体" w:cs="宋体"/>
                <w:color w:val="auto"/>
                <w:sz w:val="21"/>
                <w:szCs w:val="21"/>
                <w:lang w:val="en-US" w:eastAsia="zh-CN" w:bidi="ar-SA"/>
              </w:rPr>
            </w:pPr>
            <w:r>
              <w:rPr>
                <w:rFonts w:hint="eastAsia" w:cs="宋体"/>
                <w:color w:val="auto"/>
              </w:rPr>
              <w:t>废活性炭</w:t>
            </w:r>
          </w:p>
        </w:tc>
        <w:tc>
          <w:tcPr>
            <w:tcW w:w="846" w:type="pct"/>
            <w:shd w:val="clear" w:color="auto" w:fill="auto"/>
            <w:tcMar>
              <w:top w:w="28" w:type="dxa"/>
              <w:bottom w:w="28" w:type="dxa"/>
            </w:tcMar>
            <w:vAlign w:val="center"/>
          </w:tcPr>
          <w:p w14:paraId="1372023B">
            <w:pPr>
              <w:pStyle w:val="69"/>
              <w:rPr>
                <w:color w:val="auto"/>
              </w:rPr>
            </w:pPr>
            <w:r>
              <w:rPr>
                <w:rFonts w:hint="eastAsia" w:cs="Times New Roman"/>
                <w:color w:val="auto"/>
              </w:rPr>
              <w:t>一般固废</w:t>
            </w:r>
          </w:p>
        </w:tc>
        <w:tc>
          <w:tcPr>
            <w:tcW w:w="1070" w:type="pct"/>
            <w:vMerge w:val="continue"/>
            <w:shd w:val="clear" w:color="auto" w:fill="auto"/>
            <w:vAlign w:val="center"/>
          </w:tcPr>
          <w:p w14:paraId="131D6914">
            <w:pPr>
              <w:pStyle w:val="69"/>
              <w:rPr>
                <w:color w:val="auto"/>
              </w:rPr>
            </w:pPr>
          </w:p>
        </w:tc>
      </w:tr>
      <w:tr w14:paraId="739E0D11">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641" w:type="pct"/>
            <w:vMerge w:val="continue"/>
            <w:shd w:val="clear" w:color="auto" w:fill="auto"/>
            <w:tcMar>
              <w:top w:w="28" w:type="dxa"/>
              <w:bottom w:w="28" w:type="dxa"/>
            </w:tcMar>
            <w:vAlign w:val="center"/>
          </w:tcPr>
          <w:p w14:paraId="53BD2781">
            <w:pPr>
              <w:pStyle w:val="69"/>
              <w:rPr>
                <w:color w:val="auto"/>
              </w:rPr>
            </w:pPr>
          </w:p>
        </w:tc>
        <w:tc>
          <w:tcPr>
            <w:tcW w:w="1214" w:type="pct"/>
            <w:vMerge w:val="continue"/>
            <w:shd w:val="clear" w:color="auto" w:fill="auto"/>
            <w:tcMar>
              <w:top w:w="28" w:type="dxa"/>
              <w:bottom w:w="28" w:type="dxa"/>
            </w:tcMar>
            <w:vAlign w:val="center"/>
          </w:tcPr>
          <w:p w14:paraId="1AA16C96">
            <w:pPr>
              <w:pStyle w:val="69"/>
              <w:rPr>
                <w:color w:val="auto"/>
              </w:rPr>
            </w:pPr>
          </w:p>
        </w:tc>
        <w:tc>
          <w:tcPr>
            <w:tcW w:w="1227" w:type="pct"/>
            <w:shd w:val="clear" w:color="auto" w:fill="auto"/>
            <w:tcMar>
              <w:top w:w="28" w:type="dxa"/>
              <w:bottom w:w="28" w:type="dxa"/>
            </w:tcMar>
            <w:vAlign w:val="center"/>
          </w:tcPr>
          <w:p w14:paraId="3DCF7F79">
            <w:pPr>
              <w:pStyle w:val="53"/>
              <w:ind w:firstLine="0" w:firstLineChars="0"/>
              <w:rPr>
                <w:rFonts w:ascii="Times New Roman" w:hAnsi="Times New Roman" w:eastAsia="宋体" w:cs="宋体"/>
                <w:color w:val="auto"/>
                <w:sz w:val="21"/>
                <w:szCs w:val="21"/>
                <w:lang w:val="en-US" w:eastAsia="zh-CN" w:bidi="ar-SA"/>
              </w:rPr>
            </w:pPr>
            <w:r>
              <w:rPr>
                <w:rFonts w:hint="eastAsia" w:cs="宋体"/>
                <w:color w:val="auto"/>
              </w:rPr>
              <w:t>废RO膜</w:t>
            </w:r>
          </w:p>
        </w:tc>
        <w:tc>
          <w:tcPr>
            <w:tcW w:w="846" w:type="pct"/>
            <w:shd w:val="clear" w:color="auto" w:fill="auto"/>
            <w:tcMar>
              <w:top w:w="28" w:type="dxa"/>
              <w:bottom w:w="28" w:type="dxa"/>
            </w:tcMar>
            <w:vAlign w:val="center"/>
          </w:tcPr>
          <w:p w14:paraId="5C5A1BA6">
            <w:pPr>
              <w:pStyle w:val="69"/>
              <w:rPr>
                <w:color w:val="auto"/>
              </w:rPr>
            </w:pPr>
            <w:r>
              <w:rPr>
                <w:rFonts w:hint="eastAsia" w:cs="Times New Roman"/>
                <w:color w:val="auto"/>
              </w:rPr>
              <w:t>一般固废</w:t>
            </w:r>
          </w:p>
        </w:tc>
        <w:tc>
          <w:tcPr>
            <w:tcW w:w="1070" w:type="pct"/>
            <w:vMerge w:val="continue"/>
            <w:shd w:val="clear" w:color="auto" w:fill="auto"/>
            <w:vAlign w:val="center"/>
          </w:tcPr>
          <w:p w14:paraId="3FF9F7A3">
            <w:pPr>
              <w:pStyle w:val="69"/>
              <w:rPr>
                <w:color w:val="auto"/>
              </w:rPr>
            </w:pPr>
          </w:p>
        </w:tc>
      </w:tr>
      <w:tr w14:paraId="3FF4F8F9">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641" w:type="pct"/>
            <w:vMerge w:val="continue"/>
            <w:shd w:val="clear" w:color="auto" w:fill="auto"/>
            <w:tcMar>
              <w:top w:w="28" w:type="dxa"/>
              <w:bottom w:w="28" w:type="dxa"/>
            </w:tcMar>
            <w:vAlign w:val="center"/>
          </w:tcPr>
          <w:p w14:paraId="116831C0">
            <w:pPr>
              <w:pStyle w:val="69"/>
              <w:rPr>
                <w:color w:val="auto"/>
              </w:rPr>
            </w:pPr>
          </w:p>
        </w:tc>
        <w:tc>
          <w:tcPr>
            <w:tcW w:w="1214" w:type="pct"/>
            <w:shd w:val="clear" w:color="auto" w:fill="auto"/>
            <w:tcMar>
              <w:top w:w="28" w:type="dxa"/>
              <w:bottom w:w="28" w:type="dxa"/>
            </w:tcMar>
            <w:vAlign w:val="center"/>
          </w:tcPr>
          <w:p w14:paraId="65494DDE">
            <w:pPr>
              <w:pStyle w:val="53"/>
              <w:ind w:firstLine="0" w:firstLineChars="0"/>
              <w:rPr>
                <w:rFonts w:ascii="Times New Roman" w:hAnsi="Times New Roman" w:eastAsia="宋体" w:cs="Times New Roman"/>
                <w:color w:val="auto"/>
                <w:kern w:val="2"/>
                <w:sz w:val="21"/>
                <w:szCs w:val="21"/>
                <w:u w:val="none"/>
                <w:lang w:val="en-US" w:eastAsia="zh-CN" w:bidi="ar-SA"/>
              </w:rPr>
            </w:pPr>
            <w:r>
              <w:rPr>
                <w:rFonts w:hint="eastAsia"/>
                <w:color w:val="auto"/>
                <w:kern w:val="2"/>
                <w:u w:val="none"/>
              </w:rPr>
              <w:t>原料拆包</w:t>
            </w:r>
          </w:p>
        </w:tc>
        <w:tc>
          <w:tcPr>
            <w:tcW w:w="1227" w:type="pct"/>
            <w:shd w:val="clear" w:color="auto" w:fill="auto"/>
            <w:tcMar>
              <w:top w:w="28" w:type="dxa"/>
              <w:bottom w:w="28" w:type="dxa"/>
            </w:tcMar>
            <w:vAlign w:val="center"/>
          </w:tcPr>
          <w:p w14:paraId="483D238D">
            <w:pPr>
              <w:pStyle w:val="53"/>
              <w:ind w:firstLine="0" w:firstLineChars="0"/>
              <w:rPr>
                <w:rFonts w:ascii="Times New Roman" w:hAnsi="Times New Roman" w:eastAsia="宋体" w:cs="Times New Roman"/>
                <w:color w:val="auto"/>
                <w:sz w:val="21"/>
                <w:szCs w:val="21"/>
                <w:u w:val="none"/>
                <w:lang w:val="en-US" w:eastAsia="zh-CN" w:bidi="ar-SA"/>
              </w:rPr>
            </w:pPr>
            <w:r>
              <w:rPr>
                <w:rFonts w:hint="eastAsia"/>
                <w:color w:val="auto"/>
                <w:u w:val="none"/>
              </w:rPr>
              <w:t>废包装物</w:t>
            </w:r>
          </w:p>
        </w:tc>
        <w:tc>
          <w:tcPr>
            <w:tcW w:w="846" w:type="pct"/>
            <w:shd w:val="clear" w:color="auto" w:fill="auto"/>
            <w:tcMar>
              <w:top w:w="28" w:type="dxa"/>
              <w:bottom w:w="28" w:type="dxa"/>
            </w:tcMar>
            <w:vAlign w:val="center"/>
          </w:tcPr>
          <w:p w14:paraId="6C89B342">
            <w:pPr>
              <w:pStyle w:val="69"/>
              <w:rPr>
                <w:color w:val="auto"/>
              </w:rPr>
            </w:pPr>
            <w:r>
              <w:rPr>
                <w:rFonts w:hint="eastAsia"/>
                <w:color w:val="auto"/>
              </w:rPr>
              <w:t>危险废物</w:t>
            </w:r>
          </w:p>
        </w:tc>
        <w:tc>
          <w:tcPr>
            <w:tcW w:w="1070" w:type="pct"/>
            <w:vMerge w:val="restart"/>
            <w:shd w:val="clear" w:color="auto" w:fill="auto"/>
            <w:vAlign w:val="center"/>
          </w:tcPr>
          <w:p w14:paraId="44BDC9D6">
            <w:pPr>
              <w:pStyle w:val="69"/>
              <w:ind w:firstLine="0" w:firstLineChars="0"/>
              <w:rPr>
                <w:rFonts w:ascii="Times New Roman" w:hAnsi="Times New Roman" w:eastAsia="宋体" w:cs="Times New Roman"/>
                <w:color w:val="auto"/>
                <w:kern w:val="2"/>
                <w:sz w:val="21"/>
                <w:szCs w:val="21"/>
                <w:lang w:val="zh-CN" w:eastAsia="zh-CN" w:bidi="ar-SA"/>
              </w:rPr>
            </w:pPr>
            <w:r>
              <w:rPr>
                <w:color w:val="auto"/>
              </w:rPr>
              <w:t>专用容器收集，在</w:t>
            </w:r>
            <w:r>
              <w:rPr>
                <w:rFonts w:hint="eastAsia"/>
                <w:color w:val="auto"/>
                <w:lang w:eastAsia="zh-CN"/>
              </w:rPr>
              <w:t>危险废物贮存库</w:t>
            </w:r>
            <w:r>
              <w:rPr>
                <w:color w:val="auto"/>
              </w:rPr>
              <w:t>分类暂存</w:t>
            </w:r>
            <w:r>
              <w:rPr>
                <w:rFonts w:hint="eastAsia"/>
                <w:color w:val="auto"/>
              </w:rPr>
              <w:t>，</w:t>
            </w:r>
            <w:r>
              <w:rPr>
                <w:color w:val="auto"/>
              </w:rPr>
              <w:t>定期送有</w:t>
            </w:r>
            <w:r>
              <w:rPr>
                <w:rFonts w:hint="eastAsia"/>
                <w:color w:val="auto"/>
              </w:rPr>
              <w:t>相应</w:t>
            </w:r>
            <w:r>
              <w:rPr>
                <w:color w:val="auto"/>
              </w:rPr>
              <w:t>危废</w:t>
            </w:r>
            <w:r>
              <w:rPr>
                <w:rFonts w:hint="eastAsia"/>
                <w:color w:val="auto"/>
              </w:rPr>
              <w:t>处置</w:t>
            </w:r>
            <w:r>
              <w:rPr>
                <w:color w:val="auto"/>
              </w:rPr>
              <w:t>资质的单位</w:t>
            </w:r>
            <w:r>
              <w:rPr>
                <w:rFonts w:hint="eastAsia"/>
                <w:color w:val="auto"/>
              </w:rPr>
              <w:t>处置</w:t>
            </w:r>
          </w:p>
        </w:tc>
      </w:tr>
      <w:tr w14:paraId="2DA18C18">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641" w:type="pct"/>
            <w:vMerge w:val="continue"/>
            <w:shd w:val="clear" w:color="auto" w:fill="auto"/>
            <w:tcMar>
              <w:top w:w="28" w:type="dxa"/>
              <w:bottom w:w="28" w:type="dxa"/>
            </w:tcMar>
            <w:vAlign w:val="center"/>
          </w:tcPr>
          <w:p w14:paraId="34004751">
            <w:pPr>
              <w:pStyle w:val="69"/>
              <w:rPr>
                <w:color w:val="auto"/>
              </w:rPr>
            </w:pPr>
          </w:p>
        </w:tc>
        <w:tc>
          <w:tcPr>
            <w:tcW w:w="1214" w:type="pct"/>
            <w:shd w:val="clear" w:color="auto" w:fill="auto"/>
            <w:tcMar>
              <w:top w:w="28" w:type="dxa"/>
              <w:bottom w:w="28" w:type="dxa"/>
            </w:tcMar>
            <w:vAlign w:val="center"/>
          </w:tcPr>
          <w:p w14:paraId="09BCC69F">
            <w:pPr>
              <w:pStyle w:val="53"/>
              <w:ind w:firstLine="0" w:firstLineChars="0"/>
              <w:rPr>
                <w:rFonts w:ascii="Times New Roman" w:hAnsi="Times New Roman" w:eastAsia="宋体" w:cs="Times New Roman"/>
                <w:color w:val="auto"/>
                <w:kern w:val="2"/>
                <w:sz w:val="21"/>
                <w:szCs w:val="21"/>
                <w:u w:val="none"/>
                <w:lang w:val="en-US" w:eastAsia="zh-CN" w:bidi="ar-SA"/>
              </w:rPr>
            </w:pPr>
            <w:r>
              <w:rPr>
                <w:rFonts w:hint="eastAsia"/>
                <w:color w:val="auto"/>
                <w:u w:val="none"/>
              </w:rPr>
              <w:t>冲床</w:t>
            </w:r>
          </w:p>
        </w:tc>
        <w:tc>
          <w:tcPr>
            <w:tcW w:w="1227" w:type="pct"/>
            <w:shd w:val="clear" w:color="auto" w:fill="auto"/>
            <w:tcMar>
              <w:top w:w="28" w:type="dxa"/>
              <w:bottom w:w="28" w:type="dxa"/>
            </w:tcMar>
            <w:vAlign w:val="center"/>
          </w:tcPr>
          <w:p w14:paraId="2A1C6D39">
            <w:pPr>
              <w:pStyle w:val="53"/>
              <w:ind w:firstLine="0" w:firstLineChars="0"/>
              <w:rPr>
                <w:rFonts w:ascii="Times New Roman" w:hAnsi="Times New Roman" w:eastAsia="宋体" w:cs="Times New Roman"/>
                <w:color w:val="auto"/>
                <w:sz w:val="21"/>
                <w:szCs w:val="21"/>
                <w:u w:val="none"/>
                <w:lang w:val="en-US" w:eastAsia="zh-CN" w:bidi="ar-SA"/>
              </w:rPr>
            </w:pPr>
            <w:r>
              <w:rPr>
                <w:rFonts w:hint="eastAsia"/>
                <w:color w:val="auto"/>
                <w:u w:val="none"/>
              </w:rPr>
              <w:t>废拉伸油</w:t>
            </w:r>
          </w:p>
        </w:tc>
        <w:tc>
          <w:tcPr>
            <w:tcW w:w="846" w:type="pct"/>
            <w:shd w:val="clear" w:color="auto" w:fill="auto"/>
            <w:tcMar>
              <w:top w:w="28" w:type="dxa"/>
              <w:bottom w:w="28" w:type="dxa"/>
            </w:tcMar>
            <w:vAlign w:val="center"/>
          </w:tcPr>
          <w:p w14:paraId="1F96E4AC">
            <w:pPr>
              <w:pStyle w:val="69"/>
              <w:rPr>
                <w:color w:val="auto"/>
              </w:rPr>
            </w:pPr>
            <w:r>
              <w:rPr>
                <w:rFonts w:hint="eastAsia"/>
                <w:color w:val="auto"/>
              </w:rPr>
              <w:t>危险废物</w:t>
            </w:r>
          </w:p>
        </w:tc>
        <w:tc>
          <w:tcPr>
            <w:tcW w:w="1070" w:type="pct"/>
            <w:vMerge w:val="continue"/>
            <w:shd w:val="clear" w:color="auto" w:fill="auto"/>
            <w:vAlign w:val="center"/>
          </w:tcPr>
          <w:p w14:paraId="00B4A81A">
            <w:pPr>
              <w:pStyle w:val="69"/>
              <w:rPr>
                <w:color w:val="auto"/>
              </w:rPr>
            </w:pPr>
          </w:p>
        </w:tc>
      </w:tr>
      <w:tr w14:paraId="5F80622E">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641" w:type="pct"/>
            <w:vMerge w:val="continue"/>
            <w:shd w:val="clear" w:color="auto" w:fill="auto"/>
            <w:tcMar>
              <w:top w:w="28" w:type="dxa"/>
              <w:bottom w:w="28" w:type="dxa"/>
            </w:tcMar>
            <w:vAlign w:val="center"/>
          </w:tcPr>
          <w:p w14:paraId="2988335D">
            <w:pPr>
              <w:pStyle w:val="69"/>
              <w:rPr>
                <w:color w:val="auto"/>
              </w:rPr>
            </w:pPr>
          </w:p>
        </w:tc>
        <w:tc>
          <w:tcPr>
            <w:tcW w:w="1214" w:type="pct"/>
            <w:shd w:val="clear" w:color="auto" w:fill="auto"/>
            <w:tcMar>
              <w:top w:w="28" w:type="dxa"/>
              <w:bottom w:w="28" w:type="dxa"/>
            </w:tcMar>
            <w:vAlign w:val="center"/>
          </w:tcPr>
          <w:p w14:paraId="69273011">
            <w:pPr>
              <w:pStyle w:val="53"/>
              <w:ind w:firstLine="0" w:firstLineChars="0"/>
              <w:rPr>
                <w:rFonts w:ascii="Times New Roman" w:hAnsi="Times New Roman" w:eastAsia="宋体" w:cs="Times New Roman"/>
                <w:color w:val="auto"/>
                <w:sz w:val="21"/>
                <w:szCs w:val="21"/>
                <w:u w:val="none"/>
                <w:lang w:val="en-US" w:eastAsia="zh-CN" w:bidi="ar-SA"/>
              </w:rPr>
            </w:pPr>
            <w:r>
              <w:rPr>
                <w:rFonts w:hint="eastAsia" w:cs="宋体"/>
                <w:color w:val="auto"/>
                <w:u w:val="none"/>
              </w:rPr>
              <w:t>铣床、车床、钻床</w:t>
            </w:r>
          </w:p>
        </w:tc>
        <w:tc>
          <w:tcPr>
            <w:tcW w:w="1227" w:type="pct"/>
            <w:shd w:val="clear" w:color="auto" w:fill="auto"/>
            <w:tcMar>
              <w:top w:w="28" w:type="dxa"/>
              <w:bottom w:w="28" w:type="dxa"/>
            </w:tcMar>
            <w:vAlign w:val="center"/>
          </w:tcPr>
          <w:p w14:paraId="1F6BE3FE">
            <w:pPr>
              <w:pStyle w:val="53"/>
              <w:ind w:firstLine="0" w:firstLineChars="0"/>
              <w:rPr>
                <w:rFonts w:ascii="Times New Roman" w:hAnsi="Times New Roman" w:eastAsia="宋体" w:cs="Times New Roman"/>
                <w:color w:val="auto"/>
                <w:sz w:val="21"/>
                <w:szCs w:val="21"/>
                <w:u w:val="none"/>
                <w:lang w:val="en-US" w:eastAsia="zh-CN" w:bidi="ar-SA"/>
              </w:rPr>
            </w:pPr>
            <w:r>
              <w:rPr>
                <w:rFonts w:hint="eastAsia" w:cs="宋体"/>
                <w:color w:val="auto"/>
                <w:u w:val="none"/>
              </w:rPr>
              <w:t>废切削液</w:t>
            </w:r>
          </w:p>
        </w:tc>
        <w:tc>
          <w:tcPr>
            <w:tcW w:w="846" w:type="pct"/>
            <w:shd w:val="clear" w:color="auto" w:fill="auto"/>
            <w:tcMar>
              <w:top w:w="28" w:type="dxa"/>
              <w:bottom w:w="28" w:type="dxa"/>
            </w:tcMar>
            <w:vAlign w:val="center"/>
          </w:tcPr>
          <w:p w14:paraId="091640F9">
            <w:pPr>
              <w:pStyle w:val="69"/>
              <w:rPr>
                <w:color w:val="auto"/>
              </w:rPr>
            </w:pPr>
            <w:r>
              <w:rPr>
                <w:rFonts w:hint="eastAsia"/>
                <w:color w:val="auto"/>
              </w:rPr>
              <w:t>危险废物</w:t>
            </w:r>
          </w:p>
        </w:tc>
        <w:tc>
          <w:tcPr>
            <w:tcW w:w="1070" w:type="pct"/>
            <w:vMerge w:val="continue"/>
            <w:shd w:val="clear" w:color="auto" w:fill="auto"/>
            <w:vAlign w:val="center"/>
          </w:tcPr>
          <w:p w14:paraId="37BCC28D">
            <w:pPr>
              <w:pStyle w:val="69"/>
              <w:rPr>
                <w:color w:val="auto"/>
              </w:rPr>
            </w:pPr>
          </w:p>
        </w:tc>
      </w:tr>
      <w:tr w14:paraId="08313EEB">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641" w:type="pct"/>
            <w:vMerge w:val="continue"/>
            <w:shd w:val="clear" w:color="auto" w:fill="auto"/>
            <w:tcMar>
              <w:top w:w="28" w:type="dxa"/>
              <w:bottom w:w="28" w:type="dxa"/>
            </w:tcMar>
            <w:vAlign w:val="center"/>
          </w:tcPr>
          <w:p w14:paraId="5B435913">
            <w:pPr>
              <w:pStyle w:val="69"/>
              <w:rPr>
                <w:color w:val="auto"/>
              </w:rPr>
            </w:pPr>
          </w:p>
        </w:tc>
        <w:tc>
          <w:tcPr>
            <w:tcW w:w="1214" w:type="pct"/>
            <w:shd w:val="clear" w:color="auto" w:fill="auto"/>
            <w:tcMar>
              <w:top w:w="28" w:type="dxa"/>
              <w:bottom w:w="28" w:type="dxa"/>
            </w:tcMar>
            <w:vAlign w:val="center"/>
          </w:tcPr>
          <w:p w14:paraId="41BD09FD">
            <w:pPr>
              <w:pStyle w:val="53"/>
              <w:ind w:firstLine="0" w:firstLineChars="0"/>
              <w:rPr>
                <w:rFonts w:ascii="Times New Roman" w:hAnsi="Times New Roman" w:eastAsia="宋体" w:cs="Times New Roman"/>
                <w:color w:val="auto"/>
                <w:sz w:val="21"/>
                <w:szCs w:val="21"/>
                <w:u w:val="none"/>
                <w:lang w:val="en-US" w:eastAsia="zh-CN" w:bidi="ar-SA"/>
              </w:rPr>
            </w:pPr>
            <w:r>
              <w:rPr>
                <w:rFonts w:hint="eastAsia" w:cs="宋体"/>
                <w:color w:val="auto"/>
                <w:u w:val="none"/>
              </w:rPr>
              <w:t>除油槽</w:t>
            </w:r>
          </w:p>
        </w:tc>
        <w:tc>
          <w:tcPr>
            <w:tcW w:w="1227" w:type="pct"/>
            <w:shd w:val="clear" w:color="auto" w:fill="auto"/>
            <w:tcMar>
              <w:top w:w="28" w:type="dxa"/>
              <w:bottom w:w="28" w:type="dxa"/>
            </w:tcMar>
            <w:vAlign w:val="center"/>
          </w:tcPr>
          <w:p w14:paraId="0C3511D2">
            <w:pPr>
              <w:pStyle w:val="53"/>
              <w:ind w:firstLine="0" w:firstLineChars="0"/>
              <w:rPr>
                <w:rFonts w:hint="eastAsia" w:ascii="Times New Roman" w:hAnsi="Times New Roman" w:eastAsia="宋体" w:cs="Times New Roman"/>
                <w:color w:val="auto"/>
                <w:sz w:val="21"/>
                <w:szCs w:val="21"/>
                <w:u w:val="none"/>
                <w:lang w:val="en-US" w:eastAsia="zh-CN" w:bidi="ar-SA"/>
              </w:rPr>
            </w:pPr>
            <w:r>
              <w:rPr>
                <w:rFonts w:hint="eastAsia" w:cs="宋体"/>
                <w:color w:val="auto"/>
                <w:u w:val="none"/>
              </w:rPr>
              <w:t>废油渣</w:t>
            </w:r>
          </w:p>
        </w:tc>
        <w:tc>
          <w:tcPr>
            <w:tcW w:w="846" w:type="pct"/>
            <w:shd w:val="clear" w:color="auto" w:fill="auto"/>
            <w:tcMar>
              <w:top w:w="28" w:type="dxa"/>
              <w:bottom w:w="28" w:type="dxa"/>
            </w:tcMar>
            <w:vAlign w:val="center"/>
          </w:tcPr>
          <w:p w14:paraId="6AF94FC5">
            <w:pPr>
              <w:pStyle w:val="69"/>
              <w:rPr>
                <w:color w:val="auto"/>
              </w:rPr>
            </w:pPr>
            <w:r>
              <w:rPr>
                <w:rFonts w:hint="eastAsia"/>
                <w:color w:val="auto"/>
              </w:rPr>
              <w:t>危险废物</w:t>
            </w:r>
          </w:p>
        </w:tc>
        <w:tc>
          <w:tcPr>
            <w:tcW w:w="1070" w:type="pct"/>
            <w:vMerge w:val="continue"/>
            <w:shd w:val="clear" w:color="auto" w:fill="auto"/>
            <w:vAlign w:val="center"/>
          </w:tcPr>
          <w:p w14:paraId="475E5009">
            <w:pPr>
              <w:pStyle w:val="69"/>
              <w:rPr>
                <w:color w:val="auto"/>
              </w:rPr>
            </w:pPr>
          </w:p>
        </w:tc>
      </w:tr>
      <w:tr w14:paraId="58427F03">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641" w:type="pct"/>
            <w:vMerge w:val="continue"/>
            <w:shd w:val="clear" w:color="auto" w:fill="auto"/>
            <w:tcMar>
              <w:top w:w="28" w:type="dxa"/>
              <w:bottom w:w="28" w:type="dxa"/>
            </w:tcMar>
            <w:vAlign w:val="center"/>
          </w:tcPr>
          <w:p w14:paraId="64476216">
            <w:pPr>
              <w:pStyle w:val="69"/>
              <w:rPr>
                <w:color w:val="auto"/>
              </w:rPr>
            </w:pPr>
          </w:p>
        </w:tc>
        <w:tc>
          <w:tcPr>
            <w:tcW w:w="1214" w:type="pct"/>
            <w:shd w:val="clear" w:color="auto" w:fill="auto"/>
            <w:tcMar>
              <w:top w:w="28" w:type="dxa"/>
              <w:bottom w:w="28" w:type="dxa"/>
            </w:tcMar>
            <w:vAlign w:val="center"/>
          </w:tcPr>
          <w:p w14:paraId="218ABFFC">
            <w:pPr>
              <w:pStyle w:val="53"/>
              <w:ind w:firstLine="0" w:firstLineChars="0"/>
              <w:rPr>
                <w:rFonts w:ascii="Times New Roman" w:hAnsi="Times New Roman" w:eastAsia="宋体" w:cs="宋体"/>
                <w:color w:val="auto"/>
                <w:sz w:val="21"/>
                <w:szCs w:val="21"/>
                <w:u w:val="none"/>
                <w:lang w:val="en-US" w:eastAsia="zh-CN" w:bidi="ar-SA"/>
              </w:rPr>
            </w:pPr>
            <w:r>
              <w:rPr>
                <w:rFonts w:hint="eastAsia"/>
                <w:color w:val="auto"/>
                <w:u w:val="none"/>
              </w:rPr>
              <w:t>含铬废水处理设施</w:t>
            </w:r>
          </w:p>
        </w:tc>
        <w:tc>
          <w:tcPr>
            <w:tcW w:w="1227" w:type="pct"/>
            <w:shd w:val="clear" w:color="auto" w:fill="auto"/>
            <w:tcMar>
              <w:top w:w="28" w:type="dxa"/>
              <w:bottom w:w="28" w:type="dxa"/>
            </w:tcMar>
            <w:vAlign w:val="center"/>
          </w:tcPr>
          <w:p w14:paraId="62F3DFCA">
            <w:pPr>
              <w:pStyle w:val="53"/>
              <w:ind w:firstLine="0" w:firstLineChars="0"/>
              <w:rPr>
                <w:rFonts w:ascii="Times New Roman" w:hAnsi="Times New Roman" w:eastAsia="宋体" w:cs="宋体"/>
                <w:color w:val="auto"/>
                <w:sz w:val="21"/>
                <w:szCs w:val="21"/>
                <w:u w:val="none"/>
                <w:lang w:val="en-US" w:eastAsia="zh-CN" w:bidi="ar-SA"/>
              </w:rPr>
            </w:pPr>
            <w:r>
              <w:rPr>
                <w:rFonts w:hint="eastAsia" w:cs="宋体"/>
                <w:color w:val="auto"/>
                <w:u w:val="none"/>
              </w:rPr>
              <w:t>含酸废水预处理系统重金属污泥</w:t>
            </w:r>
          </w:p>
        </w:tc>
        <w:tc>
          <w:tcPr>
            <w:tcW w:w="846" w:type="pct"/>
            <w:shd w:val="clear" w:color="auto" w:fill="auto"/>
            <w:tcMar>
              <w:top w:w="28" w:type="dxa"/>
              <w:bottom w:w="28" w:type="dxa"/>
            </w:tcMar>
            <w:vAlign w:val="center"/>
          </w:tcPr>
          <w:p w14:paraId="40DD3FE5">
            <w:pPr>
              <w:pStyle w:val="69"/>
              <w:rPr>
                <w:color w:val="auto"/>
              </w:rPr>
            </w:pPr>
            <w:r>
              <w:rPr>
                <w:rFonts w:hint="eastAsia"/>
                <w:color w:val="auto"/>
              </w:rPr>
              <w:t>危险废物</w:t>
            </w:r>
          </w:p>
        </w:tc>
        <w:tc>
          <w:tcPr>
            <w:tcW w:w="1070" w:type="pct"/>
            <w:vMerge w:val="continue"/>
            <w:shd w:val="clear" w:color="auto" w:fill="auto"/>
            <w:vAlign w:val="center"/>
          </w:tcPr>
          <w:p w14:paraId="402B4D55">
            <w:pPr>
              <w:pStyle w:val="69"/>
              <w:rPr>
                <w:color w:val="auto"/>
              </w:rPr>
            </w:pPr>
          </w:p>
        </w:tc>
      </w:tr>
      <w:tr w14:paraId="2CFA8D11">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641" w:type="pct"/>
            <w:vMerge w:val="continue"/>
            <w:shd w:val="clear" w:color="auto" w:fill="auto"/>
            <w:tcMar>
              <w:top w:w="28" w:type="dxa"/>
              <w:bottom w:w="28" w:type="dxa"/>
            </w:tcMar>
            <w:vAlign w:val="center"/>
          </w:tcPr>
          <w:p w14:paraId="0A0F6B5D">
            <w:pPr>
              <w:pStyle w:val="69"/>
              <w:rPr>
                <w:color w:val="auto"/>
              </w:rPr>
            </w:pPr>
          </w:p>
        </w:tc>
        <w:tc>
          <w:tcPr>
            <w:tcW w:w="1214" w:type="pct"/>
            <w:vMerge w:val="restart"/>
            <w:shd w:val="clear" w:color="auto" w:fill="auto"/>
            <w:tcMar>
              <w:top w:w="28" w:type="dxa"/>
              <w:bottom w:w="28" w:type="dxa"/>
            </w:tcMar>
            <w:vAlign w:val="center"/>
          </w:tcPr>
          <w:p w14:paraId="0C967706">
            <w:pPr>
              <w:pStyle w:val="53"/>
              <w:ind w:firstLine="0" w:firstLineChars="0"/>
              <w:rPr>
                <w:rFonts w:ascii="Times New Roman" w:hAnsi="Times New Roman" w:eastAsia="宋体" w:cs="Times New Roman"/>
                <w:color w:val="auto"/>
                <w:sz w:val="21"/>
                <w:szCs w:val="21"/>
                <w:u w:val="none"/>
                <w:lang w:val="en-US" w:eastAsia="zh-CN" w:bidi="ar-SA"/>
              </w:rPr>
            </w:pPr>
            <w:r>
              <w:rPr>
                <w:rFonts w:hint="eastAsia"/>
                <w:color w:val="auto"/>
                <w:u w:val="none"/>
              </w:rPr>
              <w:t>镀</w:t>
            </w:r>
            <w:r>
              <w:rPr>
                <w:rFonts w:hint="eastAsia"/>
                <w:color w:val="auto"/>
                <w:spacing w:val="-8"/>
                <w:u w:val="none"/>
              </w:rPr>
              <w:t>镍</w:t>
            </w:r>
            <w:r>
              <w:rPr>
                <w:rFonts w:hint="eastAsia"/>
                <w:color w:val="auto"/>
                <w:u w:val="none"/>
              </w:rPr>
              <w:t>槽</w:t>
            </w:r>
          </w:p>
        </w:tc>
        <w:tc>
          <w:tcPr>
            <w:tcW w:w="1227" w:type="pct"/>
            <w:shd w:val="clear" w:color="auto" w:fill="auto"/>
            <w:tcMar>
              <w:top w:w="28" w:type="dxa"/>
              <w:bottom w:w="28" w:type="dxa"/>
            </w:tcMar>
            <w:vAlign w:val="center"/>
          </w:tcPr>
          <w:p w14:paraId="0360E96A">
            <w:pPr>
              <w:pStyle w:val="53"/>
              <w:ind w:firstLine="0" w:firstLineChars="0"/>
              <w:rPr>
                <w:rFonts w:ascii="Times New Roman" w:hAnsi="Times New Roman" w:eastAsia="宋体" w:cs="Times New Roman"/>
                <w:color w:val="auto"/>
                <w:sz w:val="21"/>
                <w:szCs w:val="21"/>
                <w:u w:val="none"/>
                <w:lang w:val="en-US" w:eastAsia="zh-CN" w:bidi="ar-SA"/>
              </w:rPr>
            </w:pPr>
            <w:r>
              <w:rPr>
                <w:rFonts w:hint="eastAsia"/>
                <w:color w:val="auto"/>
                <w:u w:val="none"/>
              </w:rPr>
              <w:t>含镍废槽液</w:t>
            </w:r>
          </w:p>
        </w:tc>
        <w:tc>
          <w:tcPr>
            <w:tcW w:w="846" w:type="pct"/>
            <w:shd w:val="clear" w:color="auto" w:fill="auto"/>
            <w:tcMar>
              <w:top w:w="28" w:type="dxa"/>
              <w:bottom w:w="28" w:type="dxa"/>
            </w:tcMar>
            <w:vAlign w:val="center"/>
          </w:tcPr>
          <w:p w14:paraId="37E73EE1">
            <w:pPr>
              <w:pStyle w:val="69"/>
              <w:rPr>
                <w:color w:val="auto"/>
              </w:rPr>
            </w:pPr>
            <w:r>
              <w:rPr>
                <w:rFonts w:hint="eastAsia"/>
                <w:color w:val="auto"/>
              </w:rPr>
              <w:t>危险废物</w:t>
            </w:r>
          </w:p>
        </w:tc>
        <w:tc>
          <w:tcPr>
            <w:tcW w:w="1070" w:type="pct"/>
            <w:vMerge w:val="continue"/>
            <w:shd w:val="clear" w:color="auto" w:fill="auto"/>
            <w:vAlign w:val="center"/>
          </w:tcPr>
          <w:p w14:paraId="453F6B0C">
            <w:pPr>
              <w:pStyle w:val="69"/>
              <w:rPr>
                <w:color w:val="auto"/>
              </w:rPr>
            </w:pPr>
          </w:p>
        </w:tc>
      </w:tr>
      <w:tr w14:paraId="6785C483">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641" w:type="pct"/>
            <w:vMerge w:val="continue"/>
            <w:shd w:val="clear" w:color="auto" w:fill="auto"/>
            <w:tcMar>
              <w:top w:w="28" w:type="dxa"/>
              <w:bottom w:w="28" w:type="dxa"/>
            </w:tcMar>
            <w:vAlign w:val="center"/>
          </w:tcPr>
          <w:p w14:paraId="2302999F">
            <w:pPr>
              <w:pStyle w:val="69"/>
              <w:rPr>
                <w:color w:val="auto"/>
              </w:rPr>
            </w:pPr>
          </w:p>
        </w:tc>
        <w:tc>
          <w:tcPr>
            <w:tcW w:w="1214" w:type="pct"/>
            <w:vMerge w:val="continue"/>
            <w:shd w:val="clear" w:color="auto" w:fill="auto"/>
            <w:tcMar>
              <w:top w:w="28" w:type="dxa"/>
              <w:bottom w:w="28" w:type="dxa"/>
            </w:tcMar>
            <w:vAlign w:val="center"/>
          </w:tcPr>
          <w:p w14:paraId="35CC3770">
            <w:pPr>
              <w:pStyle w:val="69"/>
              <w:rPr>
                <w:color w:val="auto"/>
                <w:u w:val="none"/>
              </w:rPr>
            </w:pPr>
          </w:p>
        </w:tc>
        <w:tc>
          <w:tcPr>
            <w:tcW w:w="1227" w:type="pct"/>
            <w:shd w:val="clear" w:color="auto" w:fill="auto"/>
            <w:tcMar>
              <w:top w:w="28" w:type="dxa"/>
              <w:bottom w:w="28" w:type="dxa"/>
            </w:tcMar>
            <w:vAlign w:val="center"/>
          </w:tcPr>
          <w:p w14:paraId="767792E2">
            <w:pPr>
              <w:pStyle w:val="53"/>
              <w:ind w:firstLine="0" w:firstLineChars="0"/>
              <w:rPr>
                <w:rFonts w:ascii="Times New Roman" w:hAnsi="Times New Roman" w:eastAsia="宋体" w:cs="Times New Roman"/>
                <w:color w:val="auto"/>
                <w:sz w:val="21"/>
                <w:szCs w:val="21"/>
                <w:u w:val="none"/>
                <w:lang w:val="en-US" w:eastAsia="zh-CN" w:bidi="ar-SA"/>
              </w:rPr>
            </w:pPr>
            <w:r>
              <w:rPr>
                <w:rFonts w:hint="eastAsia"/>
                <w:color w:val="auto"/>
                <w:u w:val="none"/>
              </w:rPr>
              <w:t>含镍废槽渣</w:t>
            </w:r>
          </w:p>
        </w:tc>
        <w:tc>
          <w:tcPr>
            <w:tcW w:w="846" w:type="pct"/>
            <w:shd w:val="clear" w:color="auto" w:fill="auto"/>
            <w:tcMar>
              <w:top w:w="28" w:type="dxa"/>
              <w:bottom w:w="28" w:type="dxa"/>
            </w:tcMar>
            <w:vAlign w:val="center"/>
          </w:tcPr>
          <w:p w14:paraId="644AE814">
            <w:pPr>
              <w:pStyle w:val="69"/>
              <w:rPr>
                <w:color w:val="auto"/>
              </w:rPr>
            </w:pPr>
            <w:r>
              <w:rPr>
                <w:rFonts w:hint="eastAsia"/>
                <w:color w:val="auto"/>
              </w:rPr>
              <w:t>危险废物</w:t>
            </w:r>
          </w:p>
        </w:tc>
        <w:tc>
          <w:tcPr>
            <w:tcW w:w="1070" w:type="pct"/>
            <w:vMerge w:val="continue"/>
            <w:shd w:val="clear" w:color="auto" w:fill="auto"/>
            <w:vAlign w:val="center"/>
          </w:tcPr>
          <w:p w14:paraId="6F854A71">
            <w:pPr>
              <w:pStyle w:val="69"/>
              <w:rPr>
                <w:color w:val="auto"/>
              </w:rPr>
            </w:pPr>
          </w:p>
        </w:tc>
      </w:tr>
      <w:tr w14:paraId="4FAC31D6">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641" w:type="pct"/>
            <w:vMerge w:val="continue"/>
            <w:shd w:val="clear" w:color="auto" w:fill="auto"/>
            <w:tcMar>
              <w:top w:w="28" w:type="dxa"/>
              <w:bottom w:w="28" w:type="dxa"/>
            </w:tcMar>
            <w:vAlign w:val="center"/>
          </w:tcPr>
          <w:p w14:paraId="11D0D259">
            <w:pPr>
              <w:pStyle w:val="69"/>
              <w:rPr>
                <w:color w:val="auto"/>
              </w:rPr>
            </w:pPr>
          </w:p>
        </w:tc>
        <w:tc>
          <w:tcPr>
            <w:tcW w:w="1214" w:type="pct"/>
            <w:vMerge w:val="restart"/>
            <w:shd w:val="clear" w:color="auto" w:fill="auto"/>
            <w:tcMar>
              <w:top w:w="28" w:type="dxa"/>
              <w:bottom w:w="28" w:type="dxa"/>
            </w:tcMar>
            <w:vAlign w:val="center"/>
          </w:tcPr>
          <w:p w14:paraId="1322645F">
            <w:pPr>
              <w:pStyle w:val="53"/>
              <w:ind w:firstLine="0" w:firstLineChars="0"/>
              <w:rPr>
                <w:rFonts w:ascii="Times New Roman" w:hAnsi="Times New Roman" w:eastAsia="宋体" w:cs="Times New Roman"/>
                <w:color w:val="auto"/>
                <w:sz w:val="21"/>
                <w:szCs w:val="21"/>
                <w:u w:val="none"/>
                <w:lang w:val="en-US" w:eastAsia="zh-CN" w:bidi="ar-SA"/>
              </w:rPr>
            </w:pPr>
            <w:r>
              <w:rPr>
                <w:rFonts w:hint="eastAsia"/>
                <w:color w:val="auto"/>
                <w:u w:val="none"/>
              </w:rPr>
              <w:t>镀锌槽</w:t>
            </w:r>
          </w:p>
        </w:tc>
        <w:tc>
          <w:tcPr>
            <w:tcW w:w="1227" w:type="pct"/>
            <w:shd w:val="clear" w:color="auto" w:fill="auto"/>
            <w:tcMar>
              <w:top w:w="28" w:type="dxa"/>
              <w:bottom w:w="28" w:type="dxa"/>
            </w:tcMar>
            <w:vAlign w:val="center"/>
          </w:tcPr>
          <w:p w14:paraId="2971414B">
            <w:pPr>
              <w:pStyle w:val="53"/>
              <w:ind w:firstLine="0" w:firstLineChars="0"/>
              <w:rPr>
                <w:rFonts w:hint="eastAsia" w:ascii="Times New Roman" w:hAnsi="Times New Roman" w:eastAsia="宋体" w:cs="Times New Roman"/>
                <w:color w:val="auto"/>
                <w:sz w:val="21"/>
                <w:szCs w:val="21"/>
                <w:u w:val="none"/>
                <w:lang w:val="en-US" w:eastAsia="zh-CN" w:bidi="ar-SA"/>
              </w:rPr>
            </w:pPr>
            <w:r>
              <w:rPr>
                <w:rFonts w:hint="eastAsia"/>
                <w:color w:val="auto"/>
                <w:u w:val="none"/>
              </w:rPr>
              <w:t>含锌废槽液</w:t>
            </w:r>
          </w:p>
        </w:tc>
        <w:tc>
          <w:tcPr>
            <w:tcW w:w="846" w:type="pct"/>
            <w:shd w:val="clear" w:color="auto" w:fill="auto"/>
            <w:tcMar>
              <w:top w:w="28" w:type="dxa"/>
              <w:bottom w:w="28" w:type="dxa"/>
            </w:tcMar>
            <w:vAlign w:val="center"/>
          </w:tcPr>
          <w:p w14:paraId="78E2973C">
            <w:pPr>
              <w:pStyle w:val="69"/>
              <w:rPr>
                <w:color w:val="auto"/>
              </w:rPr>
            </w:pPr>
            <w:r>
              <w:rPr>
                <w:rFonts w:hint="eastAsia"/>
                <w:color w:val="auto"/>
              </w:rPr>
              <w:t>危险废物</w:t>
            </w:r>
          </w:p>
        </w:tc>
        <w:tc>
          <w:tcPr>
            <w:tcW w:w="1070" w:type="pct"/>
            <w:vMerge w:val="continue"/>
            <w:shd w:val="clear" w:color="auto" w:fill="auto"/>
            <w:vAlign w:val="center"/>
          </w:tcPr>
          <w:p w14:paraId="114CF052">
            <w:pPr>
              <w:pStyle w:val="69"/>
              <w:rPr>
                <w:color w:val="auto"/>
              </w:rPr>
            </w:pPr>
          </w:p>
        </w:tc>
      </w:tr>
      <w:tr w14:paraId="6DC4144A">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641" w:type="pct"/>
            <w:vMerge w:val="continue"/>
            <w:shd w:val="clear" w:color="auto" w:fill="auto"/>
            <w:tcMar>
              <w:top w:w="28" w:type="dxa"/>
              <w:bottom w:w="28" w:type="dxa"/>
            </w:tcMar>
            <w:vAlign w:val="center"/>
          </w:tcPr>
          <w:p w14:paraId="1C00B37D">
            <w:pPr>
              <w:pStyle w:val="69"/>
              <w:rPr>
                <w:color w:val="auto"/>
              </w:rPr>
            </w:pPr>
          </w:p>
        </w:tc>
        <w:tc>
          <w:tcPr>
            <w:tcW w:w="1214" w:type="pct"/>
            <w:vMerge w:val="continue"/>
            <w:shd w:val="clear" w:color="auto" w:fill="auto"/>
            <w:tcMar>
              <w:top w:w="28" w:type="dxa"/>
              <w:bottom w:w="28" w:type="dxa"/>
            </w:tcMar>
            <w:vAlign w:val="center"/>
          </w:tcPr>
          <w:p w14:paraId="61F28698">
            <w:pPr>
              <w:pStyle w:val="69"/>
              <w:rPr>
                <w:color w:val="auto"/>
                <w:u w:val="none"/>
              </w:rPr>
            </w:pPr>
          </w:p>
        </w:tc>
        <w:tc>
          <w:tcPr>
            <w:tcW w:w="1227" w:type="pct"/>
            <w:shd w:val="clear" w:color="auto" w:fill="auto"/>
            <w:tcMar>
              <w:top w:w="28" w:type="dxa"/>
              <w:bottom w:w="28" w:type="dxa"/>
            </w:tcMar>
            <w:vAlign w:val="center"/>
          </w:tcPr>
          <w:p w14:paraId="30225A4C">
            <w:pPr>
              <w:pStyle w:val="53"/>
              <w:ind w:firstLine="0" w:firstLineChars="0"/>
              <w:rPr>
                <w:rFonts w:ascii="Times New Roman" w:hAnsi="Times New Roman" w:eastAsia="宋体" w:cs="Times New Roman"/>
                <w:color w:val="auto"/>
                <w:sz w:val="21"/>
                <w:szCs w:val="21"/>
                <w:u w:val="none"/>
                <w:lang w:val="en-US" w:eastAsia="zh-CN" w:bidi="ar-SA"/>
              </w:rPr>
            </w:pPr>
            <w:r>
              <w:rPr>
                <w:rFonts w:hint="eastAsia"/>
                <w:color w:val="auto"/>
                <w:u w:val="none"/>
              </w:rPr>
              <w:t>含锌废槽渣</w:t>
            </w:r>
          </w:p>
        </w:tc>
        <w:tc>
          <w:tcPr>
            <w:tcW w:w="846" w:type="pct"/>
            <w:shd w:val="clear" w:color="auto" w:fill="auto"/>
            <w:tcMar>
              <w:top w:w="28" w:type="dxa"/>
              <w:bottom w:w="28" w:type="dxa"/>
            </w:tcMar>
            <w:vAlign w:val="center"/>
          </w:tcPr>
          <w:p w14:paraId="30EEF0B9">
            <w:pPr>
              <w:pStyle w:val="69"/>
              <w:rPr>
                <w:color w:val="auto"/>
              </w:rPr>
            </w:pPr>
            <w:r>
              <w:rPr>
                <w:rFonts w:hint="eastAsia"/>
                <w:color w:val="auto"/>
              </w:rPr>
              <w:t>危险废物</w:t>
            </w:r>
          </w:p>
        </w:tc>
        <w:tc>
          <w:tcPr>
            <w:tcW w:w="1070" w:type="pct"/>
            <w:vMerge w:val="continue"/>
            <w:shd w:val="clear" w:color="auto" w:fill="auto"/>
            <w:vAlign w:val="center"/>
          </w:tcPr>
          <w:p w14:paraId="60B07D4E">
            <w:pPr>
              <w:pStyle w:val="69"/>
              <w:rPr>
                <w:color w:val="auto"/>
              </w:rPr>
            </w:pPr>
          </w:p>
        </w:tc>
      </w:tr>
      <w:tr w14:paraId="379E931C">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641" w:type="pct"/>
            <w:vMerge w:val="continue"/>
            <w:shd w:val="clear" w:color="auto" w:fill="auto"/>
            <w:tcMar>
              <w:top w:w="28" w:type="dxa"/>
              <w:bottom w:w="28" w:type="dxa"/>
            </w:tcMar>
            <w:vAlign w:val="center"/>
          </w:tcPr>
          <w:p w14:paraId="164B5DDC">
            <w:pPr>
              <w:pStyle w:val="69"/>
              <w:rPr>
                <w:color w:val="auto"/>
              </w:rPr>
            </w:pPr>
          </w:p>
        </w:tc>
        <w:tc>
          <w:tcPr>
            <w:tcW w:w="1214" w:type="pct"/>
            <w:shd w:val="clear" w:color="auto" w:fill="auto"/>
            <w:tcMar>
              <w:top w:w="28" w:type="dxa"/>
              <w:bottom w:w="28" w:type="dxa"/>
            </w:tcMar>
            <w:vAlign w:val="center"/>
          </w:tcPr>
          <w:p w14:paraId="645C87E1">
            <w:pPr>
              <w:pStyle w:val="53"/>
              <w:ind w:firstLine="0" w:firstLineChars="0"/>
              <w:rPr>
                <w:rFonts w:ascii="Times New Roman" w:hAnsi="Times New Roman" w:eastAsia="宋体" w:cs="Times New Roman"/>
                <w:color w:val="auto"/>
                <w:sz w:val="21"/>
                <w:szCs w:val="21"/>
                <w:u w:val="none"/>
                <w:lang w:val="en-US" w:eastAsia="zh-CN" w:bidi="ar-SA"/>
              </w:rPr>
            </w:pPr>
            <w:r>
              <w:rPr>
                <w:rFonts w:hint="eastAsia" w:cs="宋体"/>
                <w:color w:val="auto"/>
                <w:u w:val="none"/>
              </w:rPr>
              <w:t>退锌线</w:t>
            </w:r>
          </w:p>
        </w:tc>
        <w:tc>
          <w:tcPr>
            <w:tcW w:w="1227" w:type="pct"/>
            <w:shd w:val="clear" w:color="auto" w:fill="auto"/>
            <w:tcMar>
              <w:top w:w="28" w:type="dxa"/>
              <w:bottom w:w="28" w:type="dxa"/>
            </w:tcMar>
            <w:vAlign w:val="center"/>
          </w:tcPr>
          <w:p w14:paraId="4CD59D1A">
            <w:pPr>
              <w:pStyle w:val="53"/>
              <w:ind w:firstLine="0" w:firstLineChars="0"/>
              <w:rPr>
                <w:rFonts w:ascii="Times New Roman" w:hAnsi="Times New Roman" w:eastAsia="宋体" w:cs="Times New Roman"/>
                <w:color w:val="auto"/>
                <w:sz w:val="21"/>
                <w:szCs w:val="21"/>
                <w:u w:val="none"/>
                <w:lang w:val="en-US" w:eastAsia="zh-CN" w:bidi="ar-SA"/>
              </w:rPr>
            </w:pPr>
            <w:r>
              <w:rPr>
                <w:rFonts w:hint="eastAsia" w:cs="宋体"/>
                <w:color w:val="auto"/>
                <w:u w:val="none"/>
              </w:rPr>
              <w:t>退锌线废槽液</w:t>
            </w:r>
          </w:p>
        </w:tc>
        <w:tc>
          <w:tcPr>
            <w:tcW w:w="846" w:type="pct"/>
            <w:shd w:val="clear" w:color="auto" w:fill="auto"/>
            <w:tcMar>
              <w:top w:w="28" w:type="dxa"/>
              <w:bottom w:w="28" w:type="dxa"/>
            </w:tcMar>
            <w:vAlign w:val="center"/>
          </w:tcPr>
          <w:p w14:paraId="39F8CA88">
            <w:pPr>
              <w:pStyle w:val="69"/>
              <w:rPr>
                <w:color w:val="auto"/>
              </w:rPr>
            </w:pPr>
            <w:r>
              <w:rPr>
                <w:rFonts w:hint="eastAsia"/>
                <w:color w:val="auto"/>
              </w:rPr>
              <w:t>危险废物</w:t>
            </w:r>
          </w:p>
        </w:tc>
        <w:tc>
          <w:tcPr>
            <w:tcW w:w="1070" w:type="pct"/>
            <w:vMerge w:val="continue"/>
            <w:shd w:val="clear" w:color="auto" w:fill="auto"/>
            <w:vAlign w:val="center"/>
          </w:tcPr>
          <w:p w14:paraId="4DBF1BE9">
            <w:pPr>
              <w:pStyle w:val="69"/>
              <w:rPr>
                <w:color w:val="auto"/>
              </w:rPr>
            </w:pPr>
          </w:p>
        </w:tc>
      </w:tr>
      <w:tr w14:paraId="7C2740F6">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641" w:type="pct"/>
            <w:vMerge w:val="continue"/>
            <w:shd w:val="clear" w:color="auto" w:fill="auto"/>
            <w:tcMar>
              <w:top w:w="28" w:type="dxa"/>
              <w:bottom w:w="28" w:type="dxa"/>
            </w:tcMar>
            <w:vAlign w:val="center"/>
          </w:tcPr>
          <w:p w14:paraId="597E6E5D">
            <w:pPr>
              <w:pStyle w:val="69"/>
              <w:rPr>
                <w:color w:val="auto"/>
              </w:rPr>
            </w:pPr>
          </w:p>
        </w:tc>
        <w:tc>
          <w:tcPr>
            <w:tcW w:w="1214" w:type="pct"/>
            <w:shd w:val="clear" w:color="auto" w:fill="auto"/>
            <w:tcMar>
              <w:top w:w="28" w:type="dxa"/>
              <w:bottom w:w="28" w:type="dxa"/>
            </w:tcMar>
            <w:vAlign w:val="center"/>
          </w:tcPr>
          <w:p w14:paraId="625CD3C7">
            <w:pPr>
              <w:pStyle w:val="53"/>
              <w:ind w:firstLine="0" w:firstLineChars="0"/>
              <w:rPr>
                <w:rFonts w:ascii="Times New Roman" w:hAnsi="Times New Roman" w:eastAsia="宋体" w:cs="Times New Roman"/>
                <w:color w:val="auto"/>
                <w:sz w:val="21"/>
                <w:szCs w:val="21"/>
                <w:u w:val="none"/>
                <w:lang w:val="en-US" w:eastAsia="zh-CN" w:bidi="ar-SA"/>
              </w:rPr>
            </w:pPr>
            <w:r>
              <w:rPr>
                <w:rFonts w:hint="eastAsia" w:cs="宋体"/>
                <w:color w:val="auto"/>
                <w:u w:val="none"/>
              </w:rPr>
              <w:t>退镍线</w:t>
            </w:r>
          </w:p>
        </w:tc>
        <w:tc>
          <w:tcPr>
            <w:tcW w:w="1227" w:type="pct"/>
            <w:shd w:val="clear" w:color="auto" w:fill="auto"/>
            <w:tcMar>
              <w:top w:w="28" w:type="dxa"/>
              <w:bottom w:w="28" w:type="dxa"/>
            </w:tcMar>
            <w:vAlign w:val="center"/>
          </w:tcPr>
          <w:p w14:paraId="1E356C03">
            <w:pPr>
              <w:pStyle w:val="53"/>
              <w:ind w:firstLine="0" w:firstLineChars="0"/>
              <w:rPr>
                <w:rFonts w:ascii="Times New Roman" w:hAnsi="Times New Roman" w:eastAsia="宋体" w:cs="Times New Roman"/>
                <w:color w:val="auto"/>
                <w:sz w:val="21"/>
                <w:szCs w:val="21"/>
                <w:u w:val="none"/>
                <w:lang w:val="en-US" w:eastAsia="zh-CN" w:bidi="ar-SA"/>
              </w:rPr>
            </w:pPr>
            <w:r>
              <w:rPr>
                <w:rFonts w:hint="eastAsia" w:cs="宋体"/>
                <w:color w:val="auto"/>
                <w:u w:val="none"/>
              </w:rPr>
              <w:t>退镍线废槽液</w:t>
            </w:r>
          </w:p>
        </w:tc>
        <w:tc>
          <w:tcPr>
            <w:tcW w:w="846" w:type="pct"/>
            <w:shd w:val="clear" w:color="auto" w:fill="auto"/>
            <w:tcMar>
              <w:top w:w="28" w:type="dxa"/>
              <w:bottom w:w="28" w:type="dxa"/>
            </w:tcMar>
            <w:vAlign w:val="center"/>
          </w:tcPr>
          <w:p w14:paraId="027D6617">
            <w:pPr>
              <w:pStyle w:val="69"/>
              <w:rPr>
                <w:color w:val="auto"/>
              </w:rPr>
            </w:pPr>
            <w:r>
              <w:rPr>
                <w:rFonts w:hint="eastAsia"/>
                <w:color w:val="auto"/>
              </w:rPr>
              <w:t>危险废物</w:t>
            </w:r>
          </w:p>
        </w:tc>
        <w:tc>
          <w:tcPr>
            <w:tcW w:w="1070" w:type="pct"/>
            <w:vMerge w:val="continue"/>
            <w:shd w:val="clear" w:color="auto" w:fill="auto"/>
            <w:vAlign w:val="center"/>
          </w:tcPr>
          <w:p w14:paraId="7A286E95">
            <w:pPr>
              <w:pStyle w:val="69"/>
              <w:rPr>
                <w:color w:val="auto"/>
              </w:rPr>
            </w:pPr>
          </w:p>
        </w:tc>
      </w:tr>
      <w:tr w14:paraId="76CB1F0A">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641" w:type="pct"/>
            <w:vMerge w:val="continue"/>
            <w:shd w:val="clear" w:color="auto" w:fill="auto"/>
            <w:tcMar>
              <w:top w:w="28" w:type="dxa"/>
              <w:bottom w:w="28" w:type="dxa"/>
            </w:tcMar>
            <w:vAlign w:val="center"/>
          </w:tcPr>
          <w:p w14:paraId="08F420DF">
            <w:pPr>
              <w:pStyle w:val="69"/>
              <w:rPr>
                <w:color w:val="auto"/>
              </w:rPr>
            </w:pPr>
          </w:p>
        </w:tc>
        <w:tc>
          <w:tcPr>
            <w:tcW w:w="1214" w:type="pct"/>
            <w:shd w:val="clear" w:color="auto" w:fill="auto"/>
            <w:tcMar>
              <w:top w:w="28" w:type="dxa"/>
              <w:bottom w:w="28" w:type="dxa"/>
            </w:tcMar>
            <w:vAlign w:val="center"/>
          </w:tcPr>
          <w:p w14:paraId="189DB619">
            <w:pPr>
              <w:pStyle w:val="53"/>
              <w:ind w:firstLine="0" w:firstLineChars="0"/>
              <w:rPr>
                <w:rFonts w:ascii="Times New Roman" w:hAnsi="Times New Roman" w:eastAsia="宋体" w:cs="Times New Roman"/>
                <w:color w:val="auto"/>
                <w:sz w:val="21"/>
                <w:szCs w:val="21"/>
                <w:u w:val="none"/>
                <w:lang w:val="en-US" w:eastAsia="zh-CN" w:bidi="ar-SA"/>
              </w:rPr>
            </w:pPr>
            <w:r>
              <w:rPr>
                <w:rFonts w:hint="eastAsia"/>
                <w:color w:val="auto"/>
                <w:u w:val="none"/>
              </w:rPr>
              <w:t>镀液过滤装置</w:t>
            </w:r>
          </w:p>
        </w:tc>
        <w:tc>
          <w:tcPr>
            <w:tcW w:w="1227" w:type="pct"/>
            <w:shd w:val="clear" w:color="auto" w:fill="auto"/>
            <w:tcMar>
              <w:top w:w="28" w:type="dxa"/>
              <w:bottom w:w="28" w:type="dxa"/>
            </w:tcMar>
            <w:vAlign w:val="center"/>
          </w:tcPr>
          <w:p w14:paraId="755FA190">
            <w:pPr>
              <w:pStyle w:val="53"/>
              <w:ind w:firstLine="0" w:firstLineChars="0"/>
              <w:rPr>
                <w:rFonts w:ascii="Times New Roman" w:hAnsi="Times New Roman" w:eastAsia="宋体" w:cs="Times New Roman"/>
                <w:color w:val="auto"/>
                <w:sz w:val="21"/>
                <w:szCs w:val="21"/>
                <w:u w:val="none"/>
                <w:lang w:val="en-US" w:eastAsia="zh-CN" w:bidi="ar-SA"/>
              </w:rPr>
            </w:pPr>
            <w:r>
              <w:rPr>
                <w:rFonts w:hint="eastAsia"/>
                <w:color w:val="auto"/>
                <w:u w:val="none"/>
              </w:rPr>
              <w:t>废滤芯</w:t>
            </w:r>
          </w:p>
        </w:tc>
        <w:tc>
          <w:tcPr>
            <w:tcW w:w="846" w:type="pct"/>
            <w:shd w:val="clear" w:color="auto" w:fill="auto"/>
            <w:tcMar>
              <w:top w:w="28" w:type="dxa"/>
              <w:bottom w:w="28" w:type="dxa"/>
            </w:tcMar>
            <w:vAlign w:val="center"/>
          </w:tcPr>
          <w:p w14:paraId="70C61243">
            <w:pPr>
              <w:pStyle w:val="69"/>
              <w:rPr>
                <w:color w:val="auto"/>
              </w:rPr>
            </w:pPr>
            <w:r>
              <w:rPr>
                <w:rFonts w:hint="eastAsia"/>
                <w:color w:val="auto"/>
              </w:rPr>
              <w:t>危险废物</w:t>
            </w:r>
          </w:p>
        </w:tc>
        <w:tc>
          <w:tcPr>
            <w:tcW w:w="1070" w:type="pct"/>
            <w:vMerge w:val="continue"/>
            <w:shd w:val="clear" w:color="auto" w:fill="auto"/>
            <w:vAlign w:val="center"/>
          </w:tcPr>
          <w:p w14:paraId="1085C45F">
            <w:pPr>
              <w:pStyle w:val="69"/>
              <w:rPr>
                <w:color w:val="auto"/>
              </w:rPr>
            </w:pPr>
          </w:p>
        </w:tc>
      </w:tr>
      <w:tr w14:paraId="177452C5">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641" w:type="pct"/>
            <w:vMerge w:val="continue"/>
            <w:shd w:val="clear" w:color="auto" w:fill="auto"/>
            <w:tcMar>
              <w:top w:w="28" w:type="dxa"/>
              <w:bottom w:w="28" w:type="dxa"/>
            </w:tcMar>
            <w:vAlign w:val="center"/>
          </w:tcPr>
          <w:p w14:paraId="4A412A20">
            <w:pPr>
              <w:pStyle w:val="69"/>
              <w:rPr>
                <w:color w:val="auto"/>
              </w:rPr>
            </w:pPr>
            <w:bookmarkStart w:id="32" w:name="_Hlk101345918"/>
          </w:p>
        </w:tc>
        <w:tc>
          <w:tcPr>
            <w:tcW w:w="1214" w:type="pct"/>
            <w:shd w:val="clear" w:color="auto" w:fill="auto"/>
            <w:tcMar>
              <w:top w:w="28" w:type="dxa"/>
              <w:bottom w:w="28" w:type="dxa"/>
            </w:tcMar>
            <w:vAlign w:val="center"/>
          </w:tcPr>
          <w:p w14:paraId="23F749A4">
            <w:pPr>
              <w:pStyle w:val="53"/>
              <w:ind w:firstLine="0" w:firstLineChars="0"/>
              <w:rPr>
                <w:rFonts w:hint="eastAsia" w:ascii="Times New Roman" w:hAnsi="Times New Roman" w:eastAsia="宋体" w:cs="Times New Roman"/>
                <w:color w:val="auto"/>
                <w:sz w:val="21"/>
                <w:szCs w:val="21"/>
                <w:u w:val="none"/>
                <w:lang w:val="en-US" w:eastAsia="zh-CN" w:bidi="ar-SA"/>
              </w:rPr>
            </w:pPr>
            <w:r>
              <w:rPr>
                <w:rFonts w:hint="eastAsia"/>
                <w:color w:val="auto"/>
                <w:kern w:val="2"/>
                <w:u w:val="none"/>
              </w:rPr>
              <w:t>气浮池</w:t>
            </w:r>
          </w:p>
        </w:tc>
        <w:tc>
          <w:tcPr>
            <w:tcW w:w="1227" w:type="pct"/>
            <w:shd w:val="clear" w:color="auto" w:fill="auto"/>
            <w:tcMar>
              <w:top w:w="28" w:type="dxa"/>
              <w:bottom w:w="28" w:type="dxa"/>
            </w:tcMar>
            <w:vAlign w:val="center"/>
          </w:tcPr>
          <w:p w14:paraId="6D4A51F7">
            <w:pPr>
              <w:pStyle w:val="53"/>
              <w:ind w:firstLine="0" w:firstLineChars="0"/>
              <w:rPr>
                <w:rFonts w:hint="eastAsia" w:ascii="Times New Roman" w:hAnsi="Times New Roman" w:eastAsia="宋体" w:cs="Times New Roman"/>
                <w:color w:val="auto"/>
                <w:sz w:val="21"/>
                <w:szCs w:val="21"/>
                <w:highlight w:val="yellow"/>
                <w:u w:val="none"/>
                <w:lang w:val="en-US" w:eastAsia="zh-CN" w:bidi="ar-SA"/>
              </w:rPr>
            </w:pPr>
            <w:r>
              <w:rPr>
                <w:rFonts w:hint="eastAsia"/>
                <w:color w:val="auto"/>
                <w:u w:val="none"/>
              </w:rPr>
              <w:t>废油渣</w:t>
            </w:r>
          </w:p>
        </w:tc>
        <w:tc>
          <w:tcPr>
            <w:tcW w:w="846" w:type="pct"/>
            <w:shd w:val="clear" w:color="auto" w:fill="auto"/>
            <w:tcMar>
              <w:top w:w="28" w:type="dxa"/>
              <w:bottom w:w="28" w:type="dxa"/>
            </w:tcMar>
            <w:vAlign w:val="center"/>
          </w:tcPr>
          <w:p w14:paraId="7DC17993">
            <w:pPr>
              <w:pStyle w:val="69"/>
              <w:rPr>
                <w:rFonts w:hint="eastAsia"/>
                <w:color w:val="auto"/>
              </w:rPr>
            </w:pPr>
            <w:r>
              <w:rPr>
                <w:rFonts w:hint="eastAsia"/>
                <w:color w:val="auto"/>
              </w:rPr>
              <w:t>危险废物</w:t>
            </w:r>
          </w:p>
        </w:tc>
        <w:tc>
          <w:tcPr>
            <w:tcW w:w="1070" w:type="pct"/>
            <w:vMerge w:val="continue"/>
            <w:shd w:val="clear" w:color="auto" w:fill="auto"/>
            <w:vAlign w:val="center"/>
          </w:tcPr>
          <w:p w14:paraId="0CC4FD91">
            <w:pPr>
              <w:pStyle w:val="69"/>
              <w:rPr>
                <w:color w:val="auto"/>
              </w:rPr>
            </w:pPr>
          </w:p>
        </w:tc>
      </w:tr>
      <w:tr w14:paraId="76A78E18">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641" w:type="pct"/>
            <w:vMerge w:val="continue"/>
            <w:shd w:val="clear" w:color="auto" w:fill="auto"/>
            <w:tcMar>
              <w:top w:w="28" w:type="dxa"/>
              <w:bottom w:w="28" w:type="dxa"/>
            </w:tcMar>
            <w:vAlign w:val="center"/>
          </w:tcPr>
          <w:p w14:paraId="3E9314C0">
            <w:pPr>
              <w:pStyle w:val="69"/>
              <w:rPr>
                <w:color w:val="auto"/>
              </w:rPr>
            </w:pPr>
          </w:p>
        </w:tc>
        <w:tc>
          <w:tcPr>
            <w:tcW w:w="1214" w:type="pct"/>
            <w:shd w:val="clear" w:color="auto" w:fill="auto"/>
            <w:tcMar>
              <w:top w:w="28" w:type="dxa"/>
              <w:bottom w:w="28" w:type="dxa"/>
            </w:tcMar>
            <w:vAlign w:val="center"/>
          </w:tcPr>
          <w:p w14:paraId="7DDF3E24">
            <w:pPr>
              <w:pStyle w:val="53"/>
              <w:ind w:firstLine="0" w:firstLineChars="0"/>
              <w:rPr>
                <w:rFonts w:hint="eastAsia" w:ascii="Times New Roman" w:hAnsi="Times New Roman" w:eastAsia="宋体" w:cs="Times New Roman"/>
                <w:color w:val="auto"/>
                <w:sz w:val="21"/>
                <w:szCs w:val="21"/>
                <w:u w:val="none"/>
                <w:lang w:val="en-US" w:eastAsia="zh-CN" w:bidi="ar-SA"/>
              </w:rPr>
            </w:pPr>
            <w:r>
              <w:rPr>
                <w:rFonts w:hint="eastAsia"/>
                <w:color w:val="auto"/>
                <w:u w:val="none"/>
              </w:rPr>
              <w:t>含镍废水处理设施</w:t>
            </w:r>
          </w:p>
        </w:tc>
        <w:tc>
          <w:tcPr>
            <w:tcW w:w="1227" w:type="pct"/>
            <w:shd w:val="clear" w:color="auto" w:fill="auto"/>
            <w:tcMar>
              <w:top w:w="28" w:type="dxa"/>
              <w:bottom w:w="28" w:type="dxa"/>
            </w:tcMar>
            <w:vAlign w:val="center"/>
          </w:tcPr>
          <w:p w14:paraId="39CA5222">
            <w:pPr>
              <w:pStyle w:val="53"/>
              <w:ind w:firstLine="0" w:firstLineChars="0"/>
              <w:rPr>
                <w:rFonts w:hint="eastAsia" w:ascii="Times New Roman" w:hAnsi="Times New Roman" w:eastAsia="宋体" w:cs="Times New Roman"/>
                <w:color w:val="auto"/>
                <w:sz w:val="21"/>
                <w:szCs w:val="21"/>
                <w:u w:val="none"/>
                <w:lang w:val="en-US" w:eastAsia="zh-CN" w:bidi="ar-SA"/>
              </w:rPr>
            </w:pPr>
            <w:r>
              <w:rPr>
                <w:rFonts w:hint="eastAsia"/>
                <w:color w:val="auto"/>
                <w:u w:val="none"/>
              </w:rPr>
              <w:t>含镍</w:t>
            </w:r>
            <w:r>
              <w:rPr>
                <w:rFonts w:hint="eastAsia" w:ascii="宋体" w:hAnsi="宋体"/>
                <w:color w:val="auto"/>
                <w:u w:val="none"/>
              </w:rPr>
              <w:t>废活性炭</w:t>
            </w:r>
          </w:p>
        </w:tc>
        <w:tc>
          <w:tcPr>
            <w:tcW w:w="846" w:type="pct"/>
            <w:shd w:val="clear" w:color="auto" w:fill="auto"/>
            <w:tcMar>
              <w:top w:w="28" w:type="dxa"/>
              <w:bottom w:w="28" w:type="dxa"/>
            </w:tcMar>
            <w:vAlign w:val="center"/>
          </w:tcPr>
          <w:p w14:paraId="1B876874">
            <w:pPr>
              <w:pStyle w:val="69"/>
              <w:rPr>
                <w:rFonts w:hint="eastAsia"/>
                <w:color w:val="auto"/>
              </w:rPr>
            </w:pPr>
            <w:r>
              <w:rPr>
                <w:rFonts w:hint="eastAsia"/>
                <w:color w:val="auto"/>
              </w:rPr>
              <w:t>危险废物</w:t>
            </w:r>
          </w:p>
        </w:tc>
        <w:tc>
          <w:tcPr>
            <w:tcW w:w="1070" w:type="pct"/>
            <w:vMerge w:val="continue"/>
            <w:shd w:val="clear" w:color="auto" w:fill="auto"/>
            <w:vAlign w:val="center"/>
          </w:tcPr>
          <w:p w14:paraId="460E95E1">
            <w:pPr>
              <w:pStyle w:val="69"/>
              <w:rPr>
                <w:color w:val="auto"/>
              </w:rPr>
            </w:pPr>
          </w:p>
        </w:tc>
      </w:tr>
      <w:tr w14:paraId="2180D377">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641" w:type="pct"/>
            <w:vMerge w:val="continue"/>
            <w:shd w:val="clear" w:color="auto" w:fill="auto"/>
            <w:tcMar>
              <w:top w:w="28" w:type="dxa"/>
              <w:bottom w:w="28" w:type="dxa"/>
            </w:tcMar>
            <w:vAlign w:val="center"/>
          </w:tcPr>
          <w:p w14:paraId="4C28FDC6">
            <w:pPr>
              <w:pStyle w:val="69"/>
              <w:rPr>
                <w:color w:val="auto"/>
              </w:rPr>
            </w:pPr>
          </w:p>
        </w:tc>
        <w:tc>
          <w:tcPr>
            <w:tcW w:w="1214" w:type="pct"/>
            <w:shd w:val="clear" w:color="auto" w:fill="auto"/>
            <w:tcMar>
              <w:top w:w="28" w:type="dxa"/>
              <w:bottom w:w="28" w:type="dxa"/>
            </w:tcMar>
            <w:vAlign w:val="center"/>
          </w:tcPr>
          <w:p w14:paraId="22AE8AD6">
            <w:pPr>
              <w:pStyle w:val="53"/>
              <w:ind w:firstLine="0" w:firstLineChars="0"/>
              <w:rPr>
                <w:rFonts w:hint="eastAsia" w:ascii="Times New Roman" w:hAnsi="Times New Roman" w:eastAsia="宋体" w:cs="Times New Roman"/>
                <w:color w:val="auto"/>
                <w:kern w:val="2"/>
                <w:sz w:val="21"/>
                <w:szCs w:val="21"/>
                <w:u w:val="none"/>
                <w:lang w:val="en-US" w:eastAsia="zh-CN" w:bidi="ar-SA"/>
              </w:rPr>
            </w:pPr>
            <w:r>
              <w:rPr>
                <w:rFonts w:hint="eastAsia"/>
                <w:color w:val="auto"/>
                <w:u w:val="none"/>
              </w:rPr>
              <w:t>含镍废水处理设施</w:t>
            </w:r>
          </w:p>
        </w:tc>
        <w:tc>
          <w:tcPr>
            <w:tcW w:w="1227" w:type="pct"/>
            <w:shd w:val="clear" w:color="auto" w:fill="auto"/>
            <w:tcMar>
              <w:top w:w="28" w:type="dxa"/>
              <w:bottom w:w="28" w:type="dxa"/>
            </w:tcMar>
            <w:vAlign w:val="center"/>
          </w:tcPr>
          <w:p w14:paraId="1991A5C8">
            <w:pPr>
              <w:pStyle w:val="53"/>
              <w:ind w:firstLine="0" w:firstLineChars="0"/>
              <w:rPr>
                <w:rFonts w:hint="eastAsia" w:ascii="Times New Roman" w:hAnsi="Times New Roman" w:eastAsia="宋体" w:cs="Times New Roman"/>
                <w:color w:val="auto"/>
                <w:sz w:val="21"/>
                <w:szCs w:val="21"/>
                <w:u w:val="none"/>
                <w:lang w:val="en-US" w:eastAsia="zh-CN" w:bidi="ar-SA"/>
              </w:rPr>
            </w:pPr>
            <w:r>
              <w:rPr>
                <w:rFonts w:hint="eastAsia"/>
                <w:color w:val="auto"/>
                <w:u w:val="none"/>
              </w:rPr>
              <w:t>含镍废过滤膜</w:t>
            </w:r>
          </w:p>
        </w:tc>
        <w:tc>
          <w:tcPr>
            <w:tcW w:w="846" w:type="pct"/>
            <w:shd w:val="clear" w:color="auto" w:fill="auto"/>
            <w:tcMar>
              <w:top w:w="28" w:type="dxa"/>
              <w:bottom w:w="28" w:type="dxa"/>
            </w:tcMar>
            <w:vAlign w:val="center"/>
          </w:tcPr>
          <w:p w14:paraId="7EA7EA3A">
            <w:pPr>
              <w:pStyle w:val="69"/>
              <w:rPr>
                <w:rFonts w:hint="eastAsia"/>
                <w:color w:val="auto"/>
              </w:rPr>
            </w:pPr>
            <w:r>
              <w:rPr>
                <w:rFonts w:hint="eastAsia"/>
                <w:color w:val="auto"/>
              </w:rPr>
              <w:t>危险废物</w:t>
            </w:r>
          </w:p>
        </w:tc>
        <w:tc>
          <w:tcPr>
            <w:tcW w:w="1070" w:type="pct"/>
            <w:vMerge w:val="continue"/>
            <w:shd w:val="clear" w:color="auto" w:fill="auto"/>
            <w:vAlign w:val="center"/>
          </w:tcPr>
          <w:p w14:paraId="0C3716CD">
            <w:pPr>
              <w:pStyle w:val="69"/>
              <w:rPr>
                <w:color w:val="auto"/>
              </w:rPr>
            </w:pPr>
          </w:p>
        </w:tc>
      </w:tr>
      <w:tr w14:paraId="2E512C64">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641" w:type="pct"/>
            <w:vMerge w:val="continue"/>
            <w:shd w:val="clear" w:color="auto" w:fill="auto"/>
            <w:tcMar>
              <w:top w:w="28" w:type="dxa"/>
              <w:bottom w:w="28" w:type="dxa"/>
            </w:tcMar>
            <w:vAlign w:val="center"/>
          </w:tcPr>
          <w:p w14:paraId="0CC0CE9E">
            <w:pPr>
              <w:pStyle w:val="69"/>
              <w:rPr>
                <w:color w:val="auto"/>
              </w:rPr>
            </w:pPr>
          </w:p>
        </w:tc>
        <w:tc>
          <w:tcPr>
            <w:tcW w:w="1214" w:type="pct"/>
            <w:shd w:val="clear" w:color="auto" w:fill="auto"/>
            <w:tcMar>
              <w:top w:w="28" w:type="dxa"/>
              <w:bottom w:w="28" w:type="dxa"/>
            </w:tcMar>
            <w:vAlign w:val="center"/>
          </w:tcPr>
          <w:p w14:paraId="44838000">
            <w:pPr>
              <w:pStyle w:val="53"/>
              <w:ind w:firstLine="0" w:firstLineChars="0"/>
              <w:rPr>
                <w:rFonts w:hint="eastAsia" w:ascii="Times New Roman" w:hAnsi="Times New Roman" w:eastAsia="宋体" w:cs="Times New Roman"/>
                <w:color w:val="auto"/>
                <w:sz w:val="21"/>
                <w:szCs w:val="21"/>
                <w:u w:val="none"/>
                <w:lang w:val="en-US" w:eastAsia="zh-CN" w:bidi="ar-SA"/>
              </w:rPr>
            </w:pPr>
            <w:r>
              <w:rPr>
                <w:rFonts w:hint="eastAsia"/>
                <w:color w:val="auto"/>
                <w:u w:val="none"/>
              </w:rPr>
              <w:t>含镍废水处理设施</w:t>
            </w:r>
          </w:p>
        </w:tc>
        <w:tc>
          <w:tcPr>
            <w:tcW w:w="1227" w:type="pct"/>
            <w:shd w:val="clear" w:color="auto" w:fill="auto"/>
            <w:tcMar>
              <w:top w:w="28" w:type="dxa"/>
              <w:bottom w:w="28" w:type="dxa"/>
            </w:tcMar>
            <w:vAlign w:val="center"/>
          </w:tcPr>
          <w:p w14:paraId="2216E966">
            <w:pPr>
              <w:pStyle w:val="53"/>
              <w:ind w:firstLine="0" w:firstLineChars="0"/>
              <w:rPr>
                <w:rFonts w:hint="eastAsia" w:ascii="Times New Roman" w:hAnsi="Times New Roman" w:eastAsia="宋体" w:cs="Times New Roman"/>
                <w:color w:val="auto"/>
                <w:sz w:val="21"/>
                <w:szCs w:val="21"/>
                <w:highlight w:val="yellow"/>
                <w:u w:val="none"/>
                <w:lang w:val="en-US" w:eastAsia="zh-CN" w:bidi="ar-SA"/>
              </w:rPr>
            </w:pPr>
            <w:r>
              <w:rPr>
                <w:rFonts w:hint="eastAsia"/>
                <w:color w:val="auto"/>
                <w:u w:val="none"/>
              </w:rPr>
              <w:t>含镍污泥</w:t>
            </w:r>
          </w:p>
        </w:tc>
        <w:tc>
          <w:tcPr>
            <w:tcW w:w="846" w:type="pct"/>
            <w:shd w:val="clear" w:color="auto" w:fill="auto"/>
            <w:tcMar>
              <w:top w:w="28" w:type="dxa"/>
              <w:bottom w:w="28" w:type="dxa"/>
            </w:tcMar>
            <w:vAlign w:val="center"/>
          </w:tcPr>
          <w:p w14:paraId="6A0DEE9E">
            <w:pPr>
              <w:pStyle w:val="69"/>
              <w:rPr>
                <w:rFonts w:hint="eastAsia"/>
                <w:color w:val="auto"/>
              </w:rPr>
            </w:pPr>
            <w:r>
              <w:rPr>
                <w:rFonts w:hint="eastAsia"/>
                <w:color w:val="auto"/>
              </w:rPr>
              <w:t>危险废物</w:t>
            </w:r>
          </w:p>
        </w:tc>
        <w:tc>
          <w:tcPr>
            <w:tcW w:w="1070" w:type="pct"/>
            <w:vMerge w:val="continue"/>
            <w:shd w:val="clear" w:color="auto" w:fill="auto"/>
            <w:vAlign w:val="center"/>
          </w:tcPr>
          <w:p w14:paraId="689175B7">
            <w:pPr>
              <w:pStyle w:val="69"/>
              <w:rPr>
                <w:color w:val="auto"/>
              </w:rPr>
            </w:pPr>
          </w:p>
        </w:tc>
      </w:tr>
      <w:tr w14:paraId="03239FDA">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641" w:type="pct"/>
            <w:vMerge w:val="continue"/>
            <w:shd w:val="clear" w:color="auto" w:fill="auto"/>
            <w:tcMar>
              <w:top w:w="28" w:type="dxa"/>
              <w:bottom w:w="28" w:type="dxa"/>
            </w:tcMar>
            <w:vAlign w:val="center"/>
          </w:tcPr>
          <w:p w14:paraId="2AB777A6">
            <w:pPr>
              <w:pStyle w:val="69"/>
              <w:rPr>
                <w:color w:val="auto"/>
              </w:rPr>
            </w:pPr>
          </w:p>
        </w:tc>
        <w:tc>
          <w:tcPr>
            <w:tcW w:w="1214" w:type="pct"/>
            <w:shd w:val="clear" w:color="auto" w:fill="auto"/>
            <w:tcMar>
              <w:top w:w="28" w:type="dxa"/>
              <w:bottom w:w="28" w:type="dxa"/>
            </w:tcMar>
            <w:vAlign w:val="center"/>
          </w:tcPr>
          <w:p w14:paraId="2FCEE929">
            <w:pPr>
              <w:pStyle w:val="53"/>
              <w:ind w:firstLine="0" w:firstLineChars="0"/>
              <w:rPr>
                <w:rFonts w:hint="eastAsia" w:ascii="Times New Roman" w:hAnsi="Times New Roman" w:eastAsia="宋体" w:cs="Times New Roman"/>
                <w:color w:val="auto"/>
                <w:sz w:val="21"/>
                <w:szCs w:val="21"/>
                <w:u w:val="none"/>
                <w:lang w:val="en-US" w:eastAsia="zh-CN" w:bidi="ar-SA"/>
              </w:rPr>
            </w:pPr>
            <w:r>
              <w:rPr>
                <w:rFonts w:hint="eastAsia"/>
                <w:color w:val="auto"/>
                <w:u w:val="none"/>
              </w:rPr>
              <w:t>含铬废水处理设施</w:t>
            </w:r>
          </w:p>
        </w:tc>
        <w:tc>
          <w:tcPr>
            <w:tcW w:w="1227" w:type="pct"/>
            <w:shd w:val="clear" w:color="auto" w:fill="auto"/>
            <w:tcMar>
              <w:top w:w="28" w:type="dxa"/>
              <w:bottom w:w="28" w:type="dxa"/>
            </w:tcMar>
            <w:vAlign w:val="center"/>
          </w:tcPr>
          <w:p w14:paraId="0974032D">
            <w:pPr>
              <w:pStyle w:val="53"/>
              <w:ind w:firstLine="0" w:firstLineChars="0"/>
              <w:rPr>
                <w:rFonts w:hint="eastAsia" w:ascii="Times New Roman" w:hAnsi="Times New Roman" w:eastAsia="宋体" w:cs="Times New Roman"/>
                <w:color w:val="auto"/>
                <w:sz w:val="21"/>
                <w:szCs w:val="21"/>
                <w:u w:val="none"/>
                <w:lang w:val="en-US" w:eastAsia="zh-CN" w:bidi="ar-SA"/>
              </w:rPr>
            </w:pPr>
            <w:r>
              <w:rPr>
                <w:rFonts w:hint="eastAsia"/>
                <w:color w:val="auto"/>
                <w:u w:val="none"/>
              </w:rPr>
              <w:t>含铬</w:t>
            </w:r>
            <w:r>
              <w:rPr>
                <w:rFonts w:hint="eastAsia" w:ascii="宋体" w:hAnsi="宋体"/>
                <w:color w:val="auto"/>
                <w:u w:val="none"/>
              </w:rPr>
              <w:t>废活性炭</w:t>
            </w:r>
          </w:p>
        </w:tc>
        <w:tc>
          <w:tcPr>
            <w:tcW w:w="846" w:type="pct"/>
            <w:shd w:val="clear" w:color="auto" w:fill="auto"/>
            <w:tcMar>
              <w:top w:w="28" w:type="dxa"/>
              <w:bottom w:w="28" w:type="dxa"/>
            </w:tcMar>
            <w:vAlign w:val="center"/>
          </w:tcPr>
          <w:p w14:paraId="6103F2B2">
            <w:pPr>
              <w:pStyle w:val="69"/>
              <w:rPr>
                <w:rFonts w:hint="eastAsia"/>
                <w:color w:val="auto"/>
              </w:rPr>
            </w:pPr>
            <w:r>
              <w:rPr>
                <w:rFonts w:hint="eastAsia"/>
                <w:color w:val="auto"/>
              </w:rPr>
              <w:t>危险废物</w:t>
            </w:r>
          </w:p>
        </w:tc>
        <w:tc>
          <w:tcPr>
            <w:tcW w:w="1070" w:type="pct"/>
            <w:vMerge w:val="continue"/>
            <w:shd w:val="clear" w:color="auto" w:fill="auto"/>
            <w:vAlign w:val="center"/>
          </w:tcPr>
          <w:p w14:paraId="1667AD12">
            <w:pPr>
              <w:pStyle w:val="69"/>
              <w:rPr>
                <w:color w:val="auto"/>
              </w:rPr>
            </w:pPr>
          </w:p>
        </w:tc>
      </w:tr>
      <w:tr w14:paraId="471D80BF">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641" w:type="pct"/>
            <w:vMerge w:val="continue"/>
            <w:shd w:val="clear" w:color="auto" w:fill="auto"/>
            <w:tcMar>
              <w:top w:w="28" w:type="dxa"/>
              <w:bottom w:w="28" w:type="dxa"/>
            </w:tcMar>
            <w:vAlign w:val="center"/>
          </w:tcPr>
          <w:p w14:paraId="7A8A92BB">
            <w:pPr>
              <w:pStyle w:val="69"/>
              <w:rPr>
                <w:color w:val="auto"/>
              </w:rPr>
            </w:pPr>
          </w:p>
        </w:tc>
        <w:tc>
          <w:tcPr>
            <w:tcW w:w="1214" w:type="pct"/>
            <w:shd w:val="clear" w:color="auto" w:fill="auto"/>
            <w:tcMar>
              <w:top w:w="28" w:type="dxa"/>
              <w:bottom w:w="28" w:type="dxa"/>
            </w:tcMar>
            <w:vAlign w:val="center"/>
          </w:tcPr>
          <w:p w14:paraId="31A4A7DF">
            <w:pPr>
              <w:pStyle w:val="53"/>
              <w:ind w:firstLine="0" w:firstLineChars="0"/>
              <w:rPr>
                <w:rFonts w:hint="eastAsia" w:ascii="Times New Roman" w:hAnsi="Times New Roman" w:eastAsia="宋体" w:cs="Times New Roman"/>
                <w:color w:val="auto"/>
                <w:kern w:val="2"/>
                <w:sz w:val="21"/>
                <w:szCs w:val="21"/>
                <w:u w:val="none"/>
                <w:lang w:val="en-US" w:eastAsia="zh-CN" w:bidi="ar-SA"/>
              </w:rPr>
            </w:pPr>
            <w:r>
              <w:rPr>
                <w:rFonts w:hint="eastAsia"/>
                <w:color w:val="auto"/>
                <w:u w:val="none"/>
              </w:rPr>
              <w:t>含铬废水处理设施</w:t>
            </w:r>
          </w:p>
        </w:tc>
        <w:tc>
          <w:tcPr>
            <w:tcW w:w="1227" w:type="pct"/>
            <w:shd w:val="clear" w:color="auto" w:fill="auto"/>
            <w:tcMar>
              <w:top w:w="28" w:type="dxa"/>
              <w:bottom w:w="28" w:type="dxa"/>
            </w:tcMar>
            <w:vAlign w:val="center"/>
          </w:tcPr>
          <w:p w14:paraId="2A9D49E8">
            <w:pPr>
              <w:pStyle w:val="53"/>
              <w:ind w:firstLine="0" w:firstLineChars="0"/>
              <w:rPr>
                <w:rFonts w:hint="eastAsia" w:ascii="Times New Roman" w:hAnsi="Times New Roman" w:eastAsia="宋体" w:cs="Times New Roman"/>
                <w:color w:val="auto"/>
                <w:sz w:val="21"/>
                <w:szCs w:val="21"/>
                <w:u w:val="none"/>
                <w:lang w:val="en-US" w:eastAsia="zh-CN" w:bidi="ar-SA"/>
              </w:rPr>
            </w:pPr>
            <w:r>
              <w:rPr>
                <w:rFonts w:hint="eastAsia"/>
                <w:color w:val="auto"/>
                <w:u w:val="none"/>
              </w:rPr>
              <w:t>含铬废过滤膜</w:t>
            </w:r>
          </w:p>
        </w:tc>
        <w:tc>
          <w:tcPr>
            <w:tcW w:w="846" w:type="pct"/>
            <w:shd w:val="clear" w:color="auto" w:fill="auto"/>
            <w:tcMar>
              <w:top w:w="28" w:type="dxa"/>
              <w:bottom w:w="28" w:type="dxa"/>
            </w:tcMar>
            <w:vAlign w:val="center"/>
          </w:tcPr>
          <w:p w14:paraId="575EA2FC">
            <w:pPr>
              <w:pStyle w:val="69"/>
              <w:rPr>
                <w:rFonts w:hint="eastAsia"/>
                <w:color w:val="auto"/>
              </w:rPr>
            </w:pPr>
            <w:r>
              <w:rPr>
                <w:rFonts w:hint="eastAsia"/>
                <w:color w:val="auto"/>
              </w:rPr>
              <w:t>危险废物</w:t>
            </w:r>
          </w:p>
        </w:tc>
        <w:tc>
          <w:tcPr>
            <w:tcW w:w="1070" w:type="pct"/>
            <w:vMerge w:val="continue"/>
            <w:shd w:val="clear" w:color="auto" w:fill="auto"/>
            <w:vAlign w:val="center"/>
          </w:tcPr>
          <w:p w14:paraId="07643E57">
            <w:pPr>
              <w:pStyle w:val="69"/>
              <w:rPr>
                <w:color w:val="auto"/>
              </w:rPr>
            </w:pPr>
          </w:p>
        </w:tc>
      </w:tr>
      <w:tr w14:paraId="7A43EB84">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641" w:type="pct"/>
            <w:vMerge w:val="continue"/>
            <w:shd w:val="clear" w:color="auto" w:fill="auto"/>
            <w:tcMar>
              <w:top w:w="28" w:type="dxa"/>
              <w:bottom w:w="28" w:type="dxa"/>
            </w:tcMar>
            <w:vAlign w:val="center"/>
          </w:tcPr>
          <w:p w14:paraId="29BD9386">
            <w:pPr>
              <w:pStyle w:val="69"/>
              <w:rPr>
                <w:color w:val="auto"/>
              </w:rPr>
            </w:pPr>
          </w:p>
        </w:tc>
        <w:tc>
          <w:tcPr>
            <w:tcW w:w="1214" w:type="pct"/>
            <w:shd w:val="clear" w:color="auto" w:fill="auto"/>
            <w:tcMar>
              <w:top w:w="28" w:type="dxa"/>
              <w:bottom w:w="28" w:type="dxa"/>
            </w:tcMar>
            <w:vAlign w:val="center"/>
          </w:tcPr>
          <w:p w14:paraId="3D235D38">
            <w:pPr>
              <w:pStyle w:val="53"/>
              <w:ind w:firstLine="0" w:firstLineChars="0"/>
              <w:rPr>
                <w:rFonts w:hint="eastAsia" w:ascii="Times New Roman" w:hAnsi="Times New Roman" w:eastAsia="宋体" w:cs="Times New Roman"/>
                <w:color w:val="auto"/>
                <w:kern w:val="2"/>
                <w:sz w:val="21"/>
                <w:szCs w:val="21"/>
                <w:u w:val="none"/>
                <w:lang w:val="en-US" w:eastAsia="zh-CN" w:bidi="ar-SA"/>
              </w:rPr>
            </w:pPr>
            <w:r>
              <w:rPr>
                <w:rFonts w:hint="eastAsia"/>
                <w:color w:val="auto"/>
                <w:u w:val="none"/>
              </w:rPr>
              <w:t>含铬废水处理设施</w:t>
            </w:r>
          </w:p>
        </w:tc>
        <w:tc>
          <w:tcPr>
            <w:tcW w:w="1227" w:type="pct"/>
            <w:shd w:val="clear" w:color="auto" w:fill="auto"/>
            <w:tcMar>
              <w:top w:w="28" w:type="dxa"/>
              <w:bottom w:w="28" w:type="dxa"/>
            </w:tcMar>
            <w:vAlign w:val="center"/>
          </w:tcPr>
          <w:p w14:paraId="2338231E">
            <w:pPr>
              <w:pStyle w:val="53"/>
              <w:ind w:firstLine="0" w:firstLineChars="0"/>
              <w:rPr>
                <w:rFonts w:hint="eastAsia" w:ascii="Times New Roman" w:hAnsi="Times New Roman" w:eastAsia="宋体" w:cs="Times New Roman"/>
                <w:color w:val="auto"/>
                <w:sz w:val="21"/>
                <w:szCs w:val="21"/>
                <w:u w:val="none"/>
                <w:lang w:val="en-US" w:eastAsia="zh-CN" w:bidi="ar-SA"/>
              </w:rPr>
            </w:pPr>
            <w:r>
              <w:rPr>
                <w:rFonts w:hint="eastAsia"/>
                <w:color w:val="auto"/>
                <w:u w:val="none"/>
              </w:rPr>
              <w:t>含铬污泥</w:t>
            </w:r>
          </w:p>
        </w:tc>
        <w:tc>
          <w:tcPr>
            <w:tcW w:w="846" w:type="pct"/>
            <w:shd w:val="clear" w:color="auto" w:fill="auto"/>
            <w:tcMar>
              <w:top w:w="28" w:type="dxa"/>
              <w:bottom w:w="28" w:type="dxa"/>
            </w:tcMar>
            <w:vAlign w:val="center"/>
          </w:tcPr>
          <w:p w14:paraId="3726AFF7">
            <w:pPr>
              <w:pStyle w:val="69"/>
              <w:rPr>
                <w:rFonts w:hint="eastAsia"/>
                <w:color w:val="auto"/>
              </w:rPr>
            </w:pPr>
            <w:r>
              <w:rPr>
                <w:rFonts w:hint="eastAsia"/>
                <w:color w:val="auto"/>
              </w:rPr>
              <w:t>危险废物</w:t>
            </w:r>
          </w:p>
        </w:tc>
        <w:tc>
          <w:tcPr>
            <w:tcW w:w="1070" w:type="pct"/>
            <w:vMerge w:val="continue"/>
            <w:shd w:val="clear" w:color="auto" w:fill="auto"/>
            <w:vAlign w:val="center"/>
          </w:tcPr>
          <w:p w14:paraId="30383319">
            <w:pPr>
              <w:pStyle w:val="69"/>
              <w:rPr>
                <w:color w:val="auto"/>
              </w:rPr>
            </w:pPr>
          </w:p>
        </w:tc>
      </w:tr>
      <w:tr w14:paraId="22B798FE">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641" w:type="pct"/>
            <w:vMerge w:val="continue"/>
            <w:shd w:val="clear" w:color="auto" w:fill="auto"/>
            <w:tcMar>
              <w:top w:w="28" w:type="dxa"/>
              <w:bottom w:w="28" w:type="dxa"/>
            </w:tcMar>
            <w:vAlign w:val="center"/>
          </w:tcPr>
          <w:p w14:paraId="186E998A">
            <w:pPr>
              <w:pStyle w:val="69"/>
              <w:rPr>
                <w:color w:val="auto"/>
              </w:rPr>
            </w:pPr>
          </w:p>
        </w:tc>
        <w:tc>
          <w:tcPr>
            <w:tcW w:w="1214" w:type="pct"/>
            <w:shd w:val="clear" w:color="auto" w:fill="auto"/>
            <w:tcMar>
              <w:top w:w="28" w:type="dxa"/>
              <w:bottom w:w="28" w:type="dxa"/>
            </w:tcMar>
            <w:vAlign w:val="center"/>
          </w:tcPr>
          <w:p w14:paraId="679E4E56">
            <w:pPr>
              <w:pStyle w:val="53"/>
              <w:ind w:firstLine="0" w:firstLineChars="0"/>
              <w:rPr>
                <w:rFonts w:hint="eastAsia" w:ascii="Times New Roman" w:hAnsi="Times New Roman" w:eastAsia="宋体" w:cs="Times New Roman"/>
                <w:color w:val="auto"/>
                <w:kern w:val="2"/>
                <w:sz w:val="21"/>
                <w:szCs w:val="21"/>
                <w:u w:val="none"/>
                <w:lang w:val="en-US" w:eastAsia="zh-CN" w:bidi="ar-SA"/>
              </w:rPr>
            </w:pPr>
            <w:r>
              <w:rPr>
                <w:rFonts w:hint="eastAsia"/>
                <w:color w:val="auto"/>
                <w:u w:val="none"/>
              </w:rPr>
              <w:t>蒸发系统</w:t>
            </w:r>
          </w:p>
        </w:tc>
        <w:tc>
          <w:tcPr>
            <w:tcW w:w="1227" w:type="pct"/>
            <w:shd w:val="clear" w:color="auto" w:fill="auto"/>
            <w:tcMar>
              <w:top w:w="28" w:type="dxa"/>
              <w:bottom w:w="28" w:type="dxa"/>
            </w:tcMar>
            <w:vAlign w:val="center"/>
          </w:tcPr>
          <w:p w14:paraId="37082312">
            <w:pPr>
              <w:pStyle w:val="53"/>
              <w:ind w:firstLine="0" w:firstLineChars="0"/>
              <w:rPr>
                <w:rFonts w:hint="eastAsia" w:ascii="Times New Roman" w:hAnsi="Times New Roman" w:eastAsia="宋体" w:cs="Times New Roman"/>
                <w:color w:val="auto"/>
                <w:sz w:val="21"/>
                <w:szCs w:val="21"/>
                <w:u w:val="none"/>
                <w:lang w:val="en-US" w:eastAsia="zh-CN" w:bidi="ar-SA"/>
              </w:rPr>
            </w:pPr>
            <w:r>
              <w:rPr>
                <w:rFonts w:hint="eastAsia"/>
                <w:color w:val="auto"/>
                <w:u w:val="none"/>
              </w:rPr>
              <w:t>蒸发浓液</w:t>
            </w:r>
          </w:p>
        </w:tc>
        <w:tc>
          <w:tcPr>
            <w:tcW w:w="846" w:type="pct"/>
            <w:shd w:val="clear" w:color="auto" w:fill="auto"/>
            <w:tcMar>
              <w:top w:w="28" w:type="dxa"/>
              <w:bottom w:w="28" w:type="dxa"/>
            </w:tcMar>
            <w:vAlign w:val="center"/>
          </w:tcPr>
          <w:p w14:paraId="5742A49B">
            <w:pPr>
              <w:pStyle w:val="69"/>
              <w:rPr>
                <w:rFonts w:hint="eastAsia"/>
                <w:color w:val="auto"/>
              </w:rPr>
            </w:pPr>
            <w:r>
              <w:rPr>
                <w:rFonts w:hint="eastAsia"/>
                <w:color w:val="auto"/>
              </w:rPr>
              <w:t>危险废物</w:t>
            </w:r>
          </w:p>
        </w:tc>
        <w:tc>
          <w:tcPr>
            <w:tcW w:w="1070" w:type="pct"/>
            <w:vMerge w:val="continue"/>
            <w:shd w:val="clear" w:color="auto" w:fill="auto"/>
            <w:vAlign w:val="center"/>
          </w:tcPr>
          <w:p w14:paraId="2D9C5344">
            <w:pPr>
              <w:pStyle w:val="69"/>
              <w:rPr>
                <w:color w:val="auto"/>
              </w:rPr>
            </w:pPr>
          </w:p>
        </w:tc>
      </w:tr>
      <w:tr w14:paraId="4A720B13">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641" w:type="pct"/>
            <w:vMerge w:val="continue"/>
            <w:shd w:val="clear" w:color="auto" w:fill="auto"/>
            <w:tcMar>
              <w:top w:w="28" w:type="dxa"/>
              <w:bottom w:w="28" w:type="dxa"/>
            </w:tcMar>
            <w:vAlign w:val="center"/>
          </w:tcPr>
          <w:p w14:paraId="38B00CA8">
            <w:pPr>
              <w:pStyle w:val="69"/>
              <w:rPr>
                <w:color w:val="auto"/>
              </w:rPr>
            </w:pPr>
          </w:p>
        </w:tc>
        <w:tc>
          <w:tcPr>
            <w:tcW w:w="1214" w:type="pct"/>
            <w:vMerge w:val="restart"/>
            <w:shd w:val="clear" w:color="auto" w:fill="auto"/>
            <w:tcMar>
              <w:top w:w="28" w:type="dxa"/>
              <w:bottom w:w="28" w:type="dxa"/>
            </w:tcMar>
            <w:vAlign w:val="center"/>
          </w:tcPr>
          <w:p w14:paraId="07621FEA">
            <w:pPr>
              <w:pStyle w:val="53"/>
              <w:ind w:firstLine="0" w:firstLineChars="0"/>
              <w:rPr>
                <w:rFonts w:hint="eastAsia" w:ascii="Times New Roman" w:hAnsi="Times New Roman" w:eastAsia="宋体" w:cs="Times New Roman"/>
                <w:color w:val="auto"/>
                <w:sz w:val="21"/>
                <w:szCs w:val="21"/>
                <w:u w:val="none"/>
                <w:lang w:val="en-US" w:eastAsia="zh-CN" w:bidi="ar-SA"/>
              </w:rPr>
            </w:pPr>
            <w:r>
              <w:rPr>
                <w:rFonts w:hint="eastAsia"/>
                <w:color w:val="auto"/>
                <w:u w:val="none"/>
              </w:rPr>
              <w:t>含锌废水处理设施</w:t>
            </w:r>
          </w:p>
        </w:tc>
        <w:tc>
          <w:tcPr>
            <w:tcW w:w="1227" w:type="pct"/>
            <w:shd w:val="clear" w:color="auto" w:fill="auto"/>
            <w:tcMar>
              <w:top w:w="28" w:type="dxa"/>
              <w:bottom w:w="28" w:type="dxa"/>
            </w:tcMar>
            <w:vAlign w:val="center"/>
          </w:tcPr>
          <w:p w14:paraId="6EAD6B64">
            <w:pPr>
              <w:pStyle w:val="53"/>
              <w:ind w:firstLine="0" w:firstLineChars="0"/>
              <w:rPr>
                <w:rFonts w:hint="eastAsia" w:ascii="Times New Roman" w:hAnsi="Times New Roman" w:eastAsia="宋体" w:cs="Times New Roman"/>
                <w:color w:val="auto"/>
                <w:sz w:val="21"/>
                <w:szCs w:val="21"/>
                <w:u w:val="none"/>
                <w:lang w:val="en-US" w:eastAsia="zh-CN" w:bidi="ar-SA"/>
              </w:rPr>
            </w:pPr>
            <w:r>
              <w:rPr>
                <w:rFonts w:hint="eastAsia"/>
                <w:color w:val="auto"/>
                <w:u w:val="none"/>
              </w:rPr>
              <w:t>含</w:t>
            </w:r>
            <w:r>
              <w:rPr>
                <w:rFonts w:hint="eastAsia"/>
                <w:color w:val="auto"/>
                <w:spacing w:val="-6"/>
                <w:kern w:val="2"/>
                <w:u w:val="none"/>
              </w:rPr>
              <w:t>锌</w:t>
            </w:r>
            <w:r>
              <w:rPr>
                <w:rFonts w:hint="eastAsia" w:ascii="宋体" w:hAnsi="宋体"/>
                <w:color w:val="auto"/>
                <w:u w:val="none"/>
              </w:rPr>
              <w:t>废活性炭</w:t>
            </w:r>
          </w:p>
        </w:tc>
        <w:tc>
          <w:tcPr>
            <w:tcW w:w="846" w:type="pct"/>
            <w:shd w:val="clear" w:color="auto" w:fill="auto"/>
            <w:tcMar>
              <w:top w:w="28" w:type="dxa"/>
              <w:bottom w:w="28" w:type="dxa"/>
            </w:tcMar>
            <w:vAlign w:val="center"/>
          </w:tcPr>
          <w:p w14:paraId="7AED7B60">
            <w:pPr>
              <w:pStyle w:val="69"/>
              <w:rPr>
                <w:rFonts w:hint="eastAsia"/>
                <w:color w:val="auto"/>
              </w:rPr>
            </w:pPr>
            <w:r>
              <w:rPr>
                <w:rFonts w:hint="eastAsia"/>
                <w:color w:val="auto"/>
              </w:rPr>
              <w:t>危险废物</w:t>
            </w:r>
          </w:p>
        </w:tc>
        <w:tc>
          <w:tcPr>
            <w:tcW w:w="1070" w:type="pct"/>
            <w:vMerge w:val="continue"/>
            <w:shd w:val="clear" w:color="auto" w:fill="auto"/>
            <w:vAlign w:val="center"/>
          </w:tcPr>
          <w:p w14:paraId="3F003968">
            <w:pPr>
              <w:pStyle w:val="69"/>
              <w:rPr>
                <w:color w:val="auto"/>
              </w:rPr>
            </w:pPr>
          </w:p>
        </w:tc>
      </w:tr>
      <w:tr w14:paraId="5FE60881">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641" w:type="pct"/>
            <w:vMerge w:val="continue"/>
            <w:shd w:val="clear" w:color="auto" w:fill="auto"/>
            <w:tcMar>
              <w:top w:w="28" w:type="dxa"/>
              <w:bottom w:w="28" w:type="dxa"/>
            </w:tcMar>
            <w:vAlign w:val="center"/>
          </w:tcPr>
          <w:p w14:paraId="401A9D2C">
            <w:pPr>
              <w:pStyle w:val="69"/>
              <w:rPr>
                <w:color w:val="auto"/>
              </w:rPr>
            </w:pPr>
          </w:p>
        </w:tc>
        <w:tc>
          <w:tcPr>
            <w:tcW w:w="1214" w:type="pct"/>
            <w:vMerge w:val="continue"/>
            <w:shd w:val="clear" w:color="auto" w:fill="auto"/>
            <w:tcMar>
              <w:top w:w="28" w:type="dxa"/>
              <w:bottom w:w="28" w:type="dxa"/>
            </w:tcMar>
            <w:vAlign w:val="center"/>
          </w:tcPr>
          <w:p w14:paraId="50E0A04E">
            <w:pPr>
              <w:pStyle w:val="69"/>
              <w:rPr>
                <w:rFonts w:hint="eastAsia"/>
                <w:color w:val="auto"/>
                <w:u w:val="none"/>
              </w:rPr>
            </w:pPr>
          </w:p>
        </w:tc>
        <w:tc>
          <w:tcPr>
            <w:tcW w:w="1227" w:type="pct"/>
            <w:shd w:val="clear" w:color="auto" w:fill="auto"/>
            <w:tcMar>
              <w:top w:w="28" w:type="dxa"/>
              <w:bottom w:w="28" w:type="dxa"/>
            </w:tcMar>
            <w:vAlign w:val="center"/>
          </w:tcPr>
          <w:p w14:paraId="3312F445">
            <w:pPr>
              <w:pStyle w:val="53"/>
              <w:ind w:firstLine="0" w:firstLineChars="0"/>
              <w:rPr>
                <w:rFonts w:hint="eastAsia" w:ascii="Times New Roman" w:hAnsi="Times New Roman" w:eastAsia="宋体" w:cs="Times New Roman"/>
                <w:color w:val="auto"/>
                <w:sz w:val="21"/>
                <w:szCs w:val="21"/>
                <w:u w:val="none"/>
                <w:lang w:val="en-US" w:eastAsia="zh-CN" w:bidi="ar-SA"/>
              </w:rPr>
            </w:pPr>
            <w:r>
              <w:rPr>
                <w:rFonts w:hint="eastAsia"/>
                <w:color w:val="auto"/>
                <w:u w:val="none"/>
              </w:rPr>
              <w:t>含</w:t>
            </w:r>
            <w:r>
              <w:rPr>
                <w:rFonts w:hint="eastAsia"/>
                <w:color w:val="auto"/>
                <w:spacing w:val="-6"/>
                <w:kern w:val="2"/>
                <w:u w:val="none"/>
              </w:rPr>
              <w:t>锌</w:t>
            </w:r>
            <w:r>
              <w:rPr>
                <w:rFonts w:hint="eastAsia"/>
                <w:color w:val="auto"/>
                <w:u w:val="none"/>
              </w:rPr>
              <w:t>废过滤膜</w:t>
            </w:r>
          </w:p>
        </w:tc>
        <w:tc>
          <w:tcPr>
            <w:tcW w:w="846" w:type="pct"/>
            <w:shd w:val="clear" w:color="auto" w:fill="auto"/>
            <w:tcMar>
              <w:top w:w="28" w:type="dxa"/>
              <w:bottom w:w="28" w:type="dxa"/>
            </w:tcMar>
            <w:vAlign w:val="center"/>
          </w:tcPr>
          <w:p w14:paraId="52EDFA8D">
            <w:pPr>
              <w:pStyle w:val="69"/>
              <w:rPr>
                <w:rFonts w:hint="eastAsia"/>
                <w:color w:val="auto"/>
              </w:rPr>
            </w:pPr>
            <w:r>
              <w:rPr>
                <w:rFonts w:hint="eastAsia"/>
                <w:color w:val="auto"/>
              </w:rPr>
              <w:t>危险废物</w:t>
            </w:r>
          </w:p>
        </w:tc>
        <w:tc>
          <w:tcPr>
            <w:tcW w:w="1070" w:type="pct"/>
            <w:vMerge w:val="continue"/>
            <w:shd w:val="clear" w:color="auto" w:fill="auto"/>
            <w:vAlign w:val="center"/>
          </w:tcPr>
          <w:p w14:paraId="36FAAE8B">
            <w:pPr>
              <w:pStyle w:val="69"/>
              <w:rPr>
                <w:color w:val="auto"/>
              </w:rPr>
            </w:pPr>
          </w:p>
        </w:tc>
      </w:tr>
      <w:tr w14:paraId="71E813B5">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641" w:type="pct"/>
            <w:vMerge w:val="continue"/>
            <w:shd w:val="clear" w:color="auto" w:fill="auto"/>
            <w:tcMar>
              <w:top w:w="28" w:type="dxa"/>
              <w:bottom w:w="28" w:type="dxa"/>
            </w:tcMar>
            <w:vAlign w:val="center"/>
          </w:tcPr>
          <w:p w14:paraId="78959C9B">
            <w:pPr>
              <w:pStyle w:val="69"/>
              <w:rPr>
                <w:color w:val="auto"/>
              </w:rPr>
            </w:pPr>
          </w:p>
        </w:tc>
        <w:tc>
          <w:tcPr>
            <w:tcW w:w="1214" w:type="pct"/>
            <w:vMerge w:val="continue"/>
            <w:shd w:val="clear" w:color="auto" w:fill="auto"/>
            <w:tcMar>
              <w:top w:w="28" w:type="dxa"/>
              <w:bottom w:w="28" w:type="dxa"/>
            </w:tcMar>
            <w:vAlign w:val="center"/>
          </w:tcPr>
          <w:p w14:paraId="465336A7">
            <w:pPr>
              <w:pStyle w:val="69"/>
              <w:rPr>
                <w:rFonts w:hint="eastAsia"/>
                <w:color w:val="auto"/>
                <w:u w:val="none"/>
              </w:rPr>
            </w:pPr>
          </w:p>
        </w:tc>
        <w:tc>
          <w:tcPr>
            <w:tcW w:w="1227" w:type="pct"/>
            <w:shd w:val="clear" w:color="auto" w:fill="auto"/>
            <w:tcMar>
              <w:top w:w="28" w:type="dxa"/>
              <w:bottom w:w="28" w:type="dxa"/>
            </w:tcMar>
            <w:vAlign w:val="center"/>
          </w:tcPr>
          <w:p w14:paraId="6300AFF7">
            <w:pPr>
              <w:pStyle w:val="53"/>
              <w:ind w:firstLine="0" w:firstLineChars="0"/>
              <w:rPr>
                <w:rFonts w:hint="eastAsia" w:ascii="Times New Roman" w:hAnsi="Times New Roman" w:eastAsia="宋体" w:cs="Times New Roman"/>
                <w:color w:val="auto"/>
                <w:spacing w:val="-6"/>
                <w:kern w:val="2"/>
                <w:sz w:val="21"/>
                <w:szCs w:val="21"/>
                <w:u w:val="none"/>
                <w:lang w:val="en-US" w:eastAsia="zh-CN" w:bidi="ar-SA"/>
              </w:rPr>
            </w:pPr>
            <w:r>
              <w:rPr>
                <w:rFonts w:hint="eastAsia"/>
                <w:color w:val="auto"/>
                <w:spacing w:val="-6"/>
                <w:kern w:val="2"/>
                <w:u w:val="none"/>
              </w:rPr>
              <w:t>含锌污泥</w:t>
            </w:r>
          </w:p>
        </w:tc>
        <w:tc>
          <w:tcPr>
            <w:tcW w:w="846" w:type="pct"/>
            <w:shd w:val="clear" w:color="auto" w:fill="auto"/>
            <w:tcMar>
              <w:top w:w="28" w:type="dxa"/>
              <w:bottom w:w="28" w:type="dxa"/>
            </w:tcMar>
            <w:vAlign w:val="center"/>
          </w:tcPr>
          <w:p w14:paraId="23703C0C">
            <w:pPr>
              <w:pStyle w:val="69"/>
              <w:rPr>
                <w:rFonts w:hint="eastAsia"/>
                <w:color w:val="auto"/>
              </w:rPr>
            </w:pPr>
            <w:r>
              <w:rPr>
                <w:rFonts w:hint="eastAsia"/>
                <w:color w:val="auto"/>
              </w:rPr>
              <w:t>危险废物</w:t>
            </w:r>
          </w:p>
        </w:tc>
        <w:tc>
          <w:tcPr>
            <w:tcW w:w="1070" w:type="pct"/>
            <w:vMerge w:val="continue"/>
            <w:shd w:val="clear" w:color="auto" w:fill="auto"/>
            <w:vAlign w:val="center"/>
          </w:tcPr>
          <w:p w14:paraId="73DDACB8">
            <w:pPr>
              <w:pStyle w:val="69"/>
              <w:rPr>
                <w:color w:val="auto"/>
              </w:rPr>
            </w:pPr>
          </w:p>
        </w:tc>
      </w:tr>
      <w:tr w14:paraId="27BB6A60">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641" w:type="pct"/>
            <w:vMerge w:val="continue"/>
            <w:shd w:val="clear" w:color="auto" w:fill="auto"/>
            <w:tcMar>
              <w:top w:w="28" w:type="dxa"/>
              <w:bottom w:w="28" w:type="dxa"/>
            </w:tcMar>
            <w:vAlign w:val="center"/>
          </w:tcPr>
          <w:p w14:paraId="16C99298">
            <w:pPr>
              <w:pStyle w:val="69"/>
              <w:rPr>
                <w:color w:val="auto"/>
              </w:rPr>
            </w:pPr>
          </w:p>
        </w:tc>
        <w:tc>
          <w:tcPr>
            <w:tcW w:w="1214" w:type="pct"/>
            <w:vMerge w:val="restart"/>
            <w:shd w:val="clear" w:color="auto" w:fill="auto"/>
            <w:tcMar>
              <w:top w:w="28" w:type="dxa"/>
              <w:bottom w:w="28" w:type="dxa"/>
            </w:tcMar>
            <w:vAlign w:val="center"/>
          </w:tcPr>
          <w:p w14:paraId="5FAC466B">
            <w:pPr>
              <w:pStyle w:val="53"/>
              <w:ind w:firstLine="0" w:firstLineChars="0"/>
              <w:rPr>
                <w:rFonts w:hint="eastAsia" w:ascii="Times New Roman" w:hAnsi="Times New Roman" w:eastAsia="宋体" w:cs="Times New Roman"/>
                <w:color w:val="auto"/>
                <w:sz w:val="21"/>
                <w:szCs w:val="21"/>
                <w:u w:val="none"/>
                <w:lang w:val="en-US" w:eastAsia="zh-CN" w:bidi="ar-SA"/>
              </w:rPr>
            </w:pPr>
            <w:r>
              <w:rPr>
                <w:rFonts w:hint="eastAsia" w:cs="宋体"/>
                <w:color w:val="auto"/>
                <w:u w:val="none"/>
              </w:rPr>
              <w:t>含</w:t>
            </w:r>
            <w:r>
              <w:rPr>
                <w:rFonts w:hint="eastAsia"/>
                <w:color w:val="auto"/>
                <w:u w:val="none"/>
              </w:rPr>
              <w:t>高COD废水处理设施</w:t>
            </w:r>
          </w:p>
        </w:tc>
        <w:tc>
          <w:tcPr>
            <w:tcW w:w="1227" w:type="pct"/>
            <w:shd w:val="clear" w:color="auto" w:fill="auto"/>
            <w:tcMar>
              <w:top w:w="28" w:type="dxa"/>
              <w:bottom w:w="28" w:type="dxa"/>
            </w:tcMar>
            <w:vAlign w:val="center"/>
          </w:tcPr>
          <w:p w14:paraId="0903AB32">
            <w:pPr>
              <w:pStyle w:val="53"/>
              <w:ind w:firstLine="0" w:firstLineChars="0"/>
              <w:rPr>
                <w:rFonts w:hint="eastAsia" w:ascii="Times New Roman" w:hAnsi="Times New Roman" w:eastAsia="宋体" w:cs="Times New Roman"/>
                <w:color w:val="auto"/>
                <w:sz w:val="21"/>
                <w:szCs w:val="21"/>
                <w:u w:val="none"/>
                <w:lang w:val="en-US" w:eastAsia="zh-CN" w:bidi="ar-SA"/>
              </w:rPr>
            </w:pPr>
            <w:r>
              <w:rPr>
                <w:rFonts w:hint="eastAsia"/>
                <w:color w:val="auto"/>
                <w:u w:val="none"/>
              </w:rPr>
              <w:t>含铬镍污泥</w:t>
            </w:r>
          </w:p>
        </w:tc>
        <w:tc>
          <w:tcPr>
            <w:tcW w:w="846" w:type="pct"/>
            <w:shd w:val="clear" w:color="auto" w:fill="auto"/>
            <w:tcMar>
              <w:top w:w="28" w:type="dxa"/>
              <w:bottom w:w="28" w:type="dxa"/>
            </w:tcMar>
            <w:vAlign w:val="center"/>
          </w:tcPr>
          <w:p w14:paraId="3CC052AC">
            <w:pPr>
              <w:pStyle w:val="69"/>
              <w:rPr>
                <w:rFonts w:hint="eastAsia"/>
                <w:color w:val="auto"/>
              </w:rPr>
            </w:pPr>
            <w:r>
              <w:rPr>
                <w:rFonts w:hint="eastAsia"/>
                <w:color w:val="auto"/>
              </w:rPr>
              <w:t>危险废物</w:t>
            </w:r>
          </w:p>
        </w:tc>
        <w:tc>
          <w:tcPr>
            <w:tcW w:w="1070" w:type="pct"/>
            <w:vMerge w:val="continue"/>
            <w:shd w:val="clear" w:color="auto" w:fill="auto"/>
            <w:vAlign w:val="center"/>
          </w:tcPr>
          <w:p w14:paraId="76E3E395">
            <w:pPr>
              <w:pStyle w:val="69"/>
              <w:rPr>
                <w:color w:val="auto"/>
              </w:rPr>
            </w:pPr>
          </w:p>
        </w:tc>
      </w:tr>
      <w:tr w14:paraId="1211DB8E">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641" w:type="pct"/>
            <w:vMerge w:val="continue"/>
            <w:shd w:val="clear" w:color="auto" w:fill="auto"/>
            <w:tcMar>
              <w:top w:w="28" w:type="dxa"/>
              <w:bottom w:w="28" w:type="dxa"/>
            </w:tcMar>
            <w:vAlign w:val="center"/>
          </w:tcPr>
          <w:p w14:paraId="2BE1B688">
            <w:pPr>
              <w:pStyle w:val="69"/>
              <w:rPr>
                <w:color w:val="auto"/>
              </w:rPr>
            </w:pPr>
          </w:p>
        </w:tc>
        <w:tc>
          <w:tcPr>
            <w:tcW w:w="1214" w:type="pct"/>
            <w:vMerge w:val="continue"/>
            <w:shd w:val="clear" w:color="auto" w:fill="auto"/>
            <w:tcMar>
              <w:top w:w="28" w:type="dxa"/>
              <w:bottom w:w="28" w:type="dxa"/>
            </w:tcMar>
            <w:vAlign w:val="center"/>
          </w:tcPr>
          <w:p w14:paraId="5607EDEA">
            <w:pPr>
              <w:pStyle w:val="69"/>
              <w:rPr>
                <w:rFonts w:hint="eastAsia"/>
                <w:color w:val="auto"/>
              </w:rPr>
            </w:pPr>
          </w:p>
        </w:tc>
        <w:tc>
          <w:tcPr>
            <w:tcW w:w="1227" w:type="pct"/>
            <w:shd w:val="clear" w:color="auto" w:fill="auto"/>
            <w:tcMar>
              <w:top w:w="28" w:type="dxa"/>
              <w:bottom w:w="28" w:type="dxa"/>
            </w:tcMar>
            <w:vAlign w:val="center"/>
          </w:tcPr>
          <w:p w14:paraId="1CDADAC8">
            <w:pPr>
              <w:pStyle w:val="53"/>
              <w:ind w:firstLine="0" w:firstLineChars="0"/>
              <w:rPr>
                <w:rFonts w:hint="eastAsia" w:ascii="Times New Roman" w:hAnsi="Times New Roman" w:eastAsia="宋体" w:cs="Times New Roman"/>
                <w:color w:val="auto"/>
                <w:sz w:val="21"/>
                <w:szCs w:val="21"/>
                <w:u w:val="none"/>
                <w:lang w:val="en-US" w:eastAsia="zh-CN" w:bidi="ar-SA"/>
              </w:rPr>
            </w:pPr>
            <w:r>
              <w:rPr>
                <w:rFonts w:hint="eastAsia"/>
                <w:color w:val="auto"/>
                <w:u w:val="none"/>
              </w:rPr>
              <w:t>含铬镍</w:t>
            </w:r>
            <w:r>
              <w:rPr>
                <w:rFonts w:hint="eastAsia" w:ascii="宋体" w:hAnsi="宋体"/>
                <w:color w:val="auto"/>
                <w:u w:val="none"/>
              </w:rPr>
              <w:t>废活性炭</w:t>
            </w:r>
          </w:p>
        </w:tc>
        <w:tc>
          <w:tcPr>
            <w:tcW w:w="846" w:type="pct"/>
            <w:shd w:val="clear" w:color="auto" w:fill="auto"/>
            <w:tcMar>
              <w:top w:w="28" w:type="dxa"/>
              <w:bottom w:w="28" w:type="dxa"/>
            </w:tcMar>
            <w:vAlign w:val="center"/>
          </w:tcPr>
          <w:p w14:paraId="73F5DC29">
            <w:pPr>
              <w:pStyle w:val="69"/>
              <w:rPr>
                <w:rFonts w:hint="eastAsia"/>
                <w:color w:val="auto"/>
              </w:rPr>
            </w:pPr>
            <w:r>
              <w:rPr>
                <w:rFonts w:hint="eastAsia"/>
                <w:color w:val="auto"/>
              </w:rPr>
              <w:t>危险废物</w:t>
            </w:r>
          </w:p>
        </w:tc>
        <w:tc>
          <w:tcPr>
            <w:tcW w:w="1070" w:type="pct"/>
            <w:vMerge w:val="continue"/>
            <w:shd w:val="clear" w:color="auto" w:fill="auto"/>
            <w:vAlign w:val="center"/>
          </w:tcPr>
          <w:p w14:paraId="1D0A26A1">
            <w:pPr>
              <w:pStyle w:val="69"/>
              <w:rPr>
                <w:color w:val="auto"/>
              </w:rPr>
            </w:pPr>
          </w:p>
        </w:tc>
      </w:tr>
      <w:tr w14:paraId="393E5A96">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641" w:type="pct"/>
            <w:vMerge w:val="continue"/>
            <w:shd w:val="clear" w:color="auto" w:fill="auto"/>
            <w:tcMar>
              <w:top w:w="28" w:type="dxa"/>
              <w:bottom w:w="28" w:type="dxa"/>
            </w:tcMar>
            <w:vAlign w:val="center"/>
          </w:tcPr>
          <w:p w14:paraId="0D7AE111">
            <w:pPr>
              <w:pStyle w:val="69"/>
              <w:rPr>
                <w:color w:val="auto"/>
              </w:rPr>
            </w:pPr>
          </w:p>
        </w:tc>
        <w:tc>
          <w:tcPr>
            <w:tcW w:w="1214" w:type="pct"/>
            <w:vMerge w:val="continue"/>
            <w:shd w:val="clear" w:color="auto" w:fill="auto"/>
            <w:tcMar>
              <w:top w:w="28" w:type="dxa"/>
              <w:bottom w:w="28" w:type="dxa"/>
            </w:tcMar>
            <w:vAlign w:val="center"/>
          </w:tcPr>
          <w:p w14:paraId="4E7ECB9D">
            <w:pPr>
              <w:pStyle w:val="69"/>
              <w:rPr>
                <w:rFonts w:hint="eastAsia"/>
                <w:color w:val="auto"/>
              </w:rPr>
            </w:pPr>
          </w:p>
        </w:tc>
        <w:tc>
          <w:tcPr>
            <w:tcW w:w="1227" w:type="pct"/>
            <w:shd w:val="clear" w:color="auto" w:fill="auto"/>
            <w:tcMar>
              <w:top w:w="28" w:type="dxa"/>
              <w:bottom w:w="28" w:type="dxa"/>
            </w:tcMar>
            <w:vAlign w:val="center"/>
          </w:tcPr>
          <w:p w14:paraId="01C02F06">
            <w:pPr>
              <w:pStyle w:val="53"/>
              <w:ind w:firstLine="0" w:firstLineChars="0"/>
              <w:rPr>
                <w:rFonts w:hint="eastAsia" w:ascii="Times New Roman" w:hAnsi="Times New Roman" w:eastAsia="宋体" w:cs="Times New Roman"/>
                <w:color w:val="auto"/>
                <w:sz w:val="21"/>
                <w:szCs w:val="21"/>
                <w:u w:val="none"/>
                <w:lang w:val="en-US" w:eastAsia="zh-CN" w:bidi="ar-SA"/>
              </w:rPr>
            </w:pPr>
            <w:r>
              <w:rPr>
                <w:rFonts w:hint="eastAsia"/>
                <w:color w:val="auto"/>
                <w:u w:val="none"/>
              </w:rPr>
              <w:t>含铬镍废过滤膜</w:t>
            </w:r>
          </w:p>
        </w:tc>
        <w:tc>
          <w:tcPr>
            <w:tcW w:w="846" w:type="pct"/>
            <w:shd w:val="clear" w:color="auto" w:fill="auto"/>
            <w:tcMar>
              <w:top w:w="28" w:type="dxa"/>
              <w:bottom w:w="28" w:type="dxa"/>
            </w:tcMar>
            <w:vAlign w:val="center"/>
          </w:tcPr>
          <w:p w14:paraId="5B16A97F">
            <w:pPr>
              <w:pStyle w:val="69"/>
              <w:rPr>
                <w:rFonts w:hint="eastAsia"/>
                <w:color w:val="auto"/>
              </w:rPr>
            </w:pPr>
            <w:r>
              <w:rPr>
                <w:rFonts w:hint="eastAsia"/>
                <w:color w:val="auto"/>
              </w:rPr>
              <w:t>危险废物</w:t>
            </w:r>
          </w:p>
        </w:tc>
        <w:tc>
          <w:tcPr>
            <w:tcW w:w="1070" w:type="pct"/>
            <w:vMerge w:val="continue"/>
            <w:shd w:val="clear" w:color="auto" w:fill="auto"/>
            <w:vAlign w:val="center"/>
          </w:tcPr>
          <w:p w14:paraId="7BB8F7E2">
            <w:pPr>
              <w:pStyle w:val="69"/>
              <w:rPr>
                <w:color w:val="auto"/>
              </w:rPr>
            </w:pPr>
          </w:p>
        </w:tc>
      </w:tr>
    </w:tbl>
    <w:p w14:paraId="203887D2">
      <w:pPr>
        <w:ind w:firstLine="480"/>
        <w:jc w:val="both"/>
        <w:rPr>
          <w:rFonts w:cs="Times New Roman"/>
          <w:color w:val="auto"/>
        </w:rPr>
      </w:pPr>
      <w:r>
        <w:rPr>
          <w:rFonts w:cs="Times New Roman"/>
          <w:color w:val="auto"/>
        </w:rPr>
        <w:t>厂区内设置</w:t>
      </w:r>
      <w:r>
        <w:rPr>
          <w:rFonts w:hint="eastAsia" w:cs="Times New Roman"/>
          <w:color w:val="auto"/>
        </w:rPr>
        <w:t>一般固废暂存场1处（30m²）</w:t>
      </w:r>
      <w:r>
        <w:rPr>
          <w:rFonts w:hint="eastAsia" w:cs="Times New Roman"/>
          <w:color w:val="auto"/>
          <w:lang w:eastAsia="zh-CN"/>
        </w:rPr>
        <w:t>，</w:t>
      </w:r>
      <w:r>
        <w:rPr>
          <w:rFonts w:hint="eastAsia" w:cs="Times New Roman"/>
          <w:color w:val="auto"/>
        </w:rPr>
        <w:t>不再建设污泥间，污泥暂存于一般固废暂存场内</w:t>
      </w:r>
      <w:r>
        <w:rPr>
          <w:rFonts w:hint="eastAsia" w:cs="Times New Roman"/>
          <w:color w:val="auto"/>
          <w:lang w:eastAsia="zh-CN"/>
        </w:rPr>
        <w:t>，</w:t>
      </w:r>
      <w:r>
        <w:rPr>
          <w:rFonts w:hint="eastAsia"/>
          <w:color w:val="auto"/>
          <w:szCs w:val="24"/>
        </w:rPr>
        <w:t>一般固废暂存间满足《一般工业固体废物贮存和填埋污染控制标准》（GB18599-2020）中防渗漏、防雨淋、防扬尘等环境保护要求；</w:t>
      </w:r>
      <w:r>
        <w:rPr>
          <w:rFonts w:hint="eastAsia" w:cs="Times New Roman"/>
          <w:color w:val="auto"/>
        </w:rPr>
        <w:t>危险废物贮存库1座</w:t>
      </w:r>
      <w:r>
        <w:rPr>
          <w:rFonts w:hint="eastAsia" w:cs="Times New Roman"/>
          <w:color w:val="auto"/>
          <w:lang w:val="en-US" w:eastAsia="zh-CN"/>
        </w:rPr>
        <w:t>5</w:t>
      </w:r>
      <w:r>
        <w:rPr>
          <w:rFonts w:cs="Times New Roman"/>
          <w:color w:val="auto"/>
        </w:rPr>
        <w:t>0m</w:t>
      </w:r>
      <w:r>
        <w:rPr>
          <w:rFonts w:cs="Times New Roman"/>
          <w:color w:val="auto"/>
          <w:vertAlign w:val="superscript"/>
        </w:rPr>
        <w:t>2</w:t>
      </w:r>
      <w:r>
        <w:rPr>
          <w:rFonts w:hint="eastAsia" w:cs="Times New Roman"/>
          <w:color w:val="auto"/>
        </w:rPr>
        <w:t>，</w:t>
      </w:r>
      <w:r>
        <w:rPr>
          <w:rFonts w:cs="Times New Roman"/>
          <w:bCs/>
          <w:color w:val="auto"/>
        </w:rPr>
        <w:t>满足</w:t>
      </w:r>
      <w:r>
        <w:rPr>
          <w:rFonts w:cs="Times New Roman"/>
          <w:color w:val="auto"/>
        </w:rPr>
        <w:t>《</w:t>
      </w:r>
      <w:r>
        <w:rPr>
          <w:rFonts w:cs="Times New Roman"/>
          <w:bCs/>
          <w:color w:val="auto"/>
        </w:rPr>
        <w:t>危险废物贮存污染控制标准》</w:t>
      </w:r>
      <w:r>
        <w:rPr>
          <w:rFonts w:cs="Times New Roman"/>
          <w:color w:val="auto"/>
        </w:rPr>
        <w:t>（GB18597-2023）</w:t>
      </w:r>
      <w:r>
        <w:rPr>
          <w:rFonts w:hint="eastAsia" w:cs="Times New Roman"/>
          <w:color w:val="auto"/>
        </w:rPr>
        <w:t>中对危险废物的暂存</w:t>
      </w:r>
      <w:r>
        <w:rPr>
          <w:rFonts w:cs="Times New Roman"/>
          <w:color w:val="auto"/>
        </w:rPr>
        <w:t>要求。</w:t>
      </w:r>
      <w:r>
        <w:rPr>
          <w:rFonts w:hint="eastAsia" w:cs="Times New Roman"/>
          <w:color w:val="auto"/>
        </w:rPr>
        <w:t>危险废物贮存库</w:t>
      </w:r>
      <w:r>
        <w:rPr>
          <w:rFonts w:cs="Times New Roman"/>
          <w:color w:val="auto"/>
        </w:rPr>
        <w:t>的地面</w:t>
      </w:r>
      <w:r>
        <w:rPr>
          <w:rFonts w:hint="eastAsia" w:cs="Times New Roman"/>
          <w:color w:val="auto"/>
        </w:rPr>
        <w:t>已</w:t>
      </w:r>
      <w:r>
        <w:rPr>
          <w:rFonts w:cs="Times New Roman"/>
          <w:color w:val="auto"/>
        </w:rPr>
        <w:t>进行硬化，有防渗漏、防雨淋、防扬尘设施，可以满足环评文件及批复文件的要求。</w:t>
      </w:r>
      <w:bookmarkEnd w:id="32"/>
      <w:r>
        <w:rPr>
          <w:rFonts w:hint="eastAsia" w:cs="Times New Roman"/>
          <w:color w:val="auto"/>
        </w:rPr>
        <w:t xml:space="preserve"> </w:t>
      </w:r>
    </w:p>
    <w:p w14:paraId="3F382768">
      <w:pPr>
        <w:pStyle w:val="3"/>
        <w:spacing w:before="163" w:after="163"/>
        <w:ind w:firstLine="643"/>
        <w:rPr>
          <w:rFonts w:cs="Times New Roman"/>
          <w:color w:val="auto"/>
        </w:rPr>
      </w:pPr>
      <w:bookmarkStart w:id="33" w:name="_Toc172712295"/>
      <w:r>
        <w:rPr>
          <w:rFonts w:cs="Times New Roman"/>
          <w:color w:val="auto"/>
        </w:rPr>
        <w:t>4.2</w:t>
      </w:r>
      <w:r>
        <w:rPr>
          <w:rFonts w:hint="eastAsia" w:cs="Times New Roman"/>
          <w:color w:val="auto"/>
        </w:rPr>
        <w:t>其他环境保护措施</w:t>
      </w:r>
      <w:bookmarkEnd w:id="33"/>
    </w:p>
    <w:p w14:paraId="14D40A66">
      <w:pPr>
        <w:pStyle w:val="4"/>
        <w:ind w:firstLine="562"/>
        <w:rPr>
          <w:rFonts w:cs="Times New Roman"/>
          <w:color w:val="auto"/>
        </w:rPr>
      </w:pPr>
      <w:r>
        <w:rPr>
          <w:rFonts w:cs="Times New Roman"/>
          <w:color w:val="auto"/>
        </w:rPr>
        <w:t>4.2.1</w:t>
      </w:r>
      <w:r>
        <w:rPr>
          <w:rFonts w:hint="eastAsia" w:cs="Times New Roman"/>
          <w:color w:val="auto"/>
        </w:rPr>
        <w:t>环境风险防范设施</w:t>
      </w:r>
    </w:p>
    <w:p w14:paraId="11516FA8">
      <w:pPr>
        <w:ind w:firstLine="480"/>
        <w:jc w:val="both"/>
        <w:rPr>
          <w:rFonts w:cs="Times New Roman"/>
          <w:color w:val="auto"/>
        </w:rPr>
      </w:pPr>
      <w:r>
        <w:rPr>
          <w:rFonts w:hint="eastAsia" w:cs="Times New Roman"/>
          <w:color w:val="auto"/>
        </w:rPr>
        <w:t>本项目风险源主要是</w:t>
      </w:r>
      <w:r>
        <w:rPr>
          <w:rFonts w:hint="eastAsia"/>
          <w:color w:val="auto"/>
        </w:rPr>
        <w:t>生产工序和装置的生产区、化学品储存仓库</w:t>
      </w:r>
      <w:r>
        <w:rPr>
          <w:rFonts w:hint="eastAsia" w:cs="Times New Roman"/>
          <w:color w:val="auto"/>
        </w:rPr>
        <w:t>，危险物质主要为</w:t>
      </w:r>
      <w:r>
        <w:rPr>
          <w:rFonts w:hint="eastAsia"/>
          <w:color w:val="auto"/>
        </w:rPr>
        <w:t>硫酸、</w:t>
      </w:r>
      <w:r>
        <w:rPr>
          <w:rFonts w:hint="eastAsia"/>
          <w:color w:val="auto"/>
          <w:lang w:val="en-US" w:eastAsia="zh-CN"/>
        </w:rPr>
        <w:t>盐酸等，</w:t>
      </w:r>
      <w:r>
        <w:rPr>
          <w:rFonts w:hint="eastAsia" w:cs="Times New Roman"/>
          <w:color w:val="auto"/>
        </w:rPr>
        <w:t>均为密闭桶装，存放于化学品储存库，车间及化学品储存库地面均进行了硬化及防渗措施，同时设置有液体导流槽、液体收集桶等，化学品储存库设置托盘；生产车间、仓库设导流槽、液体收集桶；事故水池（100m</w:t>
      </w:r>
      <w:r>
        <w:rPr>
          <w:rFonts w:hint="eastAsia" w:cs="Times New Roman"/>
          <w:color w:val="auto"/>
          <w:vertAlign w:val="superscript"/>
        </w:rPr>
        <w:t>3</w:t>
      </w:r>
      <w:r>
        <w:rPr>
          <w:rFonts w:hint="eastAsia" w:cs="Times New Roman"/>
          <w:color w:val="auto"/>
        </w:rPr>
        <w:t>）</w:t>
      </w:r>
      <w:r>
        <w:rPr>
          <w:rFonts w:hint="eastAsia" w:cs="Times New Roman"/>
          <w:color w:val="auto"/>
          <w:lang w:eastAsia="zh-CN"/>
        </w:rPr>
        <w:t>、</w:t>
      </w:r>
      <w:r>
        <w:rPr>
          <w:rFonts w:hint="eastAsia" w:cs="Times New Roman"/>
          <w:color w:val="auto"/>
          <w:lang w:val="en-US" w:eastAsia="zh-CN"/>
        </w:rPr>
        <w:t>初期雨水池（0.15m</w:t>
      </w:r>
      <w:r>
        <w:rPr>
          <w:rFonts w:hint="eastAsia" w:cs="Times New Roman"/>
          <w:color w:val="auto"/>
          <w:vertAlign w:val="superscript"/>
          <w:lang w:val="en-US" w:eastAsia="zh-CN"/>
        </w:rPr>
        <w:t>3</w:t>
      </w:r>
      <w:r>
        <w:rPr>
          <w:rFonts w:hint="eastAsia" w:cs="Times New Roman"/>
          <w:color w:val="auto"/>
          <w:lang w:val="en-US" w:eastAsia="zh-CN"/>
        </w:rPr>
        <w:t>）</w:t>
      </w:r>
      <w:r>
        <w:rPr>
          <w:rFonts w:hint="eastAsia" w:cs="Times New Roman"/>
          <w:color w:val="auto"/>
        </w:rPr>
        <w:t>；应急器材、消防器材等。</w:t>
      </w:r>
      <w:r>
        <w:rPr>
          <w:color w:val="auto"/>
        </w:rPr>
        <w:t>罐区设置围堰、防火及降温系统，地面采取硬化、防渗。厂区</w:t>
      </w:r>
      <w:r>
        <w:rPr>
          <w:rFonts w:hint="eastAsia"/>
          <w:color w:val="auto"/>
        </w:rPr>
        <w:t>定期</w:t>
      </w:r>
      <w:r>
        <w:rPr>
          <w:color w:val="auto"/>
        </w:rPr>
        <w:t>进行安全教育培训、事故应急演练，并采取监控、报警等其他防范措施。</w:t>
      </w:r>
    </w:p>
    <w:p w14:paraId="3A9C5859">
      <w:pPr>
        <w:ind w:firstLine="562"/>
        <w:jc w:val="both"/>
        <w:rPr>
          <w:rFonts w:cs="Times New Roman"/>
          <w:b/>
          <w:bCs/>
          <w:color w:val="auto"/>
          <w:sz w:val="28"/>
          <w:szCs w:val="32"/>
        </w:rPr>
      </w:pPr>
      <w:r>
        <w:rPr>
          <w:rFonts w:cs="Times New Roman"/>
          <w:b/>
          <w:bCs/>
          <w:color w:val="auto"/>
          <w:sz w:val="28"/>
          <w:szCs w:val="32"/>
        </w:rPr>
        <w:t>4.2.2在线监测装置</w:t>
      </w:r>
    </w:p>
    <w:p w14:paraId="03FB842B">
      <w:pPr>
        <w:ind w:firstLine="480"/>
        <w:jc w:val="both"/>
        <w:rPr>
          <w:rFonts w:cs="Times New Roman"/>
          <w:color w:val="auto"/>
        </w:rPr>
      </w:pPr>
      <w:r>
        <w:rPr>
          <w:rFonts w:hint="eastAsia"/>
          <w:color w:val="auto"/>
        </w:rPr>
        <w:t>本项目</w:t>
      </w:r>
      <w:r>
        <w:rPr>
          <w:color w:val="auto"/>
        </w:rPr>
        <w:t>污水处理站已按照环保部门要求安装废水</w:t>
      </w:r>
      <w:r>
        <w:rPr>
          <w:rFonts w:hint="eastAsia"/>
          <w:color w:val="auto"/>
        </w:rPr>
        <w:t>流量</w:t>
      </w:r>
      <w:r>
        <w:rPr>
          <w:color w:val="auto"/>
        </w:rPr>
        <w:t>在线监测设备，且废水排放口规范化建设，并按照规范建设取样口，在线监测设备已与环保部门联网。</w:t>
      </w:r>
    </w:p>
    <w:p w14:paraId="0BC45BB7">
      <w:pPr>
        <w:pStyle w:val="3"/>
        <w:spacing w:before="163" w:after="163"/>
        <w:ind w:firstLine="643"/>
        <w:rPr>
          <w:rFonts w:cs="Times New Roman"/>
          <w:color w:val="auto"/>
        </w:rPr>
      </w:pPr>
      <w:bookmarkStart w:id="34" w:name="_Toc172712296"/>
      <w:r>
        <w:rPr>
          <w:rFonts w:cs="Times New Roman"/>
          <w:color w:val="auto"/>
        </w:rPr>
        <w:t>4.3环保设施投资及“三同时”落实情况</w:t>
      </w:r>
      <w:bookmarkEnd w:id="34"/>
    </w:p>
    <w:p w14:paraId="06FF2C7D">
      <w:pPr>
        <w:pStyle w:val="4"/>
        <w:ind w:firstLine="562"/>
        <w:rPr>
          <w:rFonts w:cs="Times New Roman"/>
          <w:color w:val="auto"/>
        </w:rPr>
      </w:pPr>
      <w:r>
        <w:rPr>
          <w:rFonts w:cs="Times New Roman"/>
          <w:color w:val="auto"/>
        </w:rPr>
        <w:t>4.2.1环保设施投资落实情况</w:t>
      </w:r>
    </w:p>
    <w:p w14:paraId="396B6565">
      <w:pPr>
        <w:ind w:firstLine="480"/>
        <w:jc w:val="both"/>
        <w:rPr>
          <w:rFonts w:cs="Times New Roman"/>
          <w:color w:val="auto"/>
        </w:rPr>
        <w:sectPr>
          <w:pgSz w:w="11906" w:h="16838"/>
          <w:pgMar w:top="1417" w:right="1417" w:bottom="1417" w:left="1417" w:header="851" w:footer="992" w:gutter="0"/>
          <w:cols w:space="425" w:num="1"/>
          <w:docGrid w:type="lines" w:linePitch="326" w:charSpace="0"/>
        </w:sectPr>
      </w:pPr>
      <w:r>
        <w:rPr>
          <w:rFonts w:hint="eastAsia" w:cs="Times New Roman"/>
          <w:color w:val="auto"/>
        </w:rPr>
        <w:t>项目</w:t>
      </w:r>
      <w:r>
        <w:rPr>
          <w:rFonts w:cs="Times New Roman"/>
          <w:color w:val="auto"/>
        </w:rPr>
        <w:t>实际总投资</w:t>
      </w:r>
      <w:r>
        <w:rPr>
          <w:rFonts w:hint="eastAsia" w:cs="Times New Roman"/>
          <w:color w:val="auto"/>
        </w:rPr>
        <w:t>100</w:t>
      </w:r>
      <w:r>
        <w:rPr>
          <w:rFonts w:cs="Times New Roman"/>
          <w:color w:val="auto"/>
        </w:rPr>
        <w:t>0万元。实际环保投资</w:t>
      </w:r>
      <w:r>
        <w:rPr>
          <w:rFonts w:hint="eastAsia" w:cs="Times New Roman"/>
          <w:color w:val="auto"/>
          <w:lang w:val="en-US" w:eastAsia="zh-CN"/>
        </w:rPr>
        <w:t>295</w:t>
      </w:r>
      <w:r>
        <w:rPr>
          <w:rFonts w:cs="Times New Roman"/>
          <w:color w:val="auto"/>
        </w:rPr>
        <w:t>万元，环保投资占实际总投资的</w:t>
      </w:r>
      <w:r>
        <w:rPr>
          <w:rFonts w:hint="eastAsia" w:cs="Times New Roman"/>
          <w:color w:val="auto"/>
          <w:lang w:val="en-US" w:eastAsia="zh-CN"/>
        </w:rPr>
        <w:t>29.5</w:t>
      </w:r>
      <w:r>
        <w:rPr>
          <w:rFonts w:cs="Times New Roman"/>
          <w:color w:val="auto"/>
        </w:rPr>
        <w:t>%。环保投资落实情况详见下表。</w:t>
      </w:r>
    </w:p>
    <w:p w14:paraId="18F137B2">
      <w:pPr>
        <w:ind w:firstLine="480"/>
        <w:rPr>
          <w:rFonts w:eastAsia="黑体" w:cs="Times New Roman"/>
          <w:color w:val="auto"/>
        </w:rPr>
      </w:pPr>
      <w:r>
        <w:rPr>
          <w:rFonts w:eastAsia="黑体" w:cs="Times New Roman"/>
          <w:color w:val="auto"/>
        </w:rPr>
        <w:t xml:space="preserve">表4-4            </w:t>
      </w:r>
      <w:r>
        <w:rPr>
          <w:rFonts w:hint="eastAsia" w:eastAsia="黑体" w:cs="Times New Roman"/>
          <w:color w:val="auto"/>
        </w:rPr>
        <w:t xml:space="preserve">     </w:t>
      </w:r>
      <w:r>
        <w:rPr>
          <w:rFonts w:eastAsia="黑体" w:cs="Times New Roman"/>
          <w:color w:val="auto"/>
        </w:rPr>
        <w:t xml:space="preserve">   </w:t>
      </w:r>
      <w:r>
        <w:rPr>
          <w:rFonts w:hint="eastAsia" w:eastAsia="黑体" w:cs="Times New Roman"/>
          <w:color w:val="auto"/>
          <w:lang w:val="en-US" w:eastAsia="zh-CN"/>
        </w:rPr>
        <w:t xml:space="preserve">                                                         本</w:t>
      </w:r>
      <w:r>
        <w:rPr>
          <w:rFonts w:eastAsia="黑体" w:cs="Times New Roman"/>
          <w:color w:val="auto"/>
        </w:rPr>
        <w:t xml:space="preserve">项目环保投资一览表        </w:t>
      </w:r>
      <w:r>
        <w:rPr>
          <w:rFonts w:hint="eastAsia" w:eastAsia="黑体" w:cs="Times New Roman"/>
          <w:color w:val="auto"/>
          <w:lang w:val="en-US" w:eastAsia="zh-CN"/>
        </w:rPr>
        <w:t xml:space="preserve">                                         </w:t>
      </w:r>
      <w:r>
        <w:rPr>
          <w:rFonts w:eastAsia="黑体" w:cs="Times New Roman"/>
          <w:color w:val="auto"/>
        </w:rPr>
        <w:t xml:space="preserve">     </w:t>
      </w:r>
      <w:r>
        <w:rPr>
          <w:rFonts w:hint="eastAsia" w:eastAsia="黑体" w:cs="Times New Roman"/>
          <w:color w:val="auto"/>
        </w:rPr>
        <w:t xml:space="preserve">         </w:t>
      </w:r>
      <w:r>
        <w:rPr>
          <w:rFonts w:eastAsia="黑体" w:cs="Times New Roman"/>
          <w:color w:val="auto"/>
        </w:rPr>
        <w:t xml:space="preserve">         单位：万元</w:t>
      </w:r>
    </w:p>
    <w:tbl>
      <w:tblPr>
        <w:tblStyle w:val="26"/>
        <w:tblW w:w="4996"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1192"/>
        <w:gridCol w:w="513"/>
        <w:gridCol w:w="2039"/>
        <w:gridCol w:w="3323"/>
        <w:gridCol w:w="1836"/>
        <w:gridCol w:w="3113"/>
        <w:gridCol w:w="1159"/>
      </w:tblGrid>
      <w:tr w14:paraId="3A0717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349" w:type="pct"/>
            <w:vAlign w:val="center"/>
          </w:tcPr>
          <w:p w14:paraId="39B507CF">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s="Times New Roman"/>
                <w:b/>
                <w:color w:val="auto"/>
                <w:kern w:val="2"/>
                <w:sz w:val="21"/>
                <w:szCs w:val="21"/>
                <w:lang w:val="en-US" w:eastAsia="zh-CN" w:bidi="ar-SA"/>
              </w:rPr>
            </w:pPr>
            <w:r>
              <w:rPr>
                <w:rFonts w:ascii="Times New Roman" w:hAnsi="Times New Roman" w:eastAsia="宋体" w:cs="Times New Roman"/>
                <w:b/>
                <w:color w:val="auto"/>
                <w:kern w:val="2"/>
                <w:sz w:val="21"/>
                <w:szCs w:val="21"/>
                <w:lang w:val="en-US" w:eastAsia="zh-CN" w:bidi="ar-SA"/>
              </w:rPr>
              <w:t>项目</w:t>
            </w:r>
          </w:p>
        </w:tc>
        <w:tc>
          <w:tcPr>
            <w:tcW w:w="1322" w:type="pct"/>
            <w:gridSpan w:val="3"/>
            <w:vAlign w:val="center"/>
          </w:tcPr>
          <w:p w14:paraId="58E92014">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s="Times New Roman"/>
                <w:b/>
                <w:color w:val="auto"/>
                <w:kern w:val="2"/>
                <w:sz w:val="21"/>
                <w:szCs w:val="21"/>
                <w:lang w:val="en-US" w:eastAsia="zh-CN" w:bidi="ar-SA"/>
              </w:rPr>
            </w:pPr>
            <w:r>
              <w:rPr>
                <w:rFonts w:ascii="Times New Roman" w:hAnsi="Times New Roman" w:eastAsia="宋体" w:cs="Times New Roman"/>
                <w:b/>
                <w:color w:val="auto"/>
                <w:kern w:val="2"/>
                <w:sz w:val="21"/>
                <w:szCs w:val="21"/>
                <w:lang w:val="en-US" w:eastAsia="zh-CN" w:bidi="ar-SA"/>
              </w:rPr>
              <w:t>产污环节</w:t>
            </w:r>
          </w:p>
        </w:tc>
        <w:tc>
          <w:tcPr>
            <w:tcW w:w="1173" w:type="pct"/>
            <w:vAlign w:val="center"/>
          </w:tcPr>
          <w:p w14:paraId="04833C61">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s="Times New Roman"/>
                <w:b/>
                <w:color w:val="auto"/>
                <w:kern w:val="2"/>
                <w:sz w:val="21"/>
                <w:szCs w:val="21"/>
                <w:lang w:val="en-US" w:eastAsia="zh-CN" w:bidi="ar-SA"/>
              </w:rPr>
            </w:pPr>
            <w:r>
              <w:rPr>
                <w:rFonts w:ascii="Times New Roman" w:hAnsi="Times New Roman" w:eastAsia="宋体" w:cs="Times New Roman"/>
                <w:b/>
                <w:color w:val="auto"/>
                <w:kern w:val="2"/>
                <w:sz w:val="21"/>
                <w:szCs w:val="21"/>
                <w:lang w:val="en-US" w:eastAsia="zh-CN" w:bidi="ar-SA"/>
              </w:rPr>
              <w:t>主要污染物</w:t>
            </w:r>
          </w:p>
        </w:tc>
        <w:tc>
          <w:tcPr>
            <w:tcW w:w="1746" w:type="pct"/>
            <w:gridSpan w:val="2"/>
            <w:vAlign w:val="center"/>
          </w:tcPr>
          <w:p w14:paraId="35820BC1">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s="Times New Roman"/>
                <w:b/>
                <w:color w:val="auto"/>
                <w:kern w:val="2"/>
                <w:sz w:val="21"/>
                <w:szCs w:val="21"/>
                <w:lang w:val="en-US" w:eastAsia="zh-CN" w:bidi="ar-SA"/>
              </w:rPr>
            </w:pPr>
            <w:r>
              <w:rPr>
                <w:rFonts w:ascii="Times New Roman" w:hAnsi="Times New Roman" w:eastAsia="宋体" w:cs="Times New Roman"/>
                <w:b/>
                <w:bCs/>
                <w:color w:val="auto"/>
                <w:kern w:val="2"/>
                <w:sz w:val="21"/>
                <w:szCs w:val="21"/>
                <w:lang w:val="en-US" w:eastAsia="zh-CN" w:bidi="ar-SA"/>
              </w:rPr>
              <w:t>本期实际措施</w:t>
            </w:r>
          </w:p>
        </w:tc>
        <w:tc>
          <w:tcPr>
            <w:tcW w:w="409" w:type="pct"/>
            <w:vAlign w:val="center"/>
          </w:tcPr>
          <w:p w14:paraId="29114987">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ascii="Times New Roman" w:hAnsi="Times New Roman" w:eastAsia="宋体" w:cs="Times New Roman"/>
                <w:b/>
                <w:bCs/>
                <w:color w:val="auto"/>
                <w:kern w:val="2"/>
                <w:sz w:val="21"/>
                <w:szCs w:val="21"/>
                <w:lang w:val="en-US" w:eastAsia="zh-CN" w:bidi="ar-SA"/>
              </w:rPr>
            </w:pPr>
            <w:r>
              <w:rPr>
                <w:rFonts w:hint="eastAsia" w:ascii="Times New Roman" w:hAnsi="Times New Roman" w:eastAsia="宋体" w:cs="Times New Roman"/>
                <w:b/>
                <w:bCs/>
                <w:color w:val="auto"/>
                <w:kern w:val="2"/>
                <w:sz w:val="21"/>
                <w:szCs w:val="21"/>
                <w:lang w:val="en-US" w:eastAsia="zh-CN" w:bidi="ar-SA"/>
              </w:rPr>
              <w:t>投资额</w:t>
            </w:r>
          </w:p>
        </w:tc>
      </w:tr>
      <w:tr w14:paraId="49546E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9" w:type="pct"/>
            <w:vMerge w:val="restart"/>
            <w:vAlign w:val="center"/>
          </w:tcPr>
          <w:p w14:paraId="193B2286">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废气</w:t>
            </w:r>
          </w:p>
        </w:tc>
        <w:tc>
          <w:tcPr>
            <w:tcW w:w="421" w:type="pct"/>
            <w:vMerge w:val="restart"/>
            <w:vAlign w:val="center"/>
          </w:tcPr>
          <w:p w14:paraId="68EAF989">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挂镀锌</w:t>
            </w:r>
          </w:p>
        </w:tc>
        <w:tc>
          <w:tcPr>
            <w:tcW w:w="900" w:type="pct"/>
            <w:gridSpan w:val="2"/>
            <w:vAlign w:val="center"/>
          </w:tcPr>
          <w:p w14:paraId="0CF16100">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酸洗、活化</w:t>
            </w:r>
          </w:p>
        </w:tc>
        <w:tc>
          <w:tcPr>
            <w:tcW w:w="1173" w:type="pct"/>
            <w:vAlign w:val="center"/>
          </w:tcPr>
          <w:p w14:paraId="2984005F">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bCs/>
                <w:kern w:val="2"/>
                <w:sz w:val="21"/>
                <w:szCs w:val="21"/>
                <w:lang w:val="en-US" w:eastAsia="zh-CN" w:bidi="ar-SA"/>
              </w:rPr>
            </w:pPr>
            <w:r>
              <w:rPr>
                <w:rFonts w:ascii="Times New Roman" w:hAnsi="Times New Roman" w:eastAsia="宋体" w:cs="Times New Roman"/>
                <w:kern w:val="2"/>
                <w:sz w:val="21"/>
                <w:szCs w:val="21"/>
                <w:lang w:val="en-US" w:eastAsia="zh-CN" w:bidi="ar-SA"/>
              </w:rPr>
              <w:t>氯化氢</w:t>
            </w:r>
          </w:p>
        </w:tc>
        <w:tc>
          <w:tcPr>
            <w:tcW w:w="1746" w:type="pct"/>
            <w:gridSpan w:val="2"/>
            <w:vMerge w:val="restart"/>
            <w:vAlign w:val="center"/>
          </w:tcPr>
          <w:p w14:paraId="1A340997">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hint="eastAsia"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两级酸雾吸收塔+15m排气筒DA00</w:t>
            </w:r>
            <w:r>
              <w:rPr>
                <w:rFonts w:hint="eastAsia" w:ascii="Times New Roman" w:hAnsi="Times New Roman" w:eastAsia="宋体" w:cs="Times New Roman"/>
                <w:kern w:val="2"/>
                <w:sz w:val="21"/>
                <w:szCs w:val="21"/>
                <w:lang w:val="en-US" w:eastAsia="zh-CN" w:bidi="ar-SA"/>
              </w:rPr>
              <w:t>6（新建）</w:t>
            </w:r>
          </w:p>
        </w:tc>
        <w:tc>
          <w:tcPr>
            <w:tcW w:w="409" w:type="pct"/>
            <w:vMerge w:val="restart"/>
            <w:vAlign w:val="center"/>
          </w:tcPr>
          <w:p w14:paraId="66F26B3C">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20</w:t>
            </w:r>
          </w:p>
        </w:tc>
      </w:tr>
      <w:tr w14:paraId="177822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9" w:type="pct"/>
            <w:vMerge w:val="continue"/>
            <w:vAlign w:val="center"/>
          </w:tcPr>
          <w:p w14:paraId="7D55D3B8">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21" w:type="pct"/>
            <w:vMerge w:val="continue"/>
            <w:vAlign w:val="center"/>
          </w:tcPr>
          <w:p w14:paraId="6C420D4D">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900" w:type="pct"/>
            <w:gridSpan w:val="2"/>
            <w:vAlign w:val="center"/>
          </w:tcPr>
          <w:p w14:paraId="2B6B8AA5">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出光</w:t>
            </w:r>
          </w:p>
        </w:tc>
        <w:tc>
          <w:tcPr>
            <w:tcW w:w="1173" w:type="pct"/>
            <w:vAlign w:val="center"/>
          </w:tcPr>
          <w:p w14:paraId="3D975415">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硝酸雾（以NOx计）</w:t>
            </w:r>
          </w:p>
        </w:tc>
        <w:tc>
          <w:tcPr>
            <w:tcW w:w="1746" w:type="pct"/>
            <w:gridSpan w:val="2"/>
            <w:vMerge w:val="continue"/>
            <w:vAlign w:val="center"/>
          </w:tcPr>
          <w:p w14:paraId="06F9DEFA">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09" w:type="pct"/>
            <w:vMerge w:val="continue"/>
            <w:vAlign w:val="center"/>
          </w:tcPr>
          <w:p w14:paraId="45A4F7FA">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r>
      <w:tr w14:paraId="284E11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9" w:type="pct"/>
            <w:vMerge w:val="continue"/>
            <w:vAlign w:val="center"/>
          </w:tcPr>
          <w:p w14:paraId="122CB886">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21" w:type="pct"/>
            <w:vMerge w:val="continue"/>
            <w:vAlign w:val="center"/>
          </w:tcPr>
          <w:p w14:paraId="610F1F2A">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900" w:type="pct"/>
            <w:gridSpan w:val="2"/>
            <w:vAlign w:val="center"/>
          </w:tcPr>
          <w:p w14:paraId="34DEDF0D">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钝化</w:t>
            </w:r>
          </w:p>
        </w:tc>
        <w:tc>
          <w:tcPr>
            <w:tcW w:w="1173" w:type="pct"/>
            <w:vAlign w:val="center"/>
          </w:tcPr>
          <w:p w14:paraId="5D3C1596">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铬酸雾</w:t>
            </w:r>
          </w:p>
        </w:tc>
        <w:tc>
          <w:tcPr>
            <w:tcW w:w="1746" w:type="pct"/>
            <w:gridSpan w:val="2"/>
            <w:vMerge w:val="continue"/>
            <w:vAlign w:val="center"/>
          </w:tcPr>
          <w:p w14:paraId="530E59BB">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09" w:type="pct"/>
            <w:vMerge w:val="continue"/>
            <w:vAlign w:val="center"/>
          </w:tcPr>
          <w:p w14:paraId="1ABD21DD">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r>
      <w:tr w14:paraId="218A18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9" w:type="pct"/>
            <w:vMerge w:val="continue"/>
            <w:vAlign w:val="center"/>
          </w:tcPr>
          <w:p w14:paraId="43C54B63">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21" w:type="pct"/>
            <w:vMerge w:val="continue"/>
            <w:vAlign w:val="center"/>
          </w:tcPr>
          <w:p w14:paraId="55F7376A">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900" w:type="pct"/>
            <w:gridSpan w:val="2"/>
            <w:vAlign w:val="center"/>
          </w:tcPr>
          <w:p w14:paraId="77EBE698">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槽液调配</w:t>
            </w:r>
          </w:p>
        </w:tc>
        <w:tc>
          <w:tcPr>
            <w:tcW w:w="1173" w:type="pct"/>
            <w:vAlign w:val="center"/>
          </w:tcPr>
          <w:p w14:paraId="34AA8489">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氯化氢、硝酸雾（以NOx计）</w:t>
            </w:r>
          </w:p>
        </w:tc>
        <w:tc>
          <w:tcPr>
            <w:tcW w:w="1746" w:type="pct"/>
            <w:gridSpan w:val="2"/>
            <w:vMerge w:val="continue"/>
            <w:vAlign w:val="center"/>
          </w:tcPr>
          <w:p w14:paraId="0CDC3B25">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09" w:type="pct"/>
            <w:vMerge w:val="continue"/>
            <w:vAlign w:val="center"/>
          </w:tcPr>
          <w:p w14:paraId="50190412">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r>
      <w:tr w14:paraId="6BDDD4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9" w:type="pct"/>
            <w:vMerge w:val="continue"/>
            <w:vAlign w:val="center"/>
          </w:tcPr>
          <w:p w14:paraId="3F5DB2C3">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21" w:type="pct"/>
            <w:vAlign w:val="center"/>
          </w:tcPr>
          <w:p w14:paraId="1D66C9A1">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退锌线</w:t>
            </w:r>
          </w:p>
        </w:tc>
        <w:tc>
          <w:tcPr>
            <w:tcW w:w="900" w:type="pct"/>
            <w:gridSpan w:val="2"/>
            <w:vAlign w:val="center"/>
          </w:tcPr>
          <w:p w14:paraId="3115D220">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退镀</w:t>
            </w:r>
          </w:p>
        </w:tc>
        <w:tc>
          <w:tcPr>
            <w:tcW w:w="1173" w:type="pct"/>
            <w:vAlign w:val="center"/>
          </w:tcPr>
          <w:p w14:paraId="18D5E9E8">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氯化氢</w:t>
            </w:r>
          </w:p>
        </w:tc>
        <w:tc>
          <w:tcPr>
            <w:tcW w:w="1746" w:type="pct"/>
            <w:gridSpan w:val="2"/>
            <w:vAlign w:val="center"/>
          </w:tcPr>
          <w:p w14:paraId="575F232A">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rPr>
              <w:t>两级酸雾吸收塔+15m排气筒DA00</w:t>
            </w:r>
            <w:r>
              <w:rPr>
                <w:rFonts w:hint="eastAsia" w:cs="Times New Roman"/>
                <w:kern w:val="2"/>
                <w:sz w:val="21"/>
                <w:szCs w:val="21"/>
                <w:lang w:val="en-US" w:eastAsia="zh-CN"/>
              </w:rPr>
              <w:t>7</w:t>
            </w:r>
            <w:r>
              <w:rPr>
                <w:rFonts w:ascii="Times New Roman" w:hAnsi="Times New Roman" w:eastAsia="宋体" w:cs="Times New Roman"/>
                <w:kern w:val="2"/>
                <w:sz w:val="21"/>
                <w:szCs w:val="21"/>
              </w:rPr>
              <w:t>（新建）</w:t>
            </w:r>
          </w:p>
        </w:tc>
        <w:tc>
          <w:tcPr>
            <w:tcW w:w="409" w:type="pct"/>
            <w:vAlign w:val="center"/>
          </w:tcPr>
          <w:p w14:paraId="2099695F">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20</w:t>
            </w:r>
          </w:p>
        </w:tc>
      </w:tr>
      <w:tr w14:paraId="41AF18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9" w:type="pct"/>
            <w:vMerge w:val="continue"/>
            <w:vAlign w:val="center"/>
          </w:tcPr>
          <w:p w14:paraId="112889CC">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21" w:type="pct"/>
            <w:vMerge w:val="restart"/>
            <w:vAlign w:val="center"/>
          </w:tcPr>
          <w:p w14:paraId="533901F2">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1#钢带</w:t>
            </w:r>
          </w:p>
        </w:tc>
        <w:tc>
          <w:tcPr>
            <w:tcW w:w="900" w:type="pct"/>
            <w:gridSpan w:val="2"/>
            <w:vAlign w:val="center"/>
          </w:tcPr>
          <w:p w14:paraId="6CFB8CCE">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活化</w:t>
            </w:r>
          </w:p>
        </w:tc>
        <w:tc>
          <w:tcPr>
            <w:tcW w:w="1173" w:type="pct"/>
            <w:vAlign w:val="center"/>
          </w:tcPr>
          <w:p w14:paraId="6721AFD0">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bCs/>
                <w:kern w:val="2"/>
                <w:sz w:val="21"/>
                <w:szCs w:val="21"/>
                <w:lang w:val="en-US" w:eastAsia="zh-CN" w:bidi="ar-SA"/>
              </w:rPr>
            </w:pPr>
            <w:r>
              <w:rPr>
                <w:rFonts w:ascii="Times New Roman" w:hAnsi="Times New Roman" w:eastAsia="宋体" w:cs="Times New Roman"/>
                <w:kern w:val="2"/>
                <w:sz w:val="21"/>
                <w:szCs w:val="21"/>
                <w:lang w:val="en-US" w:eastAsia="zh-CN" w:bidi="ar-SA"/>
              </w:rPr>
              <w:t>硫酸雾</w:t>
            </w:r>
          </w:p>
        </w:tc>
        <w:tc>
          <w:tcPr>
            <w:tcW w:w="1746" w:type="pct"/>
            <w:gridSpan w:val="2"/>
            <w:vMerge w:val="restart"/>
            <w:shd w:val="clear" w:color="auto" w:fill="auto"/>
            <w:vAlign w:val="center"/>
          </w:tcPr>
          <w:p w14:paraId="744718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rPr>
              <w:t>两级酸雾吸收塔+15m排气筒DA004（新建）</w:t>
            </w:r>
          </w:p>
        </w:tc>
        <w:tc>
          <w:tcPr>
            <w:tcW w:w="409" w:type="pct"/>
            <w:vMerge w:val="restart"/>
            <w:shd w:val="clear" w:color="auto" w:fill="auto"/>
            <w:vAlign w:val="center"/>
          </w:tcPr>
          <w:p w14:paraId="711A2915">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20</w:t>
            </w:r>
          </w:p>
        </w:tc>
      </w:tr>
      <w:tr w14:paraId="6AAF9A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9" w:type="pct"/>
            <w:vMerge w:val="continue"/>
            <w:vAlign w:val="center"/>
          </w:tcPr>
          <w:p w14:paraId="1ADFEB74">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21" w:type="pct"/>
            <w:vMerge w:val="continue"/>
            <w:vAlign w:val="center"/>
          </w:tcPr>
          <w:p w14:paraId="71C68464">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900" w:type="pct"/>
            <w:gridSpan w:val="2"/>
            <w:vAlign w:val="center"/>
          </w:tcPr>
          <w:p w14:paraId="7B1FE7EC">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槽液调配</w:t>
            </w:r>
          </w:p>
        </w:tc>
        <w:tc>
          <w:tcPr>
            <w:tcW w:w="1173" w:type="pct"/>
            <w:vAlign w:val="center"/>
          </w:tcPr>
          <w:p w14:paraId="69D9BF84">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硫酸雾</w:t>
            </w:r>
          </w:p>
        </w:tc>
        <w:tc>
          <w:tcPr>
            <w:tcW w:w="1746" w:type="pct"/>
            <w:gridSpan w:val="2"/>
            <w:vMerge w:val="continue"/>
            <w:vAlign w:val="center"/>
          </w:tcPr>
          <w:p w14:paraId="5E10CA8D">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09" w:type="pct"/>
            <w:vMerge w:val="continue"/>
            <w:vAlign w:val="center"/>
          </w:tcPr>
          <w:p w14:paraId="74B80F96">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r>
      <w:tr w14:paraId="4629E3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9" w:type="pct"/>
            <w:vMerge w:val="continue"/>
            <w:vAlign w:val="center"/>
          </w:tcPr>
          <w:p w14:paraId="13F04717">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21" w:type="pct"/>
            <w:vMerge w:val="restart"/>
            <w:vAlign w:val="center"/>
          </w:tcPr>
          <w:p w14:paraId="63C4D29B">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2#钢带</w:t>
            </w:r>
          </w:p>
        </w:tc>
        <w:tc>
          <w:tcPr>
            <w:tcW w:w="900" w:type="pct"/>
            <w:gridSpan w:val="2"/>
            <w:vAlign w:val="center"/>
          </w:tcPr>
          <w:p w14:paraId="707072EB">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活化</w:t>
            </w:r>
          </w:p>
        </w:tc>
        <w:tc>
          <w:tcPr>
            <w:tcW w:w="1173" w:type="pct"/>
            <w:vAlign w:val="center"/>
          </w:tcPr>
          <w:p w14:paraId="29EAA88D">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bCs/>
                <w:kern w:val="2"/>
                <w:sz w:val="21"/>
                <w:szCs w:val="21"/>
                <w:lang w:val="en-US" w:eastAsia="zh-CN" w:bidi="ar-SA"/>
              </w:rPr>
            </w:pPr>
            <w:r>
              <w:rPr>
                <w:rFonts w:ascii="Times New Roman" w:hAnsi="Times New Roman" w:eastAsia="宋体" w:cs="Times New Roman"/>
                <w:kern w:val="2"/>
                <w:sz w:val="21"/>
                <w:szCs w:val="21"/>
                <w:lang w:val="en-US" w:eastAsia="zh-CN" w:bidi="ar-SA"/>
              </w:rPr>
              <w:t>硫酸雾</w:t>
            </w:r>
          </w:p>
        </w:tc>
        <w:tc>
          <w:tcPr>
            <w:tcW w:w="1746" w:type="pct"/>
            <w:gridSpan w:val="2"/>
            <w:vMerge w:val="restart"/>
            <w:vAlign w:val="center"/>
          </w:tcPr>
          <w:p w14:paraId="3CE36D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kern w:val="2"/>
                <w:sz w:val="21"/>
                <w:szCs w:val="21"/>
              </w:rPr>
            </w:pPr>
            <w:r>
              <w:rPr>
                <w:rFonts w:ascii="Times New Roman" w:hAnsi="Times New Roman" w:eastAsia="宋体" w:cs="Times New Roman"/>
                <w:kern w:val="2"/>
                <w:sz w:val="21"/>
                <w:szCs w:val="21"/>
              </w:rPr>
              <w:t>两级酸雾吸收塔+15m排气筒DA003（依托现有钢帽镀镍生产线废气处理系统）</w:t>
            </w:r>
          </w:p>
        </w:tc>
        <w:tc>
          <w:tcPr>
            <w:tcW w:w="409" w:type="pct"/>
            <w:vMerge w:val="restart"/>
            <w:vAlign w:val="center"/>
          </w:tcPr>
          <w:p w14:paraId="2E996012">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5</w:t>
            </w:r>
          </w:p>
        </w:tc>
      </w:tr>
      <w:tr w14:paraId="013111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9" w:type="pct"/>
            <w:vMerge w:val="continue"/>
            <w:vAlign w:val="center"/>
          </w:tcPr>
          <w:p w14:paraId="1E834E4E">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21" w:type="pct"/>
            <w:vMerge w:val="continue"/>
            <w:vAlign w:val="center"/>
          </w:tcPr>
          <w:p w14:paraId="1F207B15">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900" w:type="pct"/>
            <w:gridSpan w:val="2"/>
            <w:vAlign w:val="center"/>
          </w:tcPr>
          <w:p w14:paraId="3215BF74">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槽液调配</w:t>
            </w:r>
          </w:p>
        </w:tc>
        <w:tc>
          <w:tcPr>
            <w:tcW w:w="1173" w:type="pct"/>
            <w:vAlign w:val="center"/>
          </w:tcPr>
          <w:p w14:paraId="73CEBF96">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硫酸雾</w:t>
            </w:r>
          </w:p>
        </w:tc>
        <w:tc>
          <w:tcPr>
            <w:tcW w:w="1746" w:type="pct"/>
            <w:gridSpan w:val="2"/>
            <w:vMerge w:val="continue"/>
            <w:vAlign w:val="center"/>
          </w:tcPr>
          <w:p w14:paraId="7E8EB38E">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09" w:type="pct"/>
            <w:vMerge w:val="continue"/>
            <w:vAlign w:val="center"/>
          </w:tcPr>
          <w:p w14:paraId="688100B3">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r>
      <w:tr w14:paraId="16C397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9" w:type="pct"/>
            <w:vMerge w:val="continue"/>
            <w:vAlign w:val="center"/>
          </w:tcPr>
          <w:p w14:paraId="2F64E241">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21" w:type="pct"/>
            <w:vMerge w:val="restart"/>
            <w:shd w:val="clear" w:color="auto" w:fill="auto"/>
            <w:vAlign w:val="center"/>
          </w:tcPr>
          <w:p w14:paraId="1F4BA592">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3</w:t>
            </w:r>
            <w:r>
              <w:rPr>
                <w:rFonts w:ascii="Times New Roman" w:hAnsi="Times New Roman" w:eastAsia="宋体" w:cs="Times New Roman"/>
                <w:kern w:val="2"/>
                <w:sz w:val="21"/>
                <w:szCs w:val="21"/>
                <w:lang w:val="en-US" w:eastAsia="zh-CN" w:bidi="ar-SA"/>
              </w:rPr>
              <w:t>#钢带</w:t>
            </w:r>
          </w:p>
        </w:tc>
        <w:tc>
          <w:tcPr>
            <w:tcW w:w="900" w:type="pct"/>
            <w:gridSpan w:val="2"/>
            <w:shd w:val="clear" w:color="auto" w:fill="auto"/>
            <w:vAlign w:val="center"/>
          </w:tcPr>
          <w:p w14:paraId="629B40CF">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活化</w:t>
            </w:r>
          </w:p>
        </w:tc>
        <w:tc>
          <w:tcPr>
            <w:tcW w:w="1173" w:type="pct"/>
            <w:shd w:val="clear" w:color="auto" w:fill="auto"/>
            <w:vAlign w:val="center"/>
          </w:tcPr>
          <w:p w14:paraId="56C7ACA7">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bCs/>
                <w:kern w:val="2"/>
                <w:sz w:val="21"/>
                <w:szCs w:val="21"/>
                <w:lang w:val="en-US" w:eastAsia="zh-CN" w:bidi="ar-SA"/>
              </w:rPr>
            </w:pPr>
            <w:r>
              <w:rPr>
                <w:rFonts w:ascii="Times New Roman" w:hAnsi="Times New Roman" w:eastAsia="宋体" w:cs="Times New Roman"/>
                <w:kern w:val="2"/>
                <w:sz w:val="21"/>
                <w:szCs w:val="21"/>
                <w:lang w:val="en-US" w:eastAsia="zh-CN" w:bidi="ar-SA"/>
              </w:rPr>
              <w:t>硫酸雾</w:t>
            </w:r>
          </w:p>
        </w:tc>
        <w:tc>
          <w:tcPr>
            <w:tcW w:w="1746" w:type="pct"/>
            <w:gridSpan w:val="2"/>
            <w:vMerge w:val="restart"/>
            <w:shd w:val="clear" w:color="auto" w:fill="auto"/>
            <w:vAlign w:val="center"/>
          </w:tcPr>
          <w:p w14:paraId="79ED720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rPr>
              <w:t>两级酸雾吸收塔+15m排气筒DA00</w:t>
            </w:r>
            <w:r>
              <w:rPr>
                <w:rFonts w:hint="eastAsia" w:ascii="Times New Roman" w:hAnsi="Times New Roman" w:eastAsia="宋体" w:cs="Times New Roman"/>
                <w:kern w:val="2"/>
                <w:sz w:val="21"/>
                <w:szCs w:val="21"/>
                <w:lang w:val="en-US" w:eastAsia="zh-CN"/>
              </w:rPr>
              <w:t>5</w:t>
            </w:r>
            <w:r>
              <w:rPr>
                <w:rFonts w:ascii="Times New Roman" w:hAnsi="Times New Roman" w:eastAsia="宋体" w:cs="Times New Roman"/>
                <w:kern w:val="2"/>
                <w:sz w:val="21"/>
                <w:szCs w:val="21"/>
              </w:rPr>
              <w:t>（新建）</w:t>
            </w:r>
          </w:p>
        </w:tc>
        <w:tc>
          <w:tcPr>
            <w:tcW w:w="409" w:type="pct"/>
            <w:vMerge w:val="restart"/>
            <w:shd w:val="clear" w:color="auto" w:fill="auto"/>
            <w:vAlign w:val="center"/>
          </w:tcPr>
          <w:p w14:paraId="0A331FDE">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20</w:t>
            </w:r>
          </w:p>
        </w:tc>
      </w:tr>
      <w:tr w14:paraId="6E6EBF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9" w:type="pct"/>
            <w:vMerge w:val="continue"/>
            <w:vAlign w:val="center"/>
          </w:tcPr>
          <w:p w14:paraId="5F42B7F3">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21" w:type="pct"/>
            <w:vMerge w:val="continue"/>
            <w:vAlign w:val="center"/>
          </w:tcPr>
          <w:p w14:paraId="49CB903E">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900" w:type="pct"/>
            <w:gridSpan w:val="2"/>
            <w:shd w:val="clear" w:color="auto" w:fill="auto"/>
            <w:vAlign w:val="center"/>
          </w:tcPr>
          <w:p w14:paraId="2D359D4C">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槽液调配</w:t>
            </w:r>
          </w:p>
        </w:tc>
        <w:tc>
          <w:tcPr>
            <w:tcW w:w="1173" w:type="pct"/>
            <w:shd w:val="clear" w:color="auto" w:fill="auto"/>
            <w:vAlign w:val="center"/>
          </w:tcPr>
          <w:p w14:paraId="17B8C195">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硫酸雾</w:t>
            </w:r>
          </w:p>
        </w:tc>
        <w:tc>
          <w:tcPr>
            <w:tcW w:w="1746" w:type="pct"/>
            <w:gridSpan w:val="2"/>
            <w:vMerge w:val="continue"/>
            <w:vAlign w:val="center"/>
          </w:tcPr>
          <w:p w14:paraId="69FBB629">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09" w:type="pct"/>
            <w:vMerge w:val="continue"/>
            <w:vAlign w:val="center"/>
          </w:tcPr>
          <w:p w14:paraId="25665E79">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r>
      <w:tr w14:paraId="7B0EA5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9" w:type="pct"/>
            <w:vMerge w:val="continue"/>
            <w:vAlign w:val="center"/>
          </w:tcPr>
          <w:p w14:paraId="3F5241EE">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322" w:type="pct"/>
            <w:gridSpan w:val="3"/>
            <w:vAlign w:val="center"/>
          </w:tcPr>
          <w:p w14:paraId="2DFE5DD2">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污水处理及污泥间</w:t>
            </w:r>
          </w:p>
        </w:tc>
        <w:tc>
          <w:tcPr>
            <w:tcW w:w="1173" w:type="pct"/>
            <w:vAlign w:val="center"/>
          </w:tcPr>
          <w:p w14:paraId="0949C70D">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bCs/>
                <w:kern w:val="2"/>
                <w:sz w:val="21"/>
                <w:szCs w:val="21"/>
                <w:lang w:val="en-US" w:eastAsia="zh-CN" w:bidi="ar-SA"/>
              </w:rPr>
            </w:pPr>
            <w:r>
              <w:rPr>
                <w:rFonts w:ascii="Times New Roman" w:hAnsi="Times New Roman" w:eastAsia="宋体" w:cs="Times New Roman"/>
                <w:bCs/>
                <w:kern w:val="2"/>
                <w:sz w:val="21"/>
                <w:szCs w:val="21"/>
                <w:lang w:val="en-US" w:eastAsia="zh-CN" w:bidi="ar-SA"/>
              </w:rPr>
              <w:t>臭气浓度、H</w:t>
            </w:r>
            <w:r>
              <w:rPr>
                <w:rFonts w:ascii="Times New Roman" w:hAnsi="Times New Roman" w:eastAsia="宋体" w:cs="Times New Roman"/>
                <w:bCs/>
                <w:kern w:val="2"/>
                <w:sz w:val="21"/>
                <w:szCs w:val="21"/>
                <w:vertAlign w:val="subscript"/>
                <w:lang w:val="en-US" w:eastAsia="zh-CN" w:bidi="ar-SA"/>
              </w:rPr>
              <w:t>2</w:t>
            </w:r>
            <w:r>
              <w:rPr>
                <w:rFonts w:ascii="Times New Roman" w:hAnsi="Times New Roman" w:eastAsia="宋体" w:cs="Times New Roman"/>
                <w:bCs/>
                <w:kern w:val="2"/>
                <w:sz w:val="21"/>
                <w:szCs w:val="21"/>
                <w:lang w:val="en-US" w:eastAsia="zh-CN" w:bidi="ar-SA"/>
              </w:rPr>
              <w:t>S、NH</w:t>
            </w:r>
            <w:r>
              <w:rPr>
                <w:rFonts w:ascii="Times New Roman" w:hAnsi="Times New Roman" w:eastAsia="宋体" w:cs="Times New Roman"/>
                <w:bCs/>
                <w:kern w:val="2"/>
                <w:sz w:val="21"/>
                <w:szCs w:val="21"/>
                <w:vertAlign w:val="subscript"/>
                <w:lang w:val="en-US" w:eastAsia="zh-CN" w:bidi="ar-SA"/>
              </w:rPr>
              <w:t>3</w:t>
            </w:r>
          </w:p>
        </w:tc>
        <w:tc>
          <w:tcPr>
            <w:tcW w:w="1746" w:type="pct"/>
            <w:gridSpan w:val="2"/>
            <w:vAlign w:val="center"/>
          </w:tcPr>
          <w:p w14:paraId="0276830C">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生物除臭塔+15m高排气筒DA00</w:t>
            </w:r>
            <w:r>
              <w:rPr>
                <w:rFonts w:hint="eastAsia" w:ascii="Times New Roman" w:hAnsi="Times New Roman" w:eastAsia="宋体" w:cs="Times New Roman"/>
                <w:kern w:val="2"/>
                <w:sz w:val="21"/>
                <w:szCs w:val="21"/>
                <w:lang w:val="en-US" w:eastAsia="zh-CN" w:bidi="ar-SA"/>
              </w:rPr>
              <w:t>7（</w:t>
            </w:r>
            <w:r>
              <w:rPr>
                <w:rFonts w:ascii="Times New Roman" w:hAnsi="Times New Roman" w:eastAsia="宋体" w:cs="Times New Roman"/>
                <w:kern w:val="2"/>
                <w:sz w:val="21"/>
                <w:szCs w:val="21"/>
                <w:lang w:val="en-US" w:eastAsia="zh-CN" w:bidi="ar-SA"/>
              </w:rPr>
              <w:t>新建</w:t>
            </w:r>
            <w:r>
              <w:rPr>
                <w:rFonts w:hint="eastAsia" w:ascii="Times New Roman" w:hAnsi="Times New Roman" w:eastAsia="宋体" w:cs="Times New Roman"/>
                <w:kern w:val="2"/>
                <w:sz w:val="21"/>
                <w:szCs w:val="21"/>
                <w:lang w:val="en-US" w:eastAsia="zh-CN" w:bidi="ar-SA"/>
              </w:rPr>
              <w:t>）</w:t>
            </w:r>
          </w:p>
        </w:tc>
        <w:tc>
          <w:tcPr>
            <w:tcW w:w="409" w:type="pct"/>
            <w:vAlign w:val="center"/>
          </w:tcPr>
          <w:p w14:paraId="2BCF8D57">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15</w:t>
            </w:r>
          </w:p>
        </w:tc>
      </w:tr>
      <w:tr w14:paraId="5E9F6C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9" w:type="pct"/>
            <w:vMerge w:val="restart"/>
            <w:vAlign w:val="center"/>
          </w:tcPr>
          <w:p w14:paraId="7F1BFAFB">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废水</w:t>
            </w:r>
          </w:p>
        </w:tc>
        <w:tc>
          <w:tcPr>
            <w:tcW w:w="421" w:type="pct"/>
            <w:vMerge w:val="restart"/>
            <w:vAlign w:val="center"/>
          </w:tcPr>
          <w:p w14:paraId="01B73234">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镀锌线</w:t>
            </w:r>
          </w:p>
        </w:tc>
        <w:tc>
          <w:tcPr>
            <w:tcW w:w="900" w:type="pct"/>
            <w:gridSpan w:val="2"/>
            <w:vAlign w:val="center"/>
          </w:tcPr>
          <w:p w14:paraId="7DDAD759">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钝化废槽液</w:t>
            </w:r>
          </w:p>
        </w:tc>
        <w:tc>
          <w:tcPr>
            <w:tcW w:w="1173" w:type="pct"/>
            <w:vMerge w:val="restart"/>
            <w:vAlign w:val="center"/>
          </w:tcPr>
          <w:p w14:paraId="62E95CA0">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pH、总铬</w:t>
            </w:r>
          </w:p>
        </w:tc>
        <w:tc>
          <w:tcPr>
            <w:tcW w:w="1746" w:type="pct"/>
            <w:gridSpan w:val="2"/>
            <w:vMerge w:val="restart"/>
            <w:vAlign w:val="center"/>
          </w:tcPr>
          <w:p w14:paraId="7D819645">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送含铬废水处理设施（调节+还原+混凝沉淀+砂滤+碳滤+超滤+反渗透+蒸发）处理后回用；</w:t>
            </w:r>
            <w:r>
              <w:rPr>
                <w:rFonts w:ascii="Times New Roman" w:hAnsi="Times New Roman" w:eastAsia="宋体" w:cs="Times New Roman"/>
                <w:b w:val="0"/>
                <w:bCs w:val="0"/>
                <w:kern w:val="2"/>
                <w:sz w:val="21"/>
                <w:szCs w:val="21"/>
                <w:u w:val="none"/>
                <w:lang w:val="en-US" w:eastAsia="zh-CN" w:bidi="ar-SA"/>
              </w:rPr>
              <w:t>依托现有</w:t>
            </w:r>
          </w:p>
        </w:tc>
        <w:tc>
          <w:tcPr>
            <w:tcW w:w="409" w:type="pct"/>
            <w:vMerge w:val="restart"/>
            <w:vAlign w:val="center"/>
          </w:tcPr>
          <w:p w14:paraId="1CED4692">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hint="default" w:ascii="Times New Roman" w:hAnsi="Times New Roman" w:eastAsia="宋体" w:cs="Times New Roman"/>
                <w:b w:val="0"/>
                <w:bCs w:val="0"/>
                <w:kern w:val="2"/>
                <w:sz w:val="21"/>
                <w:szCs w:val="21"/>
                <w:lang w:val="en-US" w:eastAsia="zh-CN" w:bidi="ar-SA"/>
              </w:rPr>
            </w:pPr>
            <w:r>
              <w:rPr>
                <w:rFonts w:hint="eastAsia" w:ascii="Times New Roman" w:hAnsi="Times New Roman" w:eastAsia="宋体" w:cs="Times New Roman"/>
                <w:b w:val="0"/>
                <w:bCs w:val="0"/>
                <w:kern w:val="2"/>
                <w:sz w:val="21"/>
                <w:szCs w:val="21"/>
                <w:lang w:val="en-US" w:eastAsia="zh-CN" w:bidi="ar-SA"/>
              </w:rPr>
              <w:t>5</w:t>
            </w:r>
          </w:p>
        </w:tc>
      </w:tr>
      <w:tr w14:paraId="67B12B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9" w:type="pct"/>
            <w:vMerge w:val="continue"/>
            <w:vAlign w:val="center"/>
          </w:tcPr>
          <w:p w14:paraId="228DB032">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21" w:type="pct"/>
            <w:vMerge w:val="continue"/>
            <w:vAlign w:val="center"/>
          </w:tcPr>
          <w:p w14:paraId="1FA0B89B">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900" w:type="pct"/>
            <w:gridSpan w:val="2"/>
            <w:vAlign w:val="center"/>
          </w:tcPr>
          <w:p w14:paraId="77823D6C">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钝化后水洗废水</w:t>
            </w:r>
          </w:p>
        </w:tc>
        <w:tc>
          <w:tcPr>
            <w:tcW w:w="1173" w:type="pct"/>
            <w:vMerge w:val="continue"/>
            <w:vAlign w:val="center"/>
          </w:tcPr>
          <w:p w14:paraId="1C391AF0">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746" w:type="pct"/>
            <w:gridSpan w:val="2"/>
            <w:vMerge w:val="continue"/>
            <w:vAlign w:val="center"/>
          </w:tcPr>
          <w:p w14:paraId="6FF1955E">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09" w:type="pct"/>
            <w:vMerge w:val="continue"/>
            <w:vAlign w:val="center"/>
          </w:tcPr>
          <w:p w14:paraId="209EF67A">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b w:val="0"/>
                <w:bCs w:val="0"/>
                <w:kern w:val="2"/>
                <w:sz w:val="21"/>
                <w:szCs w:val="21"/>
                <w:lang w:val="en-US" w:eastAsia="zh-CN" w:bidi="ar-SA"/>
              </w:rPr>
            </w:pPr>
          </w:p>
        </w:tc>
      </w:tr>
      <w:tr w14:paraId="5D0DFC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9" w:type="pct"/>
            <w:vMerge w:val="continue"/>
            <w:vAlign w:val="center"/>
          </w:tcPr>
          <w:p w14:paraId="2EF7B958">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21" w:type="pct"/>
            <w:vMerge w:val="restart"/>
            <w:shd w:val="clear" w:color="auto" w:fill="auto"/>
            <w:vAlign w:val="center"/>
          </w:tcPr>
          <w:p w14:paraId="296281A3">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退锌线</w:t>
            </w:r>
          </w:p>
        </w:tc>
        <w:tc>
          <w:tcPr>
            <w:tcW w:w="900" w:type="pct"/>
            <w:gridSpan w:val="2"/>
            <w:shd w:val="clear" w:color="auto" w:fill="auto"/>
            <w:vAlign w:val="center"/>
          </w:tcPr>
          <w:p w14:paraId="6C8206E1">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退镀后水洗废水</w:t>
            </w:r>
          </w:p>
        </w:tc>
        <w:tc>
          <w:tcPr>
            <w:tcW w:w="1173" w:type="pct"/>
            <w:shd w:val="clear" w:color="auto" w:fill="auto"/>
            <w:vAlign w:val="center"/>
          </w:tcPr>
          <w:p w14:paraId="0FB94D2D">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pH、总铬、总锌</w:t>
            </w:r>
          </w:p>
        </w:tc>
        <w:tc>
          <w:tcPr>
            <w:tcW w:w="1746" w:type="pct"/>
            <w:gridSpan w:val="2"/>
            <w:vMerge w:val="continue"/>
            <w:vAlign w:val="center"/>
          </w:tcPr>
          <w:p w14:paraId="1812B379">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09" w:type="pct"/>
            <w:vMerge w:val="continue"/>
            <w:vAlign w:val="center"/>
          </w:tcPr>
          <w:p w14:paraId="6061556F">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b w:val="0"/>
                <w:bCs w:val="0"/>
                <w:kern w:val="2"/>
                <w:sz w:val="21"/>
                <w:szCs w:val="21"/>
                <w:lang w:val="en-US" w:eastAsia="zh-CN" w:bidi="ar-SA"/>
              </w:rPr>
            </w:pPr>
          </w:p>
        </w:tc>
      </w:tr>
      <w:tr w14:paraId="0DCB6E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9" w:type="pct"/>
            <w:vMerge w:val="continue"/>
            <w:vAlign w:val="center"/>
          </w:tcPr>
          <w:p w14:paraId="1C85060A">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21" w:type="pct"/>
            <w:vMerge w:val="continue"/>
            <w:vAlign w:val="center"/>
          </w:tcPr>
          <w:p w14:paraId="0BBB77BA">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900" w:type="pct"/>
            <w:gridSpan w:val="2"/>
            <w:vAlign w:val="center"/>
          </w:tcPr>
          <w:p w14:paraId="2A351F5D">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脱脂废水、水洗废水</w:t>
            </w:r>
          </w:p>
        </w:tc>
        <w:tc>
          <w:tcPr>
            <w:tcW w:w="1173" w:type="pct"/>
            <w:vAlign w:val="center"/>
          </w:tcPr>
          <w:p w14:paraId="2C6D449D">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pH、总铬、总锌</w:t>
            </w:r>
          </w:p>
        </w:tc>
        <w:tc>
          <w:tcPr>
            <w:tcW w:w="1746" w:type="pct"/>
            <w:gridSpan w:val="2"/>
            <w:vMerge w:val="continue"/>
            <w:vAlign w:val="center"/>
          </w:tcPr>
          <w:p w14:paraId="1FBA4638">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09" w:type="pct"/>
            <w:vMerge w:val="continue"/>
            <w:vAlign w:val="center"/>
          </w:tcPr>
          <w:p w14:paraId="4DFDB4D8">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b w:val="0"/>
                <w:bCs w:val="0"/>
                <w:kern w:val="2"/>
                <w:sz w:val="21"/>
                <w:szCs w:val="21"/>
                <w:lang w:val="en-US" w:eastAsia="zh-CN" w:bidi="ar-SA"/>
              </w:rPr>
            </w:pPr>
          </w:p>
        </w:tc>
      </w:tr>
      <w:tr w14:paraId="1E1476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9" w:type="pct"/>
            <w:vMerge w:val="continue"/>
            <w:vAlign w:val="center"/>
          </w:tcPr>
          <w:p w14:paraId="106D3240">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322" w:type="pct"/>
            <w:gridSpan w:val="3"/>
            <w:vAlign w:val="center"/>
          </w:tcPr>
          <w:p w14:paraId="3AC5A0E5">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酸雾吸收塔</w:t>
            </w:r>
          </w:p>
        </w:tc>
        <w:tc>
          <w:tcPr>
            <w:tcW w:w="1173" w:type="pct"/>
            <w:vAlign w:val="center"/>
          </w:tcPr>
          <w:p w14:paraId="69FAA4C8">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pH、总铬</w:t>
            </w:r>
          </w:p>
        </w:tc>
        <w:tc>
          <w:tcPr>
            <w:tcW w:w="1746" w:type="pct"/>
            <w:gridSpan w:val="2"/>
            <w:vMerge w:val="continue"/>
            <w:vAlign w:val="center"/>
          </w:tcPr>
          <w:p w14:paraId="6550B8BB">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09" w:type="pct"/>
            <w:vMerge w:val="continue"/>
            <w:vAlign w:val="center"/>
          </w:tcPr>
          <w:p w14:paraId="67F78925">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b w:val="0"/>
                <w:bCs w:val="0"/>
                <w:kern w:val="2"/>
                <w:sz w:val="21"/>
                <w:szCs w:val="21"/>
                <w:lang w:val="en-US" w:eastAsia="zh-CN" w:bidi="ar-SA"/>
              </w:rPr>
            </w:pPr>
          </w:p>
        </w:tc>
      </w:tr>
      <w:tr w14:paraId="2A273D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9" w:type="pct"/>
            <w:vMerge w:val="continue"/>
            <w:vAlign w:val="center"/>
          </w:tcPr>
          <w:p w14:paraId="54EEC456">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21" w:type="pct"/>
            <w:vAlign w:val="center"/>
          </w:tcPr>
          <w:p w14:paraId="6FAB8390">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bCs/>
                <w:kern w:val="2"/>
                <w:sz w:val="21"/>
                <w:szCs w:val="21"/>
                <w:lang w:val="en-US" w:eastAsia="zh-CN" w:bidi="ar-SA"/>
              </w:rPr>
            </w:pPr>
            <w:r>
              <w:rPr>
                <w:rFonts w:ascii="Times New Roman" w:hAnsi="Times New Roman" w:eastAsia="宋体" w:cs="Times New Roman"/>
                <w:kern w:val="2"/>
                <w:sz w:val="21"/>
                <w:szCs w:val="21"/>
                <w:lang w:val="en-US" w:eastAsia="zh-CN" w:bidi="ar-SA"/>
              </w:rPr>
              <w:t>钢带</w:t>
            </w:r>
          </w:p>
        </w:tc>
        <w:tc>
          <w:tcPr>
            <w:tcW w:w="900" w:type="pct"/>
            <w:gridSpan w:val="2"/>
            <w:vAlign w:val="center"/>
          </w:tcPr>
          <w:p w14:paraId="788EE68B">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bCs/>
                <w:kern w:val="2"/>
                <w:sz w:val="21"/>
                <w:szCs w:val="21"/>
                <w:lang w:val="en-US" w:eastAsia="zh-CN" w:bidi="ar-SA"/>
              </w:rPr>
            </w:pPr>
            <w:r>
              <w:rPr>
                <w:rFonts w:ascii="Times New Roman" w:hAnsi="Times New Roman" w:eastAsia="宋体" w:cs="Times New Roman"/>
                <w:kern w:val="2"/>
                <w:sz w:val="21"/>
                <w:szCs w:val="21"/>
                <w:lang w:val="en-US" w:eastAsia="zh-CN" w:bidi="ar-SA"/>
              </w:rPr>
              <w:t>镀镍后水洗废水</w:t>
            </w:r>
          </w:p>
        </w:tc>
        <w:tc>
          <w:tcPr>
            <w:tcW w:w="1173" w:type="pct"/>
            <w:vAlign w:val="center"/>
          </w:tcPr>
          <w:p w14:paraId="32C02B20">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pH、COD总镍、</w:t>
            </w:r>
          </w:p>
        </w:tc>
        <w:tc>
          <w:tcPr>
            <w:tcW w:w="1746" w:type="pct"/>
            <w:gridSpan w:val="2"/>
            <w:vAlign w:val="center"/>
          </w:tcPr>
          <w:p w14:paraId="2C279F8F">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送含镍废水处理设施</w:t>
            </w:r>
            <w:r>
              <w:rPr>
                <w:rFonts w:ascii="Times New Roman" w:hAnsi="Times New Roman" w:eastAsia="宋体" w:cs="Times New Roman"/>
                <w:bCs/>
                <w:kern w:val="2"/>
                <w:sz w:val="21"/>
                <w:szCs w:val="21"/>
                <w:lang w:val="en-US" w:eastAsia="zh-CN" w:bidi="ar-SA"/>
              </w:rPr>
              <w:t>（调节+混凝沉淀+</w:t>
            </w:r>
            <w:r>
              <w:rPr>
                <w:rFonts w:ascii="Times New Roman" w:hAnsi="Times New Roman" w:eastAsia="宋体" w:cs="Times New Roman"/>
                <w:kern w:val="2"/>
                <w:sz w:val="21"/>
                <w:szCs w:val="21"/>
                <w:lang w:val="en-US" w:eastAsia="zh-CN" w:bidi="ar-SA"/>
              </w:rPr>
              <w:t>砂滤+碳滤</w:t>
            </w:r>
            <w:r>
              <w:rPr>
                <w:rFonts w:ascii="Times New Roman" w:hAnsi="Times New Roman" w:eastAsia="宋体" w:cs="Times New Roman"/>
                <w:bCs/>
                <w:kern w:val="2"/>
                <w:sz w:val="21"/>
                <w:szCs w:val="21"/>
                <w:lang w:val="en-US" w:eastAsia="zh-CN" w:bidi="ar-SA"/>
              </w:rPr>
              <w:t>+超滤+反渗透+蒸发）</w:t>
            </w:r>
            <w:r>
              <w:rPr>
                <w:rFonts w:ascii="Times New Roman" w:hAnsi="Times New Roman" w:eastAsia="宋体" w:cs="Times New Roman"/>
                <w:kern w:val="2"/>
                <w:sz w:val="21"/>
                <w:szCs w:val="21"/>
                <w:lang w:val="en-US" w:eastAsia="zh-CN" w:bidi="ar-SA"/>
              </w:rPr>
              <w:t>处理后回用；</w:t>
            </w:r>
            <w:r>
              <w:rPr>
                <w:rFonts w:ascii="Times New Roman" w:hAnsi="Times New Roman" w:eastAsia="宋体" w:cs="Times New Roman"/>
                <w:b w:val="0"/>
                <w:bCs w:val="0"/>
                <w:kern w:val="2"/>
                <w:sz w:val="21"/>
                <w:szCs w:val="21"/>
                <w:u w:val="none"/>
                <w:lang w:val="en-US" w:eastAsia="zh-CN" w:bidi="ar-SA"/>
              </w:rPr>
              <w:t>依托现有</w:t>
            </w:r>
          </w:p>
        </w:tc>
        <w:tc>
          <w:tcPr>
            <w:tcW w:w="409" w:type="pct"/>
            <w:vAlign w:val="center"/>
          </w:tcPr>
          <w:p w14:paraId="019C8835">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hint="default" w:ascii="Times New Roman" w:hAnsi="Times New Roman" w:eastAsia="宋体" w:cs="Times New Roman"/>
                <w:b w:val="0"/>
                <w:bCs w:val="0"/>
                <w:kern w:val="2"/>
                <w:sz w:val="21"/>
                <w:szCs w:val="21"/>
                <w:lang w:val="en-US" w:eastAsia="zh-CN" w:bidi="ar-SA"/>
              </w:rPr>
            </w:pPr>
            <w:r>
              <w:rPr>
                <w:rFonts w:hint="eastAsia" w:ascii="Times New Roman" w:hAnsi="Times New Roman" w:eastAsia="宋体" w:cs="Times New Roman"/>
                <w:b w:val="0"/>
                <w:bCs w:val="0"/>
                <w:kern w:val="2"/>
                <w:sz w:val="21"/>
                <w:szCs w:val="21"/>
                <w:lang w:val="en-US" w:eastAsia="zh-CN" w:bidi="ar-SA"/>
              </w:rPr>
              <w:t>5</w:t>
            </w:r>
          </w:p>
        </w:tc>
      </w:tr>
      <w:tr w14:paraId="2A4F12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9" w:type="pct"/>
            <w:vMerge w:val="continue"/>
            <w:vAlign w:val="center"/>
          </w:tcPr>
          <w:p w14:paraId="66C26086">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322" w:type="pct"/>
            <w:gridSpan w:val="3"/>
            <w:vAlign w:val="center"/>
          </w:tcPr>
          <w:p w14:paraId="549D9D86">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车间地面清洗水</w:t>
            </w:r>
          </w:p>
        </w:tc>
        <w:tc>
          <w:tcPr>
            <w:tcW w:w="1173" w:type="pct"/>
            <w:vAlign w:val="center"/>
          </w:tcPr>
          <w:p w14:paraId="6747996B">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pH、总铬、六价铬、总锌、总镍</w:t>
            </w:r>
          </w:p>
        </w:tc>
        <w:tc>
          <w:tcPr>
            <w:tcW w:w="1746" w:type="pct"/>
            <w:gridSpan w:val="2"/>
            <w:vAlign w:val="center"/>
          </w:tcPr>
          <w:p w14:paraId="030B1CE0">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送一套含高COD废水处理系统（调节+芬顿高级氧化+混凝沉淀+砂滤+碳滤+超滤+反渗透</w:t>
            </w:r>
            <w:r>
              <w:rPr>
                <w:rFonts w:ascii="Times New Roman" w:hAnsi="Times New Roman" w:eastAsia="宋体" w:cs="Times New Roman"/>
                <w:bCs/>
                <w:kern w:val="2"/>
                <w:sz w:val="21"/>
                <w:szCs w:val="21"/>
                <w:lang w:val="en-US" w:eastAsia="zh-CN" w:bidi="ar-SA"/>
              </w:rPr>
              <w:t>+蒸发</w:t>
            </w:r>
            <w:r>
              <w:rPr>
                <w:rFonts w:ascii="Times New Roman" w:hAnsi="Times New Roman" w:eastAsia="宋体" w:cs="Times New Roman"/>
                <w:kern w:val="2"/>
                <w:sz w:val="21"/>
                <w:szCs w:val="21"/>
                <w:lang w:val="en-US" w:eastAsia="zh-CN" w:bidi="ar-SA"/>
              </w:rPr>
              <w:t>）处理后回用；新建</w:t>
            </w:r>
          </w:p>
        </w:tc>
        <w:tc>
          <w:tcPr>
            <w:tcW w:w="409" w:type="pct"/>
            <w:vAlign w:val="center"/>
          </w:tcPr>
          <w:p w14:paraId="71BA172F">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80</w:t>
            </w:r>
          </w:p>
        </w:tc>
      </w:tr>
      <w:tr w14:paraId="01638C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9" w:type="pct"/>
            <w:vMerge w:val="continue"/>
            <w:vAlign w:val="center"/>
          </w:tcPr>
          <w:p w14:paraId="02161E0B">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21" w:type="pct"/>
            <w:vMerge w:val="restart"/>
            <w:vAlign w:val="center"/>
          </w:tcPr>
          <w:p w14:paraId="48C1469A">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镀锌线</w:t>
            </w:r>
          </w:p>
        </w:tc>
        <w:tc>
          <w:tcPr>
            <w:tcW w:w="900" w:type="pct"/>
            <w:gridSpan w:val="2"/>
            <w:vAlign w:val="center"/>
          </w:tcPr>
          <w:p w14:paraId="5C9219EC">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镀锌后水洗废水</w:t>
            </w:r>
          </w:p>
        </w:tc>
        <w:tc>
          <w:tcPr>
            <w:tcW w:w="1173" w:type="pct"/>
            <w:vMerge w:val="restart"/>
            <w:vAlign w:val="center"/>
          </w:tcPr>
          <w:p w14:paraId="5B938732">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COD、</w:t>
            </w:r>
            <w:r>
              <w:rPr>
                <w:rFonts w:ascii="Times New Roman" w:hAnsi="Times New Roman" w:eastAsia="宋体" w:cs="Times New Roman"/>
                <w:spacing w:val="-8"/>
                <w:kern w:val="2"/>
                <w:sz w:val="21"/>
                <w:szCs w:val="21"/>
                <w:lang w:val="en-US" w:eastAsia="zh-CN" w:bidi="ar-SA"/>
              </w:rPr>
              <w:t>总锌</w:t>
            </w:r>
          </w:p>
        </w:tc>
        <w:tc>
          <w:tcPr>
            <w:tcW w:w="1746" w:type="pct"/>
            <w:gridSpan w:val="2"/>
            <w:vMerge w:val="restart"/>
            <w:vAlign w:val="center"/>
          </w:tcPr>
          <w:p w14:paraId="184DB790">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送一套含锌废水处理系统（</w:t>
            </w:r>
            <w:r>
              <w:rPr>
                <w:rFonts w:ascii="Times New Roman" w:hAnsi="Times New Roman" w:eastAsia="宋体" w:cs="Times New Roman"/>
                <w:bCs/>
                <w:kern w:val="2"/>
                <w:sz w:val="21"/>
                <w:szCs w:val="21"/>
                <w:lang w:val="en-US" w:eastAsia="zh-CN" w:bidi="ar-SA"/>
              </w:rPr>
              <w:t>调节+混凝沉淀+</w:t>
            </w:r>
            <w:r>
              <w:rPr>
                <w:rFonts w:ascii="Times New Roman" w:hAnsi="Times New Roman" w:eastAsia="宋体" w:cs="Times New Roman"/>
                <w:kern w:val="2"/>
                <w:sz w:val="21"/>
                <w:szCs w:val="21"/>
                <w:lang w:val="en-US" w:eastAsia="zh-CN" w:bidi="ar-SA"/>
              </w:rPr>
              <w:t>砂滤+碳滤</w:t>
            </w:r>
            <w:r>
              <w:rPr>
                <w:rFonts w:ascii="Times New Roman" w:hAnsi="Times New Roman" w:eastAsia="宋体" w:cs="Times New Roman"/>
                <w:bCs/>
                <w:kern w:val="2"/>
                <w:sz w:val="21"/>
                <w:szCs w:val="21"/>
                <w:lang w:val="en-US" w:eastAsia="zh-CN" w:bidi="ar-SA"/>
              </w:rPr>
              <w:t>+超滤+反渗透+蒸发</w:t>
            </w:r>
            <w:r>
              <w:rPr>
                <w:rFonts w:ascii="Times New Roman" w:hAnsi="Times New Roman" w:eastAsia="宋体" w:cs="Times New Roman"/>
                <w:kern w:val="2"/>
                <w:sz w:val="21"/>
                <w:szCs w:val="21"/>
                <w:lang w:val="en-US" w:eastAsia="zh-CN" w:bidi="ar-SA"/>
              </w:rPr>
              <w:t>）处理后回用；新建</w:t>
            </w:r>
          </w:p>
        </w:tc>
        <w:tc>
          <w:tcPr>
            <w:tcW w:w="409" w:type="pct"/>
            <w:vMerge w:val="restart"/>
            <w:vAlign w:val="center"/>
          </w:tcPr>
          <w:p w14:paraId="2653A744">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80</w:t>
            </w:r>
          </w:p>
        </w:tc>
      </w:tr>
      <w:tr w14:paraId="1D249E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9" w:type="pct"/>
            <w:vMerge w:val="continue"/>
            <w:vAlign w:val="center"/>
          </w:tcPr>
          <w:p w14:paraId="2D1E18D0">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21" w:type="pct"/>
            <w:vMerge w:val="continue"/>
            <w:vAlign w:val="center"/>
          </w:tcPr>
          <w:p w14:paraId="1107F05E">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900" w:type="pct"/>
            <w:gridSpan w:val="2"/>
            <w:vAlign w:val="center"/>
          </w:tcPr>
          <w:p w14:paraId="4AEAD5DE">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出光槽废槽液</w:t>
            </w:r>
          </w:p>
        </w:tc>
        <w:tc>
          <w:tcPr>
            <w:tcW w:w="1173" w:type="pct"/>
            <w:vMerge w:val="continue"/>
            <w:vAlign w:val="center"/>
          </w:tcPr>
          <w:p w14:paraId="3FBD48CD">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746" w:type="pct"/>
            <w:gridSpan w:val="2"/>
            <w:vMerge w:val="continue"/>
            <w:vAlign w:val="center"/>
          </w:tcPr>
          <w:p w14:paraId="6C491F28">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09" w:type="pct"/>
            <w:vMerge w:val="continue"/>
            <w:vAlign w:val="center"/>
          </w:tcPr>
          <w:p w14:paraId="1AFAF3B1">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r>
      <w:tr w14:paraId="4BF351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9" w:type="pct"/>
            <w:vMerge w:val="continue"/>
            <w:vAlign w:val="center"/>
          </w:tcPr>
          <w:p w14:paraId="6EBF46D1">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21" w:type="pct"/>
            <w:vMerge w:val="continue"/>
            <w:vAlign w:val="center"/>
          </w:tcPr>
          <w:p w14:paraId="623FA23E">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900" w:type="pct"/>
            <w:gridSpan w:val="2"/>
            <w:vAlign w:val="center"/>
          </w:tcPr>
          <w:p w14:paraId="2558653B">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出光后水洗废水</w:t>
            </w:r>
          </w:p>
        </w:tc>
        <w:tc>
          <w:tcPr>
            <w:tcW w:w="1173" w:type="pct"/>
            <w:vMerge w:val="continue"/>
            <w:vAlign w:val="center"/>
          </w:tcPr>
          <w:p w14:paraId="357F27D4">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746" w:type="pct"/>
            <w:gridSpan w:val="2"/>
            <w:vMerge w:val="continue"/>
            <w:vAlign w:val="center"/>
          </w:tcPr>
          <w:p w14:paraId="659B91A1">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09" w:type="pct"/>
            <w:vMerge w:val="continue"/>
            <w:vAlign w:val="center"/>
          </w:tcPr>
          <w:p w14:paraId="044FB603">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r>
      <w:tr w14:paraId="7DFBC1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9" w:type="pct"/>
            <w:vMerge w:val="continue"/>
            <w:vAlign w:val="center"/>
          </w:tcPr>
          <w:p w14:paraId="7B12C73C">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21" w:type="pct"/>
            <w:vMerge w:val="restart"/>
            <w:vAlign w:val="center"/>
          </w:tcPr>
          <w:p w14:paraId="689E1C1D">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镀锌线</w:t>
            </w:r>
          </w:p>
        </w:tc>
        <w:tc>
          <w:tcPr>
            <w:tcW w:w="181" w:type="pct"/>
            <w:vMerge w:val="restart"/>
            <w:vAlign w:val="center"/>
          </w:tcPr>
          <w:p w14:paraId="74475E17">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含油废水</w:t>
            </w:r>
          </w:p>
        </w:tc>
        <w:tc>
          <w:tcPr>
            <w:tcW w:w="719" w:type="pct"/>
            <w:vAlign w:val="center"/>
          </w:tcPr>
          <w:p w14:paraId="55F8DD4E">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化学除油废槽液</w:t>
            </w:r>
          </w:p>
        </w:tc>
        <w:tc>
          <w:tcPr>
            <w:tcW w:w="1173" w:type="pct"/>
            <w:vMerge w:val="restart"/>
            <w:vAlign w:val="center"/>
          </w:tcPr>
          <w:p w14:paraId="20883DD5">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pH、COD、SS、NH</w:t>
            </w:r>
            <w:r>
              <w:rPr>
                <w:rFonts w:ascii="Times New Roman" w:hAnsi="Times New Roman" w:eastAsia="宋体" w:cs="Times New Roman"/>
                <w:kern w:val="2"/>
                <w:sz w:val="21"/>
                <w:szCs w:val="21"/>
                <w:vertAlign w:val="subscript"/>
                <w:lang w:val="en-US" w:eastAsia="zh-CN" w:bidi="ar-SA"/>
              </w:rPr>
              <w:t>3</w:t>
            </w:r>
            <w:r>
              <w:rPr>
                <w:rFonts w:ascii="Times New Roman" w:hAnsi="Times New Roman" w:eastAsia="宋体" w:cs="Times New Roman"/>
                <w:kern w:val="2"/>
                <w:sz w:val="21"/>
                <w:szCs w:val="21"/>
                <w:lang w:val="en-US" w:eastAsia="zh-CN" w:bidi="ar-SA"/>
              </w:rPr>
              <w:t>-N、TP、TN、石油类</w:t>
            </w:r>
          </w:p>
        </w:tc>
        <w:tc>
          <w:tcPr>
            <w:tcW w:w="648" w:type="pct"/>
            <w:vMerge w:val="restart"/>
            <w:vAlign w:val="center"/>
          </w:tcPr>
          <w:p w14:paraId="044E7958">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破乳+气浮池；依托现有</w:t>
            </w:r>
          </w:p>
        </w:tc>
        <w:tc>
          <w:tcPr>
            <w:tcW w:w="1097" w:type="pct"/>
            <w:vMerge w:val="restart"/>
            <w:vAlign w:val="center"/>
          </w:tcPr>
          <w:p w14:paraId="25A61432">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现有综合废水处理系统（调节+混凝沉淀+水解酸化+接触氧化+二沉池）处理；依托现有</w:t>
            </w:r>
          </w:p>
        </w:tc>
        <w:tc>
          <w:tcPr>
            <w:tcW w:w="409" w:type="pct"/>
            <w:vMerge w:val="restart"/>
            <w:vAlign w:val="center"/>
          </w:tcPr>
          <w:p w14:paraId="4D655E2C">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2</w:t>
            </w:r>
          </w:p>
        </w:tc>
      </w:tr>
      <w:tr w14:paraId="64A396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9" w:type="pct"/>
            <w:vMerge w:val="continue"/>
            <w:vAlign w:val="center"/>
          </w:tcPr>
          <w:p w14:paraId="2DFD4194">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21" w:type="pct"/>
            <w:vMerge w:val="continue"/>
            <w:vAlign w:val="center"/>
          </w:tcPr>
          <w:p w14:paraId="2BBE390E">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81" w:type="pct"/>
            <w:vMerge w:val="continue"/>
            <w:vAlign w:val="center"/>
          </w:tcPr>
          <w:p w14:paraId="10AFC00F">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719" w:type="pct"/>
            <w:vAlign w:val="center"/>
          </w:tcPr>
          <w:p w14:paraId="1C89C98A">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电解除油废槽液</w:t>
            </w:r>
          </w:p>
        </w:tc>
        <w:tc>
          <w:tcPr>
            <w:tcW w:w="1173" w:type="pct"/>
            <w:vMerge w:val="continue"/>
            <w:vAlign w:val="center"/>
          </w:tcPr>
          <w:p w14:paraId="62776D26">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648" w:type="pct"/>
            <w:vMerge w:val="continue"/>
            <w:vAlign w:val="center"/>
          </w:tcPr>
          <w:p w14:paraId="688FFBD0">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097" w:type="pct"/>
            <w:vMerge w:val="continue"/>
            <w:vAlign w:val="center"/>
          </w:tcPr>
          <w:p w14:paraId="62248497">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09" w:type="pct"/>
            <w:vMerge w:val="continue"/>
            <w:vAlign w:val="center"/>
          </w:tcPr>
          <w:p w14:paraId="1798917F">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r>
      <w:tr w14:paraId="22000F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9" w:type="pct"/>
            <w:vMerge w:val="continue"/>
            <w:vAlign w:val="center"/>
          </w:tcPr>
          <w:p w14:paraId="124F2558">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21" w:type="pct"/>
            <w:vMerge w:val="continue"/>
            <w:vAlign w:val="center"/>
          </w:tcPr>
          <w:p w14:paraId="7A1B2210">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81" w:type="pct"/>
            <w:vMerge w:val="continue"/>
            <w:vAlign w:val="center"/>
          </w:tcPr>
          <w:p w14:paraId="389C54B6">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719" w:type="pct"/>
            <w:vAlign w:val="center"/>
          </w:tcPr>
          <w:p w14:paraId="5FA22501">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超声波除油废槽液</w:t>
            </w:r>
          </w:p>
        </w:tc>
        <w:tc>
          <w:tcPr>
            <w:tcW w:w="1173" w:type="pct"/>
            <w:vMerge w:val="continue"/>
            <w:vAlign w:val="center"/>
          </w:tcPr>
          <w:p w14:paraId="0F01731C">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648" w:type="pct"/>
            <w:vMerge w:val="continue"/>
            <w:vAlign w:val="center"/>
          </w:tcPr>
          <w:p w14:paraId="79F26675">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097" w:type="pct"/>
            <w:vMerge w:val="continue"/>
            <w:vAlign w:val="center"/>
          </w:tcPr>
          <w:p w14:paraId="18D3261A">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09" w:type="pct"/>
            <w:vMerge w:val="continue"/>
            <w:vAlign w:val="center"/>
          </w:tcPr>
          <w:p w14:paraId="0C12D14F">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r>
      <w:tr w14:paraId="1546F5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9" w:type="pct"/>
            <w:vMerge w:val="continue"/>
            <w:vAlign w:val="center"/>
          </w:tcPr>
          <w:p w14:paraId="5B145FF1">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21" w:type="pct"/>
            <w:vMerge w:val="continue"/>
            <w:vAlign w:val="center"/>
          </w:tcPr>
          <w:p w14:paraId="310EE4AB">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81" w:type="pct"/>
            <w:vMerge w:val="continue"/>
            <w:vAlign w:val="center"/>
          </w:tcPr>
          <w:p w14:paraId="5E81648C">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719" w:type="pct"/>
            <w:vAlign w:val="center"/>
          </w:tcPr>
          <w:p w14:paraId="68D3E6A8">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除油后水洗废水</w:t>
            </w:r>
          </w:p>
        </w:tc>
        <w:tc>
          <w:tcPr>
            <w:tcW w:w="1173" w:type="pct"/>
            <w:vMerge w:val="continue"/>
            <w:vAlign w:val="center"/>
          </w:tcPr>
          <w:p w14:paraId="7F23DEB3">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648" w:type="pct"/>
            <w:vMerge w:val="continue"/>
            <w:vAlign w:val="center"/>
          </w:tcPr>
          <w:p w14:paraId="5F7EB566">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097" w:type="pct"/>
            <w:vMerge w:val="continue"/>
            <w:vAlign w:val="center"/>
          </w:tcPr>
          <w:p w14:paraId="2D18A618">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09" w:type="pct"/>
            <w:vMerge w:val="continue"/>
            <w:vAlign w:val="center"/>
          </w:tcPr>
          <w:p w14:paraId="34E12BF6">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r>
      <w:tr w14:paraId="27FD55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9" w:type="pct"/>
            <w:vMerge w:val="continue"/>
            <w:vAlign w:val="center"/>
          </w:tcPr>
          <w:p w14:paraId="5F508D05">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21" w:type="pct"/>
            <w:vMerge w:val="restart"/>
            <w:vAlign w:val="center"/>
          </w:tcPr>
          <w:p w14:paraId="7D7F161C">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钢带线</w:t>
            </w:r>
          </w:p>
        </w:tc>
        <w:tc>
          <w:tcPr>
            <w:tcW w:w="181" w:type="pct"/>
            <w:vMerge w:val="continue"/>
            <w:vAlign w:val="center"/>
          </w:tcPr>
          <w:p w14:paraId="6F615E4A">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719" w:type="pct"/>
            <w:vAlign w:val="center"/>
          </w:tcPr>
          <w:p w14:paraId="4C7033F3">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化学除油废槽液</w:t>
            </w:r>
          </w:p>
        </w:tc>
        <w:tc>
          <w:tcPr>
            <w:tcW w:w="1173" w:type="pct"/>
            <w:vMerge w:val="continue"/>
            <w:vAlign w:val="center"/>
          </w:tcPr>
          <w:p w14:paraId="721177A7">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648" w:type="pct"/>
            <w:vMerge w:val="continue"/>
            <w:vAlign w:val="center"/>
          </w:tcPr>
          <w:p w14:paraId="6765F79F">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097" w:type="pct"/>
            <w:vMerge w:val="continue"/>
            <w:vAlign w:val="center"/>
          </w:tcPr>
          <w:p w14:paraId="028EB894">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09" w:type="pct"/>
            <w:vMerge w:val="continue"/>
            <w:vAlign w:val="center"/>
          </w:tcPr>
          <w:p w14:paraId="6A0F90BA">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r>
      <w:tr w14:paraId="4EDB4B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397" w:hRule="atLeast"/>
        </w:trPr>
        <w:tc>
          <w:tcPr>
            <w:tcW w:w="349" w:type="pct"/>
            <w:vMerge w:val="continue"/>
            <w:vAlign w:val="center"/>
          </w:tcPr>
          <w:p w14:paraId="3EAE9E52">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21" w:type="pct"/>
            <w:vMerge w:val="continue"/>
            <w:vAlign w:val="center"/>
          </w:tcPr>
          <w:p w14:paraId="1A8F5B00">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81" w:type="pct"/>
            <w:vMerge w:val="continue"/>
            <w:vAlign w:val="center"/>
          </w:tcPr>
          <w:p w14:paraId="0CFEFFEA">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719" w:type="pct"/>
            <w:vAlign w:val="center"/>
          </w:tcPr>
          <w:p w14:paraId="2EFA05C0">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除油后水洗废水</w:t>
            </w:r>
          </w:p>
        </w:tc>
        <w:tc>
          <w:tcPr>
            <w:tcW w:w="1173" w:type="pct"/>
            <w:vMerge w:val="continue"/>
            <w:vAlign w:val="center"/>
          </w:tcPr>
          <w:p w14:paraId="416C25DA">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648" w:type="pct"/>
            <w:vMerge w:val="continue"/>
            <w:vAlign w:val="center"/>
          </w:tcPr>
          <w:p w14:paraId="3E1ACD5A">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097" w:type="pct"/>
            <w:vMerge w:val="continue"/>
            <w:vAlign w:val="center"/>
          </w:tcPr>
          <w:p w14:paraId="09F1033F">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09" w:type="pct"/>
            <w:vMerge w:val="continue"/>
            <w:vAlign w:val="center"/>
          </w:tcPr>
          <w:p w14:paraId="4D038BF4">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r>
      <w:tr w14:paraId="200987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9" w:type="pct"/>
            <w:vMerge w:val="continue"/>
            <w:vAlign w:val="center"/>
          </w:tcPr>
          <w:p w14:paraId="61C6132E">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21" w:type="pct"/>
            <w:vMerge w:val="restart"/>
            <w:vAlign w:val="center"/>
          </w:tcPr>
          <w:p w14:paraId="5F21483F">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镀锌线</w:t>
            </w:r>
          </w:p>
        </w:tc>
        <w:tc>
          <w:tcPr>
            <w:tcW w:w="181" w:type="pct"/>
            <w:vMerge w:val="restart"/>
            <w:vAlign w:val="center"/>
          </w:tcPr>
          <w:p w14:paraId="710E14E5">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含酸废水</w:t>
            </w:r>
          </w:p>
        </w:tc>
        <w:tc>
          <w:tcPr>
            <w:tcW w:w="719" w:type="pct"/>
            <w:vAlign w:val="center"/>
          </w:tcPr>
          <w:p w14:paraId="3DEE3551">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酸洗废槽液</w:t>
            </w:r>
          </w:p>
        </w:tc>
        <w:tc>
          <w:tcPr>
            <w:tcW w:w="1173" w:type="pct"/>
            <w:vMerge w:val="restart"/>
            <w:vAlign w:val="center"/>
          </w:tcPr>
          <w:p w14:paraId="6DBB5FCE">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pH、COD、NH</w:t>
            </w:r>
            <w:r>
              <w:rPr>
                <w:rFonts w:ascii="Times New Roman" w:hAnsi="Times New Roman" w:eastAsia="宋体" w:cs="Times New Roman"/>
                <w:kern w:val="2"/>
                <w:sz w:val="21"/>
                <w:szCs w:val="21"/>
                <w:vertAlign w:val="subscript"/>
                <w:lang w:val="en-US" w:eastAsia="zh-CN" w:bidi="ar-SA"/>
              </w:rPr>
              <w:t>3</w:t>
            </w:r>
            <w:r>
              <w:rPr>
                <w:rFonts w:ascii="Times New Roman" w:hAnsi="Times New Roman" w:eastAsia="宋体" w:cs="Times New Roman"/>
                <w:kern w:val="2"/>
                <w:sz w:val="21"/>
                <w:szCs w:val="21"/>
                <w:lang w:val="en-US" w:eastAsia="zh-CN" w:bidi="ar-SA"/>
              </w:rPr>
              <w:t>-N、TP、TN、总锌、六价铬、总铬、总镍</w:t>
            </w:r>
          </w:p>
        </w:tc>
        <w:tc>
          <w:tcPr>
            <w:tcW w:w="648" w:type="pct"/>
            <w:vMerge w:val="restart"/>
            <w:vAlign w:val="center"/>
          </w:tcPr>
          <w:p w14:paraId="1C313349">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还原+两级化学沉淀；新建</w:t>
            </w:r>
          </w:p>
        </w:tc>
        <w:tc>
          <w:tcPr>
            <w:tcW w:w="1097" w:type="pct"/>
            <w:vMerge w:val="continue"/>
            <w:vAlign w:val="center"/>
          </w:tcPr>
          <w:p w14:paraId="269B5296">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hint="default" w:ascii="Times New Roman" w:hAnsi="Times New Roman" w:eastAsia="宋体" w:cs="Times New Roman"/>
                <w:kern w:val="2"/>
                <w:sz w:val="21"/>
                <w:szCs w:val="21"/>
                <w:lang w:val="en-US" w:eastAsia="zh-CN" w:bidi="ar-SA"/>
              </w:rPr>
            </w:pPr>
          </w:p>
        </w:tc>
        <w:tc>
          <w:tcPr>
            <w:tcW w:w="409" w:type="pct"/>
            <w:vMerge w:val="restart"/>
            <w:vAlign w:val="center"/>
          </w:tcPr>
          <w:p w14:paraId="23FFFB59">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10</w:t>
            </w:r>
          </w:p>
        </w:tc>
      </w:tr>
      <w:tr w14:paraId="2D25A2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9" w:type="pct"/>
            <w:vMerge w:val="continue"/>
            <w:vAlign w:val="center"/>
          </w:tcPr>
          <w:p w14:paraId="1EAEB543">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21" w:type="pct"/>
            <w:vMerge w:val="continue"/>
            <w:vAlign w:val="center"/>
          </w:tcPr>
          <w:p w14:paraId="651A49FB">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81" w:type="pct"/>
            <w:vMerge w:val="continue"/>
            <w:vAlign w:val="center"/>
          </w:tcPr>
          <w:p w14:paraId="42B06FBC">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719" w:type="pct"/>
            <w:vAlign w:val="center"/>
          </w:tcPr>
          <w:p w14:paraId="00029994">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酸洗后水洗废水</w:t>
            </w:r>
          </w:p>
        </w:tc>
        <w:tc>
          <w:tcPr>
            <w:tcW w:w="1173" w:type="pct"/>
            <w:vMerge w:val="continue"/>
            <w:vAlign w:val="center"/>
          </w:tcPr>
          <w:p w14:paraId="78B16059">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648" w:type="pct"/>
            <w:vMerge w:val="continue"/>
            <w:vAlign w:val="center"/>
          </w:tcPr>
          <w:p w14:paraId="7F898932">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097" w:type="pct"/>
            <w:vMerge w:val="continue"/>
            <w:vAlign w:val="center"/>
          </w:tcPr>
          <w:p w14:paraId="50E01A96">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09" w:type="pct"/>
            <w:vMerge w:val="continue"/>
            <w:vAlign w:val="center"/>
          </w:tcPr>
          <w:p w14:paraId="349FEEEE">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r>
      <w:tr w14:paraId="349533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9" w:type="pct"/>
            <w:vMerge w:val="continue"/>
            <w:vAlign w:val="center"/>
          </w:tcPr>
          <w:p w14:paraId="5482CC25">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21" w:type="pct"/>
            <w:vMerge w:val="continue"/>
            <w:vAlign w:val="center"/>
          </w:tcPr>
          <w:p w14:paraId="43F0D3D7">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81" w:type="pct"/>
            <w:vMerge w:val="continue"/>
            <w:vAlign w:val="center"/>
          </w:tcPr>
          <w:p w14:paraId="7438861D">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719" w:type="pct"/>
            <w:vAlign w:val="center"/>
          </w:tcPr>
          <w:p w14:paraId="1C815120">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活化废槽液</w:t>
            </w:r>
          </w:p>
        </w:tc>
        <w:tc>
          <w:tcPr>
            <w:tcW w:w="1173" w:type="pct"/>
            <w:vMerge w:val="continue"/>
            <w:vAlign w:val="center"/>
          </w:tcPr>
          <w:p w14:paraId="1C89A879">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648" w:type="pct"/>
            <w:vMerge w:val="continue"/>
            <w:vAlign w:val="center"/>
          </w:tcPr>
          <w:p w14:paraId="21FEFF07">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097" w:type="pct"/>
            <w:vMerge w:val="continue"/>
            <w:vAlign w:val="center"/>
          </w:tcPr>
          <w:p w14:paraId="753D4261">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09" w:type="pct"/>
            <w:vMerge w:val="continue"/>
            <w:vAlign w:val="center"/>
          </w:tcPr>
          <w:p w14:paraId="5C61C933">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r>
      <w:tr w14:paraId="7C2C83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9" w:type="pct"/>
            <w:vMerge w:val="continue"/>
            <w:vAlign w:val="center"/>
          </w:tcPr>
          <w:p w14:paraId="134CFE08">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21" w:type="pct"/>
            <w:vMerge w:val="continue"/>
            <w:vAlign w:val="center"/>
          </w:tcPr>
          <w:p w14:paraId="1E78DBC6">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81" w:type="pct"/>
            <w:vMerge w:val="continue"/>
            <w:vAlign w:val="center"/>
          </w:tcPr>
          <w:p w14:paraId="6BFAD3DF">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719" w:type="pct"/>
            <w:vAlign w:val="center"/>
          </w:tcPr>
          <w:p w14:paraId="3EF21CA9">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活化后水洗废水</w:t>
            </w:r>
          </w:p>
        </w:tc>
        <w:tc>
          <w:tcPr>
            <w:tcW w:w="1173" w:type="pct"/>
            <w:vMerge w:val="continue"/>
            <w:vAlign w:val="center"/>
          </w:tcPr>
          <w:p w14:paraId="3E2F542C">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648" w:type="pct"/>
            <w:vMerge w:val="continue"/>
            <w:vAlign w:val="center"/>
          </w:tcPr>
          <w:p w14:paraId="406871E8">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097" w:type="pct"/>
            <w:vMerge w:val="continue"/>
            <w:vAlign w:val="center"/>
          </w:tcPr>
          <w:p w14:paraId="5B53D799">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09" w:type="pct"/>
            <w:vMerge w:val="continue"/>
            <w:vAlign w:val="center"/>
          </w:tcPr>
          <w:p w14:paraId="77FE38CA">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r>
      <w:tr w14:paraId="01D4BD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397" w:hRule="atLeast"/>
        </w:trPr>
        <w:tc>
          <w:tcPr>
            <w:tcW w:w="349" w:type="pct"/>
            <w:vMerge w:val="continue"/>
            <w:vAlign w:val="center"/>
          </w:tcPr>
          <w:p w14:paraId="5056A6B1">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21" w:type="pct"/>
            <w:vMerge w:val="restart"/>
            <w:vAlign w:val="center"/>
          </w:tcPr>
          <w:p w14:paraId="76E2D63B">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钢带线</w:t>
            </w:r>
          </w:p>
        </w:tc>
        <w:tc>
          <w:tcPr>
            <w:tcW w:w="181" w:type="pct"/>
            <w:vMerge w:val="continue"/>
            <w:vAlign w:val="center"/>
          </w:tcPr>
          <w:p w14:paraId="748473B2">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719" w:type="pct"/>
            <w:vAlign w:val="center"/>
          </w:tcPr>
          <w:p w14:paraId="25CCC657">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活化废槽液</w:t>
            </w:r>
          </w:p>
        </w:tc>
        <w:tc>
          <w:tcPr>
            <w:tcW w:w="1173" w:type="pct"/>
            <w:vMerge w:val="continue"/>
            <w:vAlign w:val="center"/>
          </w:tcPr>
          <w:p w14:paraId="1A6D18F3">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648" w:type="pct"/>
            <w:vMerge w:val="continue"/>
            <w:vAlign w:val="center"/>
          </w:tcPr>
          <w:p w14:paraId="0D04C8D1">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097" w:type="pct"/>
            <w:vMerge w:val="continue"/>
            <w:vAlign w:val="center"/>
          </w:tcPr>
          <w:p w14:paraId="2F7C3787">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09" w:type="pct"/>
            <w:vMerge w:val="continue"/>
            <w:vAlign w:val="center"/>
          </w:tcPr>
          <w:p w14:paraId="514FACD5">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r>
      <w:tr w14:paraId="204CEC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9" w:type="pct"/>
            <w:vMerge w:val="continue"/>
            <w:vAlign w:val="center"/>
          </w:tcPr>
          <w:p w14:paraId="6FAEB256">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21" w:type="pct"/>
            <w:vMerge w:val="continue"/>
            <w:vAlign w:val="center"/>
          </w:tcPr>
          <w:p w14:paraId="03A3395E">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81" w:type="pct"/>
            <w:vMerge w:val="continue"/>
            <w:vAlign w:val="center"/>
          </w:tcPr>
          <w:p w14:paraId="6F0B9980">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719" w:type="pct"/>
            <w:vAlign w:val="center"/>
          </w:tcPr>
          <w:p w14:paraId="5C37E14B">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活化后水洗废水</w:t>
            </w:r>
          </w:p>
        </w:tc>
        <w:tc>
          <w:tcPr>
            <w:tcW w:w="1173" w:type="pct"/>
            <w:vMerge w:val="continue"/>
            <w:vAlign w:val="center"/>
          </w:tcPr>
          <w:p w14:paraId="056A732C">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648" w:type="pct"/>
            <w:vMerge w:val="continue"/>
            <w:vAlign w:val="center"/>
          </w:tcPr>
          <w:p w14:paraId="037F3CF0">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097" w:type="pct"/>
            <w:vMerge w:val="continue"/>
            <w:vAlign w:val="center"/>
          </w:tcPr>
          <w:p w14:paraId="3A4439F2">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09" w:type="pct"/>
            <w:vMerge w:val="continue"/>
            <w:vAlign w:val="center"/>
          </w:tcPr>
          <w:p w14:paraId="5BE71193">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r>
      <w:tr w14:paraId="5B2AA8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9" w:type="pct"/>
            <w:vMerge w:val="continue"/>
            <w:vAlign w:val="center"/>
          </w:tcPr>
          <w:p w14:paraId="60D64681">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322" w:type="pct"/>
            <w:gridSpan w:val="3"/>
            <w:vAlign w:val="center"/>
          </w:tcPr>
          <w:p w14:paraId="2E4D4577">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bCs/>
                <w:kern w:val="2"/>
                <w:sz w:val="21"/>
                <w:szCs w:val="21"/>
                <w:lang w:val="en-US" w:eastAsia="zh-CN" w:bidi="ar-SA"/>
              </w:rPr>
            </w:pPr>
            <w:r>
              <w:rPr>
                <w:rFonts w:ascii="Times New Roman" w:hAnsi="Times New Roman" w:eastAsia="宋体" w:cs="Times New Roman"/>
                <w:kern w:val="2"/>
                <w:sz w:val="21"/>
                <w:szCs w:val="21"/>
                <w:lang w:val="en-US" w:eastAsia="zh-CN" w:bidi="ar-SA"/>
              </w:rPr>
              <w:t>生活污水</w:t>
            </w:r>
          </w:p>
        </w:tc>
        <w:tc>
          <w:tcPr>
            <w:tcW w:w="1173" w:type="pct"/>
            <w:vAlign w:val="center"/>
          </w:tcPr>
          <w:p w14:paraId="0C7F7997">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COD、</w:t>
            </w:r>
            <w:r>
              <w:rPr>
                <w:rFonts w:ascii="Times New Roman" w:hAnsi="Times New Roman" w:eastAsia="宋体" w:cs="Times New Roman"/>
                <w:spacing w:val="-8"/>
                <w:kern w:val="2"/>
                <w:sz w:val="21"/>
                <w:szCs w:val="21"/>
                <w:lang w:val="en-US" w:eastAsia="zh-CN" w:bidi="ar-SA"/>
              </w:rPr>
              <w:t>SS</w:t>
            </w:r>
            <w:r>
              <w:rPr>
                <w:rFonts w:ascii="Times New Roman" w:hAnsi="Times New Roman" w:eastAsia="宋体" w:cs="Times New Roman"/>
                <w:kern w:val="2"/>
                <w:sz w:val="21"/>
                <w:szCs w:val="21"/>
                <w:lang w:val="en-US" w:eastAsia="zh-CN" w:bidi="ar-SA"/>
              </w:rPr>
              <w:t>、NH</w:t>
            </w:r>
            <w:r>
              <w:rPr>
                <w:rFonts w:ascii="Times New Roman" w:hAnsi="Times New Roman" w:eastAsia="宋体" w:cs="Times New Roman"/>
                <w:kern w:val="2"/>
                <w:sz w:val="21"/>
                <w:szCs w:val="21"/>
                <w:vertAlign w:val="subscript"/>
                <w:lang w:val="en-US" w:eastAsia="zh-CN" w:bidi="ar-SA"/>
              </w:rPr>
              <w:t>3</w:t>
            </w:r>
            <w:r>
              <w:rPr>
                <w:rFonts w:ascii="Times New Roman" w:hAnsi="Times New Roman" w:eastAsia="宋体" w:cs="Times New Roman"/>
                <w:kern w:val="2"/>
                <w:sz w:val="21"/>
                <w:szCs w:val="21"/>
                <w:lang w:val="en-US" w:eastAsia="zh-CN" w:bidi="ar-SA"/>
              </w:rPr>
              <w:t>-N、TP、TN</w:t>
            </w:r>
          </w:p>
        </w:tc>
        <w:tc>
          <w:tcPr>
            <w:tcW w:w="1746" w:type="pct"/>
            <w:gridSpan w:val="2"/>
            <w:vAlign w:val="center"/>
          </w:tcPr>
          <w:p w14:paraId="5B1246E0">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化粪池</w:t>
            </w:r>
          </w:p>
        </w:tc>
        <w:tc>
          <w:tcPr>
            <w:tcW w:w="409" w:type="pct"/>
            <w:vAlign w:val="center"/>
          </w:tcPr>
          <w:p w14:paraId="28312AE6">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w:t>
            </w:r>
          </w:p>
        </w:tc>
      </w:tr>
      <w:tr w14:paraId="0A42BF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9" w:type="pct"/>
            <w:vMerge w:val="continue"/>
            <w:vAlign w:val="center"/>
          </w:tcPr>
          <w:p w14:paraId="6E09331B">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322" w:type="pct"/>
            <w:gridSpan w:val="3"/>
            <w:vAlign w:val="center"/>
          </w:tcPr>
          <w:p w14:paraId="11EECC63">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bCs/>
                <w:kern w:val="2"/>
                <w:sz w:val="21"/>
                <w:szCs w:val="21"/>
                <w:lang w:val="en-US" w:eastAsia="zh-CN" w:bidi="ar-SA"/>
              </w:rPr>
            </w:pPr>
            <w:r>
              <w:rPr>
                <w:rFonts w:ascii="Times New Roman" w:hAnsi="Times New Roman" w:eastAsia="宋体" w:cs="Times New Roman"/>
                <w:kern w:val="2"/>
                <w:sz w:val="21"/>
                <w:szCs w:val="21"/>
                <w:lang w:val="en-US" w:eastAsia="zh-CN" w:bidi="ar-SA"/>
              </w:rPr>
              <w:t>纯水制备浓水</w:t>
            </w:r>
          </w:p>
        </w:tc>
        <w:tc>
          <w:tcPr>
            <w:tcW w:w="1173" w:type="pct"/>
            <w:vAlign w:val="center"/>
          </w:tcPr>
          <w:p w14:paraId="6BC8BFC6">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COD、</w:t>
            </w:r>
            <w:r>
              <w:rPr>
                <w:rFonts w:ascii="Times New Roman" w:hAnsi="Times New Roman" w:eastAsia="宋体" w:cs="Times New Roman"/>
                <w:spacing w:val="-8"/>
                <w:kern w:val="2"/>
                <w:sz w:val="21"/>
                <w:szCs w:val="21"/>
                <w:lang w:val="en-US" w:eastAsia="zh-CN" w:bidi="ar-SA"/>
              </w:rPr>
              <w:t>SS</w:t>
            </w:r>
          </w:p>
        </w:tc>
        <w:tc>
          <w:tcPr>
            <w:tcW w:w="1746" w:type="pct"/>
            <w:gridSpan w:val="2"/>
            <w:vAlign w:val="center"/>
          </w:tcPr>
          <w:p w14:paraId="0B96A9A1">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w:t>
            </w:r>
          </w:p>
        </w:tc>
        <w:tc>
          <w:tcPr>
            <w:tcW w:w="409" w:type="pct"/>
            <w:vAlign w:val="center"/>
          </w:tcPr>
          <w:p w14:paraId="160C686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rPr>
            </w:pPr>
            <w:r>
              <w:rPr>
                <w:rFonts w:hint="eastAsia" w:ascii="Times New Roman" w:hAnsi="Times New Roman" w:eastAsia="宋体" w:cs="Times New Roman"/>
                <w:kern w:val="2"/>
                <w:sz w:val="21"/>
                <w:szCs w:val="21"/>
                <w:lang w:val="en-US" w:eastAsia="zh-CN"/>
              </w:rPr>
              <w:t>/</w:t>
            </w:r>
          </w:p>
        </w:tc>
      </w:tr>
      <w:tr w14:paraId="473D3C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9" w:type="pct"/>
            <w:vMerge w:val="continue"/>
            <w:vAlign w:val="center"/>
          </w:tcPr>
          <w:p w14:paraId="2816904A">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322" w:type="pct"/>
            <w:gridSpan w:val="3"/>
            <w:vAlign w:val="center"/>
          </w:tcPr>
          <w:p w14:paraId="6172E7A3">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bCs/>
                <w:kern w:val="2"/>
                <w:sz w:val="21"/>
                <w:szCs w:val="21"/>
                <w:lang w:val="en-US" w:eastAsia="zh-CN" w:bidi="ar-SA"/>
              </w:rPr>
            </w:pPr>
            <w:r>
              <w:rPr>
                <w:rFonts w:ascii="Times New Roman" w:hAnsi="Times New Roman" w:eastAsia="宋体" w:cs="Times New Roman"/>
                <w:kern w:val="2"/>
                <w:sz w:val="21"/>
                <w:szCs w:val="21"/>
                <w:lang w:val="en-US" w:eastAsia="zh-CN" w:bidi="ar-SA"/>
              </w:rPr>
              <w:t>冲压冷却水</w:t>
            </w:r>
          </w:p>
        </w:tc>
        <w:tc>
          <w:tcPr>
            <w:tcW w:w="1173" w:type="pct"/>
            <w:vAlign w:val="center"/>
          </w:tcPr>
          <w:p w14:paraId="1AEC82F4">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COD、</w:t>
            </w:r>
            <w:r>
              <w:rPr>
                <w:rFonts w:ascii="Times New Roman" w:hAnsi="Times New Roman" w:eastAsia="宋体" w:cs="Times New Roman"/>
                <w:spacing w:val="-8"/>
                <w:kern w:val="2"/>
                <w:sz w:val="21"/>
                <w:szCs w:val="21"/>
                <w:lang w:val="en-US" w:eastAsia="zh-CN" w:bidi="ar-SA"/>
              </w:rPr>
              <w:t>SS</w:t>
            </w:r>
          </w:p>
        </w:tc>
        <w:tc>
          <w:tcPr>
            <w:tcW w:w="1746" w:type="pct"/>
            <w:gridSpan w:val="2"/>
            <w:vAlign w:val="center"/>
          </w:tcPr>
          <w:p w14:paraId="0F93C9F4">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w:t>
            </w:r>
          </w:p>
        </w:tc>
        <w:tc>
          <w:tcPr>
            <w:tcW w:w="409" w:type="pct"/>
            <w:vAlign w:val="center"/>
          </w:tcPr>
          <w:p w14:paraId="5741762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rPr>
            </w:pPr>
            <w:r>
              <w:rPr>
                <w:rFonts w:hint="eastAsia" w:ascii="Times New Roman" w:hAnsi="Times New Roman" w:eastAsia="宋体" w:cs="Times New Roman"/>
                <w:kern w:val="2"/>
                <w:sz w:val="21"/>
                <w:szCs w:val="21"/>
                <w:lang w:val="en-US" w:eastAsia="zh-CN"/>
              </w:rPr>
              <w:t>/</w:t>
            </w:r>
          </w:p>
        </w:tc>
      </w:tr>
      <w:tr w14:paraId="39F1A3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9" w:type="pct"/>
            <w:vMerge w:val="restart"/>
            <w:vAlign w:val="center"/>
          </w:tcPr>
          <w:p w14:paraId="1DA2F3D6">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固废</w:t>
            </w:r>
          </w:p>
        </w:tc>
        <w:tc>
          <w:tcPr>
            <w:tcW w:w="1322" w:type="pct"/>
            <w:gridSpan w:val="3"/>
            <w:vAlign w:val="center"/>
          </w:tcPr>
          <w:p w14:paraId="1D14D716">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机加工</w:t>
            </w:r>
          </w:p>
        </w:tc>
        <w:tc>
          <w:tcPr>
            <w:tcW w:w="1173" w:type="pct"/>
            <w:vAlign w:val="center"/>
          </w:tcPr>
          <w:p w14:paraId="3E0E285C">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废边角料</w:t>
            </w:r>
          </w:p>
        </w:tc>
        <w:tc>
          <w:tcPr>
            <w:tcW w:w="1746" w:type="pct"/>
            <w:gridSpan w:val="2"/>
            <w:vAlign w:val="center"/>
          </w:tcPr>
          <w:p w14:paraId="368DC9CC">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外售综合利用</w:t>
            </w:r>
          </w:p>
        </w:tc>
        <w:tc>
          <w:tcPr>
            <w:tcW w:w="409" w:type="pct"/>
            <w:vMerge w:val="restart"/>
            <w:vAlign w:val="center"/>
          </w:tcPr>
          <w:p w14:paraId="07B9510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rPr>
            </w:pPr>
            <w:r>
              <w:rPr>
                <w:rFonts w:hint="eastAsia" w:ascii="Times New Roman" w:hAnsi="Times New Roman" w:eastAsia="宋体" w:cs="Times New Roman"/>
                <w:kern w:val="2"/>
                <w:sz w:val="21"/>
                <w:szCs w:val="21"/>
                <w:lang w:val="en-US" w:eastAsia="zh-CN"/>
              </w:rPr>
              <w:t>1</w:t>
            </w:r>
          </w:p>
        </w:tc>
      </w:tr>
      <w:tr w14:paraId="293830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9" w:type="pct"/>
            <w:vMerge w:val="continue"/>
            <w:vAlign w:val="center"/>
          </w:tcPr>
          <w:p w14:paraId="51D07CA3">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322" w:type="pct"/>
            <w:gridSpan w:val="3"/>
            <w:vAlign w:val="center"/>
          </w:tcPr>
          <w:p w14:paraId="65EC50FF">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检验</w:t>
            </w:r>
          </w:p>
        </w:tc>
        <w:tc>
          <w:tcPr>
            <w:tcW w:w="1173" w:type="pct"/>
            <w:vAlign w:val="center"/>
          </w:tcPr>
          <w:p w14:paraId="3FBF806F">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废钢带</w:t>
            </w:r>
          </w:p>
        </w:tc>
        <w:tc>
          <w:tcPr>
            <w:tcW w:w="1746" w:type="pct"/>
            <w:gridSpan w:val="2"/>
            <w:vAlign w:val="center"/>
          </w:tcPr>
          <w:p w14:paraId="1EC70E1E">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外售综合利用</w:t>
            </w:r>
          </w:p>
        </w:tc>
        <w:tc>
          <w:tcPr>
            <w:tcW w:w="409" w:type="pct"/>
            <w:vMerge w:val="continue"/>
            <w:vAlign w:val="center"/>
          </w:tcPr>
          <w:p w14:paraId="42EDF68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kern w:val="2"/>
                <w:sz w:val="21"/>
                <w:szCs w:val="21"/>
              </w:rPr>
            </w:pPr>
          </w:p>
        </w:tc>
      </w:tr>
      <w:tr w14:paraId="2D7513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9" w:type="pct"/>
            <w:vMerge w:val="continue"/>
            <w:vAlign w:val="center"/>
          </w:tcPr>
          <w:p w14:paraId="30FFE49B">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322" w:type="pct"/>
            <w:gridSpan w:val="3"/>
            <w:vAlign w:val="center"/>
          </w:tcPr>
          <w:p w14:paraId="169D8EEF">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综合污水处理系统</w:t>
            </w:r>
          </w:p>
        </w:tc>
        <w:tc>
          <w:tcPr>
            <w:tcW w:w="1173" w:type="pct"/>
            <w:vAlign w:val="center"/>
          </w:tcPr>
          <w:p w14:paraId="0C74534A">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生化污泥</w:t>
            </w:r>
          </w:p>
        </w:tc>
        <w:tc>
          <w:tcPr>
            <w:tcW w:w="1746" w:type="pct"/>
            <w:gridSpan w:val="2"/>
            <w:vAlign w:val="center"/>
          </w:tcPr>
          <w:p w14:paraId="1F9C5F65">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外售建材厂综合利用</w:t>
            </w:r>
          </w:p>
        </w:tc>
        <w:tc>
          <w:tcPr>
            <w:tcW w:w="409" w:type="pct"/>
            <w:vMerge w:val="continue"/>
            <w:vAlign w:val="center"/>
          </w:tcPr>
          <w:p w14:paraId="0562F1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kern w:val="2"/>
                <w:sz w:val="21"/>
                <w:szCs w:val="21"/>
              </w:rPr>
            </w:pPr>
          </w:p>
        </w:tc>
      </w:tr>
      <w:tr w14:paraId="29F99D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9" w:type="pct"/>
            <w:vMerge w:val="continue"/>
            <w:vAlign w:val="center"/>
          </w:tcPr>
          <w:p w14:paraId="5EBEF15C">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322" w:type="pct"/>
            <w:gridSpan w:val="3"/>
            <w:vAlign w:val="center"/>
          </w:tcPr>
          <w:p w14:paraId="6622A401">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纯水制备</w:t>
            </w:r>
          </w:p>
        </w:tc>
        <w:tc>
          <w:tcPr>
            <w:tcW w:w="1173" w:type="pct"/>
            <w:vAlign w:val="center"/>
          </w:tcPr>
          <w:p w14:paraId="76CE8F01">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废过滤器、废活性炭、废RO膜</w:t>
            </w:r>
          </w:p>
        </w:tc>
        <w:tc>
          <w:tcPr>
            <w:tcW w:w="1746" w:type="pct"/>
            <w:gridSpan w:val="2"/>
            <w:vAlign w:val="center"/>
          </w:tcPr>
          <w:p w14:paraId="673E0902">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厂家回收</w:t>
            </w:r>
          </w:p>
        </w:tc>
        <w:tc>
          <w:tcPr>
            <w:tcW w:w="409" w:type="pct"/>
            <w:vMerge w:val="continue"/>
            <w:vAlign w:val="center"/>
          </w:tcPr>
          <w:p w14:paraId="0604A62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kern w:val="2"/>
                <w:sz w:val="21"/>
                <w:szCs w:val="21"/>
              </w:rPr>
            </w:pPr>
          </w:p>
        </w:tc>
      </w:tr>
      <w:tr w14:paraId="4A4B66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9" w:type="pct"/>
            <w:vMerge w:val="continue"/>
            <w:vAlign w:val="center"/>
          </w:tcPr>
          <w:p w14:paraId="416D225F">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322" w:type="pct"/>
            <w:gridSpan w:val="3"/>
            <w:vAlign w:val="center"/>
          </w:tcPr>
          <w:p w14:paraId="05D0EEDA">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原料使用</w:t>
            </w:r>
          </w:p>
        </w:tc>
        <w:tc>
          <w:tcPr>
            <w:tcW w:w="1173" w:type="pct"/>
            <w:vAlign w:val="center"/>
          </w:tcPr>
          <w:p w14:paraId="4C128D9D">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废包装物</w:t>
            </w:r>
          </w:p>
        </w:tc>
        <w:tc>
          <w:tcPr>
            <w:tcW w:w="1746" w:type="pct"/>
            <w:gridSpan w:val="2"/>
            <w:vMerge w:val="restart"/>
            <w:vAlign w:val="center"/>
          </w:tcPr>
          <w:p w14:paraId="11213E67">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专用容器收集，在危废储存间分类暂存，定期送有相应危废处置资质的单位处置；新建</w:t>
            </w:r>
          </w:p>
        </w:tc>
        <w:tc>
          <w:tcPr>
            <w:tcW w:w="409" w:type="pct"/>
            <w:vMerge w:val="restart"/>
            <w:vAlign w:val="center"/>
          </w:tcPr>
          <w:p w14:paraId="74773FB8">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2</w:t>
            </w:r>
          </w:p>
        </w:tc>
      </w:tr>
      <w:tr w14:paraId="639D9D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9" w:type="pct"/>
            <w:vMerge w:val="continue"/>
            <w:vAlign w:val="center"/>
          </w:tcPr>
          <w:p w14:paraId="4427D5DB">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322" w:type="pct"/>
            <w:gridSpan w:val="3"/>
            <w:vMerge w:val="restart"/>
            <w:vAlign w:val="center"/>
          </w:tcPr>
          <w:p w14:paraId="2C400E2B">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机加工</w:t>
            </w:r>
          </w:p>
        </w:tc>
        <w:tc>
          <w:tcPr>
            <w:tcW w:w="1173" w:type="pct"/>
            <w:vAlign w:val="center"/>
          </w:tcPr>
          <w:p w14:paraId="3DA4E62D">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废切削液</w:t>
            </w:r>
          </w:p>
        </w:tc>
        <w:tc>
          <w:tcPr>
            <w:tcW w:w="1746" w:type="pct"/>
            <w:gridSpan w:val="2"/>
            <w:vMerge w:val="continue"/>
            <w:vAlign w:val="center"/>
          </w:tcPr>
          <w:p w14:paraId="7BC17919">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09" w:type="pct"/>
            <w:vMerge w:val="continue"/>
            <w:vAlign w:val="center"/>
          </w:tcPr>
          <w:p w14:paraId="7067962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kern w:val="2"/>
                <w:sz w:val="21"/>
                <w:szCs w:val="21"/>
              </w:rPr>
            </w:pPr>
          </w:p>
        </w:tc>
      </w:tr>
      <w:tr w14:paraId="2B69BF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9" w:type="pct"/>
            <w:vMerge w:val="continue"/>
            <w:vAlign w:val="center"/>
          </w:tcPr>
          <w:p w14:paraId="5C455A5D">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322" w:type="pct"/>
            <w:gridSpan w:val="3"/>
            <w:vMerge w:val="continue"/>
            <w:vAlign w:val="center"/>
          </w:tcPr>
          <w:p w14:paraId="441F28B7">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173" w:type="pct"/>
            <w:vAlign w:val="center"/>
          </w:tcPr>
          <w:p w14:paraId="78EBADEE">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废拉伸油</w:t>
            </w:r>
          </w:p>
        </w:tc>
        <w:tc>
          <w:tcPr>
            <w:tcW w:w="1746" w:type="pct"/>
            <w:gridSpan w:val="2"/>
            <w:vMerge w:val="continue"/>
            <w:vAlign w:val="center"/>
          </w:tcPr>
          <w:p w14:paraId="79A83D7E">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09" w:type="pct"/>
            <w:vMerge w:val="continue"/>
            <w:vAlign w:val="center"/>
          </w:tcPr>
          <w:p w14:paraId="04F519A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kern w:val="2"/>
                <w:sz w:val="21"/>
                <w:szCs w:val="21"/>
              </w:rPr>
            </w:pPr>
          </w:p>
        </w:tc>
      </w:tr>
      <w:tr w14:paraId="2C1DE7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9" w:type="pct"/>
            <w:vMerge w:val="continue"/>
            <w:vAlign w:val="center"/>
          </w:tcPr>
          <w:p w14:paraId="7E81BDA0">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322" w:type="pct"/>
            <w:gridSpan w:val="3"/>
            <w:vMerge w:val="restart"/>
            <w:vAlign w:val="center"/>
          </w:tcPr>
          <w:p w14:paraId="7961C058">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电镀线</w:t>
            </w:r>
          </w:p>
        </w:tc>
        <w:tc>
          <w:tcPr>
            <w:tcW w:w="1173" w:type="pct"/>
            <w:vAlign w:val="center"/>
          </w:tcPr>
          <w:p w14:paraId="74EB3341">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废油渣</w:t>
            </w:r>
          </w:p>
        </w:tc>
        <w:tc>
          <w:tcPr>
            <w:tcW w:w="1746" w:type="pct"/>
            <w:gridSpan w:val="2"/>
            <w:vMerge w:val="continue"/>
            <w:vAlign w:val="center"/>
          </w:tcPr>
          <w:p w14:paraId="54ECAB7F">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09" w:type="pct"/>
            <w:vMerge w:val="continue"/>
            <w:vAlign w:val="center"/>
          </w:tcPr>
          <w:p w14:paraId="0F5A52E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kern w:val="2"/>
                <w:sz w:val="21"/>
                <w:szCs w:val="21"/>
              </w:rPr>
            </w:pPr>
          </w:p>
        </w:tc>
      </w:tr>
      <w:tr w14:paraId="2CA715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9" w:type="pct"/>
            <w:vMerge w:val="continue"/>
            <w:vAlign w:val="center"/>
          </w:tcPr>
          <w:p w14:paraId="3F0FB836">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322" w:type="pct"/>
            <w:gridSpan w:val="3"/>
            <w:vMerge w:val="continue"/>
            <w:vAlign w:val="center"/>
          </w:tcPr>
          <w:p w14:paraId="53B329AE">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173" w:type="pct"/>
            <w:vAlign w:val="center"/>
          </w:tcPr>
          <w:p w14:paraId="55DC62C3">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含镍废槽液</w:t>
            </w:r>
          </w:p>
        </w:tc>
        <w:tc>
          <w:tcPr>
            <w:tcW w:w="1746" w:type="pct"/>
            <w:gridSpan w:val="2"/>
            <w:vMerge w:val="continue"/>
            <w:vAlign w:val="center"/>
          </w:tcPr>
          <w:p w14:paraId="2436FF5B">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09" w:type="pct"/>
            <w:vMerge w:val="continue"/>
            <w:vAlign w:val="center"/>
          </w:tcPr>
          <w:p w14:paraId="3530492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kern w:val="2"/>
                <w:sz w:val="21"/>
                <w:szCs w:val="21"/>
              </w:rPr>
            </w:pPr>
          </w:p>
        </w:tc>
      </w:tr>
      <w:tr w14:paraId="2CBA82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9" w:type="pct"/>
            <w:vMerge w:val="continue"/>
            <w:vAlign w:val="center"/>
          </w:tcPr>
          <w:p w14:paraId="6730659C">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322" w:type="pct"/>
            <w:gridSpan w:val="3"/>
            <w:vMerge w:val="continue"/>
            <w:vAlign w:val="center"/>
          </w:tcPr>
          <w:p w14:paraId="7F685A0D">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173" w:type="pct"/>
            <w:vAlign w:val="center"/>
          </w:tcPr>
          <w:p w14:paraId="14CA3938">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含镍废槽渣</w:t>
            </w:r>
          </w:p>
        </w:tc>
        <w:tc>
          <w:tcPr>
            <w:tcW w:w="1746" w:type="pct"/>
            <w:gridSpan w:val="2"/>
            <w:vMerge w:val="continue"/>
            <w:vAlign w:val="center"/>
          </w:tcPr>
          <w:p w14:paraId="5FBA1FAE">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09" w:type="pct"/>
            <w:vMerge w:val="continue"/>
            <w:vAlign w:val="center"/>
          </w:tcPr>
          <w:p w14:paraId="65FB385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kern w:val="2"/>
                <w:sz w:val="21"/>
                <w:szCs w:val="21"/>
              </w:rPr>
            </w:pPr>
          </w:p>
        </w:tc>
      </w:tr>
      <w:tr w14:paraId="1A239B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9" w:type="pct"/>
            <w:vMerge w:val="continue"/>
            <w:vAlign w:val="center"/>
          </w:tcPr>
          <w:p w14:paraId="4EF476CC">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322" w:type="pct"/>
            <w:gridSpan w:val="3"/>
            <w:vMerge w:val="continue"/>
            <w:vAlign w:val="center"/>
          </w:tcPr>
          <w:p w14:paraId="666EFB7E">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173" w:type="pct"/>
            <w:vAlign w:val="center"/>
          </w:tcPr>
          <w:p w14:paraId="549B92DF">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含锌废槽液</w:t>
            </w:r>
          </w:p>
        </w:tc>
        <w:tc>
          <w:tcPr>
            <w:tcW w:w="1746" w:type="pct"/>
            <w:gridSpan w:val="2"/>
            <w:vMerge w:val="continue"/>
            <w:vAlign w:val="center"/>
          </w:tcPr>
          <w:p w14:paraId="3D090067">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09" w:type="pct"/>
            <w:vMerge w:val="continue"/>
            <w:vAlign w:val="center"/>
          </w:tcPr>
          <w:p w14:paraId="4CD1A52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kern w:val="2"/>
                <w:sz w:val="21"/>
                <w:szCs w:val="21"/>
              </w:rPr>
            </w:pPr>
          </w:p>
        </w:tc>
      </w:tr>
      <w:tr w14:paraId="7EAD2F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9" w:type="pct"/>
            <w:vMerge w:val="continue"/>
            <w:vAlign w:val="center"/>
          </w:tcPr>
          <w:p w14:paraId="4B47744C">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322" w:type="pct"/>
            <w:gridSpan w:val="3"/>
            <w:vMerge w:val="continue"/>
            <w:vAlign w:val="center"/>
          </w:tcPr>
          <w:p w14:paraId="4DF5F937">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173" w:type="pct"/>
            <w:vAlign w:val="center"/>
          </w:tcPr>
          <w:p w14:paraId="2230A81C">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含锌废槽渣</w:t>
            </w:r>
          </w:p>
        </w:tc>
        <w:tc>
          <w:tcPr>
            <w:tcW w:w="1746" w:type="pct"/>
            <w:gridSpan w:val="2"/>
            <w:vMerge w:val="continue"/>
            <w:vAlign w:val="center"/>
          </w:tcPr>
          <w:p w14:paraId="2AB9916D">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09" w:type="pct"/>
            <w:vMerge w:val="continue"/>
            <w:vAlign w:val="center"/>
          </w:tcPr>
          <w:p w14:paraId="692E146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kern w:val="2"/>
                <w:sz w:val="21"/>
                <w:szCs w:val="21"/>
              </w:rPr>
            </w:pPr>
          </w:p>
        </w:tc>
      </w:tr>
      <w:tr w14:paraId="18D434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9" w:type="pct"/>
            <w:vMerge w:val="continue"/>
            <w:vAlign w:val="center"/>
          </w:tcPr>
          <w:p w14:paraId="0BF83CE5">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322" w:type="pct"/>
            <w:gridSpan w:val="3"/>
            <w:vMerge w:val="continue"/>
            <w:vAlign w:val="center"/>
          </w:tcPr>
          <w:p w14:paraId="26A1397C">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173" w:type="pct"/>
            <w:vAlign w:val="center"/>
          </w:tcPr>
          <w:p w14:paraId="33D030D9">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废滤芯</w:t>
            </w:r>
          </w:p>
        </w:tc>
        <w:tc>
          <w:tcPr>
            <w:tcW w:w="1746" w:type="pct"/>
            <w:gridSpan w:val="2"/>
            <w:vMerge w:val="continue"/>
            <w:vAlign w:val="center"/>
          </w:tcPr>
          <w:p w14:paraId="7008267B">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09" w:type="pct"/>
            <w:vMerge w:val="continue"/>
            <w:vAlign w:val="center"/>
          </w:tcPr>
          <w:p w14:paraId="4EAF59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kern w:val="2"/>
                <w:sz w:val="21"/>
                <w:szCs w:val="21"/>
              </w:rPr>
            </w:pPr>
          </w:p>
        </w:tc>
      </w:tr>
      <w:tr w14:paraId="750BE8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9" w:type="pct"/>
            <w:vMerge w:val="continue"/>
            <w:vAlign w:val="center"/>
          </w:tcPr>
          <w:p w14:paraId="78E40B0D">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322" w:type="pct"/>
            <w:gridSpan w:val="3"/>
            <w:vAlign w:val="center"/>
          </w:tcPr>
          <w:p w14:paraId="345D126E">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退镀线</w:t>
            </w:r>
          </w:p>
        </w:tc>
        <w:tc>
          <w:tcPr>
            <w:tcW w:w="1173" w:type="pct"/>
            <w:vAlign w:val="center"/>
          </w:tcPr>
          <w:p w14:paraId="71C77FFF">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退锌槽含锌废槽液</w:t>
            </w:r>
          </w:p>
        </w:tc>
        <w:tc>
          <w:tcPr>
            <w:tcW w:w="1746" w:type="pct"/>
            <w:gridSpan w:val="2"/>
            <w:vMerge w:val="continue"/>
            <w:vAlign w:val="center"/>
          </w:tcPr>
          <w:p w14:paraId="0831238E">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09" w:type="pct"/>
            <w:vMerge w:val="continue"/>
            <w:vAlign w:val="center"/>
          </w:tcPr>
          <w:p w14:paraId="423B36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kern w:val="2"/>
                <w:sz w:val="21"/>
                <w:szCs w:val="21"/>
              </w:rPr>
            </w:pPr>
          </w:p>
        </w:tc>
      </w:tr>
      <w:tr w14:paraId="3E89D1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9" w:type="pct"/>
            <w:vMerge w:val="continue"/>
            <w:vAlign w:val="center"/>
          </w:tcPr>
          <w:p w14:paraId="57ADCCD3">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322" w:type="pct"/>
            <w:gridSpan w:val="3"/>
            <w:vAlign w:val="center"/>
          </w:tcPr>
          <w:p w14:paraId="7D81AB10">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气浮池</w:t>
            </w:r>
          </w:p>
        </w:tc>
        <w:tc>
          <w:tcPr>
            <w:tcW w:w="1173" w:type="pct"/>
            <w:vAlign w:val="center"/>
          </w:tcPr>
          <w:p w14:paraId="2E682C23">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废油渣</w:t>
            </w:r>
          </w:p>
        </w:tc>
        <w:tc>
          <w:tcPr>
            <w:tcW w:w="1746" w:type="pct"/>
            <w:gridSpan w:val="2"/>
            <w:vMerge w:val="continue"/>
            <w:vAlign w:val="center"/>
          </w:tcPr>
          <w:p w14:paraId="4E2C67F5">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09" w:type="pct"/>
            <w:vMerge w:val="continue"/>
            <w:vAlign w:val="center"/>
          </w:tcPr>
          <w:p w14:paraId="1F64588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kern w:val="2"/>
                <w:sz w:val="21"/>
                <w:szCs w:val="21"/>
              </w:rPr>
            </w:pPr>
          </w:p>
        </w:tc>
      </w:tr>
      <w:tr w14:paraId="13DBBB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9" w:type="pct"/>
            <w:vMerge w:val="continue"/>
            <w:vAlign w:val="center"/>
          </w:tcPr>
          <w:p w14:paraId="3F841F80">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322" w:type="pct"/>
            <w:gridSpan w:val="3"/>
            <w:vAlign w:val="center"/>
          </w:tcPr>
          <w:p w14:paraId="004CAD7D">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重金属预处理系统</w:t>
            </w:r>
          </w:p>
        </w:tc>
        <w:tc>
          <w:tcPr>
            <w:tcW w:w="1173" w:type="pct"/>
            <w:vAlign w:val="center"/>
          </w:tcPr>
          <w:p w14:paraId="4DEC6B48">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含重金属污泥</w:t>
            </w:r>
          </w:p>
        </w:tc>
        <w:tc>
          <w:tcPr>
            <w:tcW w:w="1746" w:type="pct"/>
            <w:gridSpan w:val="2"/>
            <w:vMerge w:val="continue"/>
            <w:vAlign w:val="center"/>
          </w:tcPr>
          <w:p w14:paraId="14273959">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09" w:type="pct"/>
            <w:vMerge w:val="continue"/>
            <w:vAlign w:val="center"/>
          </w:tcPr>
          <w:p w14:paraId="1F642F2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kern w:val="2"/>
                <w:sz w:val="21"/>
                <w:szCs w:val="21"/>
              </w:rPr>
            </w:pPr>
          </w:p>
        </w:tc>
      </w:tr>
      <w:tr w14:paraId="5F1AC4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9" w:type="pct"/>
            <w:vMerge w:val="continue"/>
            <w:vAlign w:val="center"/>
          </w:tcPr>
          <w:p w14:paraId="149FA234">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322" w:type="pct"/>
            <w:gridSpan w:val="3"/>
            <w:vMerge w:val="restart"/>
            <w:vAlign w:val="center"/>
          </w:tcPr>
          <w:p w14:paraId="77E48687">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含镍废水处理设施</w:t>
            </w:r>
          </w:p>
        </w:tc>
        <w:tc>
          <w:tcPr>
            <w:tcW w:w="1173" w:type="pct"/>
            <w:vAlign w:val="center"/>
          </w:tcPr>
          <w:p w14:paraId="12F54E5B">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含镍废活性炭</w:t>
            </w:r>
          </w:p>
        </w:tc>
        <w:tc>
          <w:tcPr>
            <w:tcW w:w="1746" w:type="pct"/>
            <w:gridSpan w:val="2"/>
            <w:vMerge w:val="continue"/>
            <w:vAlign w:val="center"/>
          </w:tcPr>
          <w:p w14:paraId="639028C8">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09" w:type="pct"/>
            <w:vMerge w:val="continue"/>
            <w:vAlign w:val="center"/>
          </w:tcPr>
          <w:p w14:paraId="4963917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kern w:val="2"/>
                <w:sz w:val="21"/>
                <w:szCs w:val="21"/>
              </w:rPr>
            </w:pPr>
          </w:p>
        </w:tc>
      </w:tr>
      <w:tr w14:paraId="49D039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9" w:type="pct"/>
            <w:vMerge w:val="continue"/>
            <w:vAlign w:val="center"/>
          </w:tcPr>
          <w:p w14:paraId="33DB1D32">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322" w:type="pct"/>
            <w:gridSpan w:val="3"/>
            <w:vMerge w:val="continue"/>
            <w:vAlign w:val="center"/>
          </w:tcPr>
          <w:p w14:paraId="52F77C74">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173" w:type="pct"/>
            <w:vAlign w:val="center"/>
          </w:tcPr>
          <w:p w14:paraId="10871DF3">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含镍废过滤膜</w:t>
            </w:r>
          </w:p>
        </w:tc>
        <w:tc>
          <w:tcPr>
            <w:tcW w:w="1746" w:type="pct"/>
            <w:gridSpan w:val="2"/>
            <w:vMerge w:val="continue"/>
            <w:vAlign w:val="center"/>
          </w:tcPr>
          <w:p w14:paraId="38075B07">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09" w:type="pct"/>
            <w:vMerge w:val="continue"/>
            <w:vAlign w:val="center"/>
          </w:tcPr>
          <w:p w14:paraId="2AB75E7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kern w:val="2"/>
                <w:sz w:val="21"/>
                <w:szCs w:val="21"/>
              </w:rPr>
            </w:pPr>
          </w:p>
        </w:tc>
      </w:tr>
      <w:tr w14:paraId="1F2AC5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9" w:type="pct"/>
            <w:vMerge w:val="continue"/>
            <w:vAlign w:val="center"/>
          </w:tcPr>
          <w:p w14:paraId="5B265B0D">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322" w:type="pct"/>
            <w:gridSpan w:val="3"/>
            <w:vMerge w:val="continue"/>
            <w:vAlign w:val="center"/>
          </w:tcPr>
          <w:p w14:paraId="4DA584BB">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173" w:type="pct"/>
            <w:vAlign w:val="center"/>
          </w:tcPr>
          <w:p w14:paraId="403B851A">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含镍污泥</w:t>
            </w:r>
          </w:p>
        </w:tc>
        <w:tc>
          <w:tcPr>
            <w:tcW w:w="1746" w:type="pct"/>
            <w:gridSpan w:val="2"/>
            <w:vMerge w:val="continue"/>
            <w:vAlign w:val="center"/>
          </w:tcPr>
          <w:p w14:paraId="1DA8F85D">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09" w:type="pct"/>
            <w:vMerge w:val="continue"/>
            <w:vAlign w:val="center"/>
          </w:tcPr>
          <w:p w14:paraId="57AC974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kern w:val="2"/>
                <w:sz w:val="21"/>
                <w:szCs w:val="21"/>
              </w:rPr>
            </w:pPr>
          </w:p>
        </w:tc>
      </w:tr>
      <w:tr w14:paraId="166ADE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9" w:type="pct"/>
            <w:vMerge w:val="continue"/>
            <w:vAlign w:val="center"/>
          </w:tcPr>
          <w:p w14:paraId="246A0D88">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322" w:type="pct"/>
            <w:gridSpan w:val="3"/>
            <w:vMerge w:val="restart"/>
            <w:vAlign w:val="center"/>
          </w:tcPr>
          <w:p w14:paraId="0C73B9CA">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含铬废水处理设施</w:t>
            </w:r>
          </w:p>
        </w:tc>
        <w:tc>
          <w:tcPr>
            <w:tcW w:w="1173" w:type="pct"/>
            <w:vAlign w:val="center"/>
          </w:tcPr>
          <w:p w14:paraId="0EA79657">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含铬废活性炭</w:t>
            </w:r>
          </w:p>
        </w:tc>
        <w:tc>
          <w:tcPr>
            <w:tcW w:w="1746" w:type="pct"/>
            <w:gridSpan w:val="2"/>
            <w:vMerge w:val="continue"/>
            <w:vAlign w:val="center"/>
          </w:tcPr>
          <w:p w14:paraId="78D0F6D0">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09" w:type="pct"/>
            <w:vMerge w:val="continue"/>
            <w:vAlign w:val="center"/>
          </w:tcPr>
          <w:p w14:paraId="34D3D5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kern w:val="2"/>
                <w:sz w:val="21"/>
                <w:szCs w:val="21"/>
              </w:rPr>
            </w:pPr>
          </w:p>
        </w:tc>
      </w:tr>
      <w:tr w14:paraId="5AE47C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9" w:type="pct"/>
            <w:vMerge w:val="continue"/>
            <w:vAlign w:val="center"/>
          </w:tcPr>
          <w:p w14:paraId="728E560E">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322" w:type="pct"/>
            <w:gridSpan w:val="3"/>
            <w:vMerge w:val="continue"/>
            <w:vAlign w:val="center"/>
          </w:tcPr>
          <w:p w14:paraId="28C6DB60">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173" w:type="pct"/>
            <w:vAlign w:val="center"/>
          </w:tcPr>
          <w:p w14:paraId="4C11DF41">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含铬废过滤膜</w:t>
            </w:r>
          </w:p>
        </w:tc>
        <w:tc>
          <w:tcPr>
            <w:tcW w:w="1746" w:type="pct"/>
            <w:gridSpan w:val="2"/>
            <w:vMerge w:val="continue"/>
            <w:vAlign w:val="center"/>
          </w:tcPr>
          <w:p w14:paraId="2A898A1A">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09" w:type="pct"/>
            <w:vMerge w:val="continue"/>
            <w:vAlign w:val="center"/>
          </w:tcPr>
          <w:p w14:paraId="154C75F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kern w:val="2"/>
                <w:sz w:val="21"/>
                <w:szCs w:val="21"/>
              </w:rPr>
            </w:pPr>
          </w:p>
        </w:tc>
      </w:tr>
      <w:tr w14:paraId="56E9AE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9" w:type="pct"/>
            <w:vMerge w:val="continue"/>
            <w:vAlign w:val="center"/>
          </w:tcPr>
          <w:p w14:paraId="70D5E991">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322" w:type="pct"/>
            <w:gridSpan w:val="3"/>
            <w:vMerge w:val="continue"/>
            <w:vAlign w:val="center"/>
          </w:tcPr>
          <w:p w14:paraId="17FF2BE1">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173" w:type="pct"/>
            <w:vAlign w:val="center"/>
          </w:tcPr>
          <w:p w14:paraId="081A13D6">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含铬污泥</w:t>
            </w:r>
          </w:p>
        </w:tc>
        <w:tc>
          <w:tcPr>
            <w:tcW w:w="1746" w:type="pct"/>
            <w:gridSpan w:val="2"/>
            <w:vMerge w:val="continue"/>
            <w:vAlign w:val="center"/>
          </w:tcPr>
          <w:p w14:paraId="36F322E3">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09" w:type="pct"/>
            <w:vMerge w:val="continue"/>
            <w:vAlign w:val="center"/>
          </w:tcPr>
          <w:p w14:paraId="6375A1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kern w:val="2"/>
                <w:sz w:val="21"/>
                <w:szCs w:val="21"/>
              </w:rPr>
            </w:pPr>
          </w:p>
        </w:tc>
      </w:tr>
      <w:tr w14:paraId="6B7237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9" w:type="pct"/>
            <w:vMerge w:val="continue"/>
            <w:vAlign w:val="center"/>
          </w:tcPr>
          <w:p w14:paraId="62B2EF55">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322" w:type="pct"/>
            <w:gridSpan w:val="3"/>
            <w:vMerge w:val="restart"/>
            <w:vAlign w:val="center"/>
          </w:tcPr>
          <w:p w14:paraId="25F17FC8">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含锌废水处理设施</w:t>
            </w:r>
          </w:p>
        </w:tc>
        <w:tc>
          <w:tcPr>
            <w:tcW w:w="1173" w:type="pct"/>
            <w:vAlign w:val="center"/>
          </w:tcPr>
          <w:p w14:paraId="690E0581">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含锌废活性炭</w:t>
            </w:r>
          </w:p>
        </w:tc>
        <w:tc>
          <w:tcPr>
            <w:tcW w:w="1746" w:type="pct"/>
            <w:gridSpan w:val="2"/>
            <w:vMerge w:val="continue"/>
            <w:vAlign w:val="center"/>
          </w:tcPr>
          <w:p w14:paraId="32920DB0">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09" w:type="pct"/>
            <w:vMerge w:val="continue"/>
            <w:vAlign w:val="center"/>
          </w:tcPr>
          <w:p w14:paraId="5C3E9E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kern w:val="2"/>
                <w:sz w:val="21"/>
                <w:szCs w:val="21"/>
              </w:rPr>
            </w:pPr>
          </w:p>
        </w:tc>
      </w:tr>
      <w:tr w14:paraId="4809B7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9" w:type="pct"/>
            <w:vMerge w:val="continue"/>
            <w:vAlign w:val="center"/>
          </w:tcPr>
          <w:p w14:paraId="200182EA">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322" w:type="pct"/>
            <w:gridSpan w:val="3"/>
            <w:vMerge w:val="continue"/>
            <w:vAlign w:val="center"/>
          </w:tcPr>
          <w:p w14:paraId="3449FF64">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173" w:type="pct"/>
            <w:vAlign w:val="center"/>
          </w:tcPr>
          <w:p w14:paraId="1C235AA4">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含锌废过滤膜</w:t>
            </w:r>
          </w:p>
        </w:tc>
        <w:tc>
          <w:tcPr>
            <w:tcW w:w="1746" w:type="pct"/>
            <w:gridSpan w:val="2"/>
            <w:vMerge w:val="continue"/>
            <w:vAlign w:val="center"/>
          </w:tcPr>
          <w:p w14:paraId="00501E69">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09" w:type="pct"/>
            <w:vMerge w:val="continue"/>
            <w:vAlign w:val="center"/>
          </w:tcPr>
          <w:p w14:paraId="1436ED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kern w:val="2"/>
                <w:sz w:val="21"/>
                <w:szCs w:val="21"/>
              </w:rPr>
            </w:pPr>
          </w:p>
        </w:tc>
      </w:tr>
      <w:tr w14:paraId="6D1D25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9" w:type="pct"/>
            <w:vMerge w:val="continue"/>
            <w:vAlign w:val="center"/>
          </w:tcPr>
          <w:p w14:paraId="7DAB69D3">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322" w:type="pct"/>
            <w:gridSpan w:val="3"/>
            <w:vMerge w:val="continue"/>
            <w:vAlign w:val="center"/>
          </w:tcPr>
          <w:p w14:paraId="51DA86B1">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173" w:type="pct"/>
            <w:vAlign w:val="center"/>
          </w:tcPr>
          <w:p w14:paraId="0E9E1579">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含锌污泥</w:t>
            </w:r>
          </w:p>
        </w:tc>
        <w:tc>
          <w:tcPr>
            <w:tcW w:w="1746" w:type="pct"/>
            <w:gridSpan w:val="2"/>
            <w:vMerge w:val="continue"/>
            <w:vAlign w:val="center"/>
          </w:tcPr>
          <w:p w14:paraId="75E8D9A6">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09" w:type="pct"/>
            <w:vMerge w:val="continue"/>
            <w:vAlign w:val="center"/>
          </w:tcPr>
          <w:p w14:paraId="3DC8350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kern w:val="2"/>
                <w:sz w:val="21"/>
                <w:szCs w:val="21"/>
              </w:rPr>
            </w:pPr>
          </w:p>
        </w:tc>
      </w:tr>
      <w:tr w14:paraId="346806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9" w:type="pct"/>
            <w:vMerge w:val="continue"/>
            <w:vAlign w:val="center"/>
          </w:tcPr>
          <w:p w14:paraId="5A6B826C">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322" w:type="pct"/>
            <w:gridSpan w:val="3"/>
            <w:vMerge w:val="restart"/>
            <w:vAlign w:val="center"/>
          </w:tcPr>
          <w:p w14:paraId="30E3962D">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含高COD废水处理设施</w:t>
            </w:r>
          </w:p>
        </w:tc>
        <w:tc>
          <w:tcPr>
            <w:tcW w:w="1173" w:type="pct"/>
            <w:vAlign w:val="center"/>
          </w:tcPr>
          <w:p w14:paraId="56D5B049">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含铬镍废活性炭</w:t>
            </w:r>
          </w:p>
        </w:tc>
        <w:tc>
          <w:tcPr>
            <w:tcW w:w="1746" w:type="pct"/>
            <w:gridSpan w:val="2"/>
            <w:vMerge w:val="continue"/>
            <w:vAlign w:val="center"/>
          </w:tcPr>
          <w:p w14:paraId="55E18CCA">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09" w:type="pct"/>
            <w:vMerge w:val="continue"/>
            <w:vAlign w:val="center"/>
          </w:tcPr>
          <w:p w14:paraId="492718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kern w:val="2"/>
                <w:sz w:val="21"/>
                <w:szCs w:val="21"/>
              </w:rPr>
            </w:pPr>
          </w:p>
        </w:tc>
      </w:tr>
      <w:tr w14:paraId="3D42F4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9" w:type="pct"/>
            <w:vMerge w:val="continue"/>
            <w:vAlign w:val="center"/>
          </w:tcPr>
          <w:p w14:paraId="1EBECAED">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322" w:type="pct"/>
            <w:gridSpan w:val="3"/>
            <w:vMerge w:val="continue"/>
            <w:vAlign w:val="center"/>
          </w:tcPr>
          <w:p w14:paraId="6D04FB31">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173" w:type="pct"/>
            <w:vAlign w:val="center"/>
          </w:tcPr>
          <w:p w14:paraId="5BE7B35B">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含铬镍废过滤膜</w:t>
            </w:r>
          </w:p>
        </w:tc>
        <w:tc>
          <w:tcPr>
            <w:tcW w:w="1746" w:type="pct"/>
            <w:gridSpan w:val="2"/>
            <w:vMerge w:val="continue"/>
            <w:vAlign w:val="center"/>
          </w:tcPr>
          <w:p w14:paraId="4D9B4B22">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09" w:type="pct"/>
            <w:vMerge w:val="continue"/>
            <w:vAlign w:val="center"/>
          </w:tcPr>
          <w:p w14:paraId="3700D2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kern w:val="2"/>
                <w:sz w:val="21"/>
                <w:szCs w:val="21"/>
              </w:rPr>
            </w:pPr>
          </w:p>
        </w:tc>
      </w:tr>
      <w:tr w14:paraId="7FE548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9" w:type="pct"/>
            <w:vMerge w:val="continue"/>
            <w:vAlign w:val="center"/>
          </w:tcPr>
          <w:p w14:paraId="368D9890">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322" w:type="pct"/>
            <w:gridSpan w:val="3"/>
            <w:vMerge w:val="continue"/>
            <w:vAlign w:val="center"/>
          </w:tcPr>
          <w:p w14:paraId="1381C235">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173" w:type="pct"/>
            <w:vAlign w:val="center"/>
          </w:tcPr>
          <w:p w14:paraId="63D6C33B">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含铬镍污泥</w:t>
            </w:r>
          </w:p>
        </w:tc>
        <w:tc>
          <w:tcPr>
            <w:tcW w:w="1746" w:type="pct"/>
            <w:gridSpan w:val="2"/>
            <w:vMerge w:val="continue"/>
            <w:vAlign w:val="center"/>
          </w:tcPr>
          <w:p w14:paraId="756C87EC">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09" w:type="pct"/>
            <w:vMerge w:val="continue"/>
            <w:vAlign w:val="center"/>
          </w:tcPr>
          <w:p w14:paraId="1CAADB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kern w:val="2"/>
                <w:sz w:val="21"/>
                <w:szCs w:val="21"/>
              </w:rPr>
            </w:pPr>
          </w:p>
        </w:tc>
      </w:tr>
      <w:tr w14:paraId="013A76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9" w:type="pct"/>
            <w:vMerge w:val="continue"/>
            <w:vAlign w:val="center"/>
          </w:tcPr>
          <w:p w14:paraId="0BD9E77D">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322" w:type="pct"/>
            <w:gridSpan w:val="3"/>
            <w:vAlign w:val="center"/>
          </w:tcPr>
          <w:p w14:paraId="3BF2A21C">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蒸发</w:t>
            </w:r>
          </w:p>
        </w:tc>
        <w:tc>
          <w:tcPr>
            <w:tcW w:w="1173" w:type="pct"/>
            <w:vAlign w:val="center"/>
          </w:tcPr>
          <w:p w14:paraId="0996ED63">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蒸发浓液</w:t>
            </w:r>
          </w:p>
        </w:tc>
        <w:tc>
          <w:tcPr>
            <w:tcW w:w="1746" w:type="pct"/>
            <w:gridSpan w:val="2"/>
            <w:vMerge w:val="continue"/>
            <w:vAlign w:val="center"/>
          </w:tcPr>
          <w:p w14:paraId="217D0FCC">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09" w:type="pct"/>
            <w:vMerge w:val="continue"/>
            <w:vAlign w:val="center"/>
          </w:tcPr>
          <w:p w14:paraId="756AEA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kern w:val="2"/>
                <w:sz w:val="21"/>
                <w:szCs w:val="21"/>
              </w:rPr>
            </w:pPr>
          </w:p>
        </w:tc>
      </w:tr>
      <w:tr w14:paraId="136FC7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49" w:type="pct"/>
            <w:vAlign w:val="center"/>
          </w:tcPr>
          <w:p w14:paraId="17D609C6">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噪声</w:t>
            </w:r>
          </w:p>
        </w:tc>
        <w:tc>
          <w:tcPr>
            <w:tcW w:w="1322" w:type="pct"/>
            <w:gridSpan w:val="3"/>
            <w:vAlign w:val="center"/>
          </w:tcPr>
          <w:p w14:paraId="289A5098">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折弯机、车床、铣床、风机等</w:t>
            </w:r>
          </w:p>
        </w:tc>
        <w:tc>
          <w:tcPr>
            <w:tcW w:w="1173" w:type="pct"/>
            <w:vAlign w:val="center"/>
          </w:tcPr>
          <w:p w14:paraId="02B862A5">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机械噪声</w:t>
            </w:r>
          </w:p>
        </w:tc>
        <w:tc>
          <w:tcPr>
            <w:tcW w:w="1746" w:type="pct"/>
            <w:gridSpan w:val="2"/>
            <w:vAlign w:val="center"/>
          </w:tcPr>
          <w:p w14:paraId="21E29CC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kern w:val="2"/>
                <w:sz w:val="21"/>
                <w:szCs w:val="21"/>
              </w:rPr>
            </w:pPr>
            <w:r>
              <w:rPr>
                <w:rFonts w:ascii="Times New Roman" w:hAnsi="Times New Roman" w:eastAsia="宋体" w:cs="Times New Roman"/>
                <w:kern w:val="2"/>
                <w:sz w:val="21"/>
                <w:szCs w:val="21"/>
              </w:rPr>
              <w:t>减振、隔声</w:t>
            </w:r>
          </w:p>
        </w:tc>
        <w:tc>
          <w:tcPr>
            <w:tcW w:w="409" w:type="pct"/>
            <w:vAlign w:val="center"/>
          </w:tcPr>
          <w:p w14:paraId="4B84314C">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10</w:t>
            </w:r>
          </w:p>
        </w:tc>
      </w:tr>
      <w:tr w14:paraId="55915E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590" w:type="pct"/>
            <w:gridSpan w:val="7"/>
            <w:vAlign w:val="center"/>
          </w:tcPr>
          <w:p w14:paraId="683D3AB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rPr>
            </w:pPr>
            <w:r>
              <w:rPr>
                <w:rFonts w:hint="eastAsia" w:ascii="Times New Roman" w:hAnsi="Times New Roman" w:eastAsia="宋体" w:cs="Times New Roman"/>
                <w:kern w:val="2"/>
                <w:sz w:val="21"/>
                <w:szCs w:val="21"/>
                <w:lang w:val="en-US" w:eastAsia="zh-CN"/>
              </w:rPr>
              <w:t>合计</w:t>
            </w:r>
          </w:p>
        </w:tc>
        <w:tc>
          <w:tcPr>
            <w:tcW w:w="409" w:type="pct"/>
            <w:vAlign w:val="center"/>
          </w:tcPr>
          <w:p w14:paraId="29473D45">
            <w:pPr>
              <w:keepNext w:val="0"/>
              <w:keepLines w:val="0"/>
              <w:pageBreakBefore w:val="0"/>
              <w:widowControl w:val="0"/>
              <w:kinsoku/>
              <w:wordWrap/>
              <w:overflowPunct/>
              <w:topLinePunct w:val="0"/>
              <w:autoSpaceDE/>
              <w:autoSpaceDN/>
              <w:bidi w:val="0"/>
              <w:spacing w:line="240" w:lineRule="auto"/>
              <w:ind w:firstLine="0" w:firstLineChars="0"/>
              <w:contextualSpacing/>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2</w:t>
            </w:r>
            <w:r>
              <w:rPr>
                <w:rFonts w:hint="eastAsia" w:cs="Times New Roman"/>
                <w:kern w:val="2"/>
                <w:sz w:val="21"/>
                <w:szCs w:val="21"/>
                <w:lang w:val="en-US" w:eastAsia="zh-CN" w:bidi="ar-SA"/>
              </w:rPr>
              <w:t>9</w:t>
            </w:r>
            <w:r>
              <w:rPr>
                <w:rFonts w:hint="eastAsia" w:ascii="Times New Roman" w:hAnsi="Times New Roman" w:eastAsia="宋体" w:cs="Times New Roman"/>
                <w:kern w:val="2"/>
                <w:sz w:val="21"/>
                <w:szCs w:val="21"/>
                <w:lang w:val="en-US" w:eastAsia="zh-CN" w:bidi="ar-SA"/>
              </w:rPr>
              <w:t>5</w:t>
            </w:r>
          </w:p>
        </w:tc>
      </w:tr>
    </w:tbl>
    <w:p w14:paraId="330CB2AF">
      <w:pPr>
        <w:pStyle w:val="4"/>
        <w:tabs>
          <w:tab w:val="left" w:pos="6544"/>
        </w:tabs>
        <w:ind w:firstLine="562"/>
        <w:rPr>
          <w:rFonts w:cs="Times New Roman"/>
          <w:color w:val="auto"/>
        </w:rPr>
      </w:pPr>
      <w:r>
        <w:rPr>
          <w:rFonts w:cs="Times New Roman"/>
          <w:color w:val="auto"/>
        </w:rPr>
        <w:t>4.2.2环保设施“三同时”落实情况</w:t>
      </w:r>
    </w:p>
    <w:p w14:paraId="35D76BA7">
      <w:pPr>
        <w:ind w:firstLine="480"/>
        <w:rPr>
          <w:rFonts w:cs="Times New Roman"/>
          <w:color w:val="auto"/>
        </w:rPr>
      </w:pPr>
      <w:r>
        <w:rPr>
          <w:rFonts w:cs="Times New Roman"/>
          <w:color w:val="auto"/>
        </w:rPr>
        <w:t>本项目</w:t>
      </w:r>
      <w:r>
        <w:rPr>
          <w:rFonts w:hint="eastAsia" w:cs="Times New Roman"/>
          <w:color w:val="auto"/>
        </w:rPr>
        <w:t>环保设施环评、初步设计、实际建设</w:t>
      </w:r>
      <w:r>
        <w:rPr>
          <w:rFonts w:cs="Times New Roman"/>
          <w:color w:val="auto"/>
        </w:rPr>
        <w:t>情况详见下表。</w:t>
      </w:r>
    </w:p>
    <w:p w14:paraId="422707C7">
      <w:pPr>
        <w:ind w:firstLine="480"/>
        <w:rPr>
          <w:rFonts w:cs="Times New Roman"/>
          <w:color w:val="auto"/>
        </w:rPr>
      </w:pPr>
    </w:p>
    <w:p w14:paraId="15D8C145">
      <w:pPr>
        <w:ind w:firstLine="480"/>
        <w:rPr>
          <w:rFonts w:eastAsia="黑体" w:cs="Times New Roman"/>
          <w:color w:val="auto"/>
        </w:rPr>
      </w:pPr>
      <w:r>
        <w:rPr>
          <w:rFonts w:eastAsia="黑体" w:cs="Times New Roman"/>
          <w:color w:val="auto"/>
        </w:rPr>
        <w:t xml:space="preserve">表4-5                               </w:t>
      </w:r>
      <w:r>
        <w:rPr>
          <w:rFonts w:hint="eastAsia" w:eastAsia="黑体" w:cs="Times New Roman"/>
          <w:color w:val="auto"/>
        </w:rPr>
        <w:t xml:space="preserve">  </w:t>
      </w:r>
      <w:r>
        <w:rPr>
          <w:rFonts w:eastAsia="黑体" w:cs="Times New Roman"/>
          <w:color w:val="auto"/>
        </w:rPr>
        <w:t xml:space="preserve">            </w:t>
      </w:r>
      <w:r>
        <w:rPr>
          <w:rFonts w:hint="eastAsia" w:eastAsia="黑体" w:cs="Times New Roman"/>
          <w:color w:val="auto"/>
          <w:lang w:val="en-US" w:eastAsia="zh-CN"/>
        </w:rPr>
        <w:t xml:space="preserve">         </w:t>
      </w:r>
      <w:r>
        <w:rPr>
          <w:rFonts w:eastAsia="黑体" w:cs="Times New Roman"/>
          <w:color w:val="auto"/>
        </w:rPr>
        <w:t xml:space="preserve">               工程污染防治措施汇总</w:t>
      </w:r>
    </w:p>
    <w:tbl>
      <w:tblPr>
        <w:tblStyle w:val="26"/>
        <w:tblW w:w="5172" w:type="pct"/>
        <w:tblInd w:w="-303"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77"/>
        <w:gridCol w:w="914"/>
        <w:gridCol w:w="391"/>
        <w:gridCol w:w="1927"/>
        <w:gridCol w:w="2100"/>
        <w:gridCol w:w="1440"/>
        <w:gridCol w:w="2025"/>
        <w:gridCol w:w="1889"/>
        <w:gridCol w:w="1675"/>
        <w:gridCol w:w="1524"/>
      </w:tblGrid>
      <w:tr w14:paraId="4C0830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264" w:type="pct"/>
            <w:vAlign w:val="center"/>
          </w:tcPr>
          <w:p w14:paraId="02DBBBB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b/>
                <w:color w:val="auto"/>
                <w:kern w:val="2"/>
                <w:sz w:val="21"/>
                <w:szCs w:val="21"/>
                <w:lang w:val="en-US" w:eastAsia="zh-CN" w:bidi="ar-SA"/>
              </w:rPr>
            </w:pPr>
            <w:r>
              <w:rPr>
                <w:rFonts w:ascii="Times New Roman" w:hAnsi="Times New Roman" w:eastAsia="宋体" w:cs="Times New Roman"/>
                <w:b/>
                <w:color w:val="auto"/>
                <w:kern w:val="2"/>
                <w:sz w:val="21"/>
                <w:szCs w:val="21"/>
                <w:lang w:val="en-US" w:eastAsia="zh-CN" w:bidi="ar-SA"/>
              </w:rPr>
              <w:t>项目</w:t>
            </w:r>
          </w:p>
        </w:tc>
        <w:tc>
          <w:tcPr>
            <w:tcW w:w="1102" w:type="pct"/>
            <w:gridSpan w:val="3"/>
            <w:vAlign w:val="center"/>
          </w:tcPr>
          <w:p w14:paraId="4790A4E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b/>
                <w:color w:val="auto"/>
                <w:kern w:val="2"/>
                <w:sz w:val="21"/>
                <w:szCs w:val="21"/>
                <w:lang w:val="en-US" w:eastAsia="zh-CN" w:bidi="ar-SA"/>
              </w:rPr>
            </w:pPr>
            <w:r>
              <w:rPr>
                <w:rFonts w:ascii="Times New Roman" w:hAnsi="Times New Roman" w:eastAsia="宋体" w:cs="Times New Roman"/>
                <w:b/>
                <w:color w:val="auto"/>
                <w:kern w:val="2"/>
                <w:sz w:val="21"/>
                <w:szCs w:val="21"/>
                <w:lang w:val="en-US" w:eastAsia="zh-CN" w:bidi="ar-SA"/>
              </w:rPr>
              <w:t>产污环节</w:t>
            </w:r>
          </w:p>
        </w:tc>
        <w:tc>
          <w:tcPr>
            <w:tcW w:w="716" w:type="pct"/>
            <w:vAlign w:val="center"/>
          </w:tcPr>
          <w:p w14:paraId="715E782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b/>
                <w:color w:val="auto"/>
                <w:kern w:val="2"/>
                <w:sz w:val="21"/>
                <w:szCs w:val="21"/>
                <w:lang w:val="en-US" w:eastAsia="zh-CN" w:bidi="ar-SA"/>
              </w:rPr>
            </w:pPr>
            <w:r>
              <w:rPr>
                <w:rFonts w:ascii="Times New Roman" w:hAnsi="Times New Roman" w:eastAsia="宋体" w:cs="Times New Roman"/>
                <w:b/>
                <w:color w:val="auto"/>
                <w:kern w:val="2"/>
                <w:sz w:val="21"/>
                <w:szCs w:val="21"/>
                <w:lang w:val="en-US" w:eastAsia="zh-CN" w:bidi="ar-SA"/>
              </w:rPr>
              <w:t>主要污染物</w:t>
            </w:r>
          </w:p>
        </w:tc>
        <w:tc>
          <w:tcPr>
            <w:tcW w:w="1181" w:type="pct"/>
            <w:gridSpan w:val="2"/>
            <w:vAlign w:val="center"/>
          </w:tcPr>
          <w:p w14:paraId="73D6F45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b/>
                <w:color w:val="auto"/>
                <w:kern w:val="2"/>
                <w:sz w:val="21"/>
                <w:szCs w:val="21"/>
                <w:lang w:val="en-US" w:eastAsia="zh-CN" w:bidi="ar-SA"/>
              </w:rPr>
            </w:pPr>
            <w:r>
              <w:rPr>
                <w:rFonts w:ascii="Times New Roman" w:hAnsi="Times New Roman" w:eastAsia="宋体" w:cs="Times New Roman"/>
                <w:b/>
                <w:color w:val="auto"/>
                <w:kern w:val="2"/>
                <w:sz w:val="21"/>
                <w:szCs w:val="21"/>
                <w:lang w:val="en-US" w:eastAsia="zh-CN" w:bidi="ar-SA"/>
              </w:rPr>
              <w:t>环评治理措施</w:t>
            </w:r>
          </w:p>
        </w:tc>
        <w:tc>
          <w:tcPr>
            <w:tcW w:w="1215" w:type="pct"/>
            <w:gridSpan w:val="2"/>
            <w:vAlign w:val="center"/>
          </w:tcPr>
          <w:p w14:paraId="235575C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b/>
                <w:color w:val="auto"/>
                <w:kern w:val="2"/>
                <w:sz w:val="21"/>
                <w:szCs w:val="21"/>
                <w:lang w:val="en-US" w:eastAsia="zh-CN" w:bidi="ar-SA"/>
              </w:rPr>
            </w:pPr>
            <w:r>
              <w:rPr>
                <w:rFonts w:ascii="Times New Roman" w:hAnsi="Times New Roman" w:eastAsia="宋体" w:cs="Times New Roman"/>
                <w:b/>
                <w:bCs/>
                <w:color w:val="auto"/>
                <w:kern w:val="2"/>
                <w:sz w:val="21"/>
                <w:szCs w:val="21"/>
                <w:lang w:val="en-US" w:eastAsia="zh-CN" w:bidi="ar-SA"/>
              </w:rPr>
              <w:t>本期实际措施</w:t>
            </w:r>
          </w:p>
        </w:tc>
        <w:tc>
          <w:tcPr>
            <w:tcW w:w="519" w:type="pct"/>
            <w:vAlign w:val="center"/>
          </w:tcPr>
          <w:p w14:paraId="3949F33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b/>
                <w:bCs/>
                <w:color w:val="auto"/>
                <w:kern w:val="2"/>
                <w:sz w:val="21"/>
                <w:szCs w:val="21"/>
                <w:lang w:val="en-US" w:eastAsia="zh-CN" w:bidi="ar-SA"/>
              </w:rPr>
            </w:pPr>
            <w:r>
              <w:rPr>
                <w:rFonts w:hint="eastAsia" w:ascii="Times New Roman" w:hAnsi="Times New Roman" w:eastAsia="宋体" w:cs="Times New Roman"/>
                <w:b/>
                <w:bCs/>
                <w:color w:val="auto"/>
                <w:kern w:val="2"/>
                <w:sz w:val="21"/>
                <w:szCs w:val="21"/>
                <w:lang w:val="en-US" w:eastAsia="zh-CN" w:bidi="ar-SA"/>
              </w:rPr>
              <w:t>落实“三同时”情况</w:t>
            </w:r>
          </w:p>
        </w:tc>
      </w:tr>
      <w:tr w14:paraId="558B10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4" w:type="pct"/>
            <w:vMerge w:val="restart"/>
            <w:vAlign w:val="center"/>
          </w:tcPr>
          <w:p w14:paraId="61BB718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废气</w:t>
            </w:r>
          </w:p>
        </w:tc>
        <w:tc>
          <w:tcPr>
            <w:tcW w:w="311" w:type="pct"/>
            <w:vMerge w:val="restart"/>
            <w:vAlign w:val="center"/>
          </w:tcPr>
          <w:p w14:paraId="36F0B0C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挂镀锌</w:t>
            </w:r>
          </w:p>
        </w:tc>
        <w:tc>
          <w:tcPr>
            <w:tcW w:w="790" w:type="pct"/>
            <w:gridSpan w:val="2"/>
            <w:vAlign w:val="center"/>
          </w:tcPr>
          <w:p w14:paraId="5FE330D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酸洗、活化</w:t>
            </w:r>
          </w:p>
        </w:tc>
        <w:tc>
          <w:tcPr>
            <w:tcW w:w="716" w:type="pct"/>
            <w:vAlign w:val="center"/>
          </w:tcPr>
          <w:p w14:paraId="54B7FA4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bCs/>
                <w:kern w:val="2"/>
                <w:sz w:val="21"/>
                <w:szCs w:val="21"/>
                <w:lang w:val="en-US" w:eastAsia="zh-CN" w:bidi="ar-SA"/>
              </w:rPr>
            </w:pPr>
            <w:r>
              <w:rPr>
                <w:rFonts w:ascii="Times New Roman" w:hAnsi="Times New Roman" w:eastAsia="宋体" w:cs="Times New Roman"/>
                <w:kern w:val="2"/>
                <w:sz w:val="21"/>
                <w:szCs w:val="21"/>
                <w:lang w:val="en-US" w:eastAsia="zh-CN" w:bidi="ar-SA"/>
              </w:rPr>
              <w:t>氯化氢</w:t>
            </w:r>
          </w:p>
        </w:tc>
        <w:tc>
          <w:tcPr>
            <w:tcW w:w="1181" w:type="pct"/>
            <w:gridSpan w:val="2"/>
            <w:vMerge w:val="restart"/>
            <w:vAlign w:val="center"/>
          </w:tcPr>
          <w:p w14:paraId="462E19C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两级酸雾吸收塔1#+15m排气筒DA003；新建</w:t>
            </w:r>
          </w:p>
        </w:tc>
        <w:tc>
          <w:tcPr>
            <w:tcW w:w="1215" w:type="pct"/>
            <w:gridSpan w:val="2"/>
            <w:vMerge w:val="restart"/>
            <w:vAlign w:val="center"/>
          </w:tcPr>
          <w:p w14:paraId="1CBB4EE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hint="eastAsia"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两级酸雾吸收塔+15m排气筒DA00</w:t>
            </w:r>
            <w:r>
              <w:rPr>
                <w:rFonts w:hint="eastAsia" w:ascii="Times New Roman" w:hAnsi="Times New Roman" w:eastAsia="宋体" w:cs="Times New Roman"/>
                <w:kern w:val="2"/>
                <w:sz w:val="21"/>
                <w:szCs w:val="21"/>
                <w:lang w:val="en-US" w:eastAsia="zh-CN" w:bidi="ar-SA"/>
              </w:rPr>
              <w:t>6</w:t>
            </w:r>
            <w:r>
              <w:rPr>
                <w:rFonts w:hint="eastAsia" w:ascii="Times New Roman" w:hAnsi="Times New Roman" w:eastAsia="宋体" w:cs="Times New Roman"/>
                <w:kern w:val="2"/>
                <w:sz w:val="21"/>
                <w:szCs w:val="21"/>
                <w:lang w:eastAsia="zh-CN"/>
              </w:rPr>
              <w:t>；</w:t>
            </w:r>
            <w:r>
              <w:rPr>
                <w:rFonts w:ascii="Times New Roman" w:hAnsi="Times New Roman" w:eastAsia="宋体" w:cs="Times New Roman"/>
                <w:kern w:val="2"/>
                <w:sz w:val="21"/>
                <w:szCs w:val="21"/>
              </w:rPr>
              <w:t>新建</w:t>
            </w:r>
          </w:p>
        </w:tc>
        <w:tc>
          <w:tcPr>
            <w:tcW w:w="519" w:type="pct"/>
            <w:vMerge w:val="restart"/>
            <w:vAlign w:val="center"/>
          </w:tcPr>
          <w:p w14:paraId="761E832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已落实</w:t>
            </w:r>
          </w:p>
        </w:tc>
      </w:tr>
      <w:tr w14:paraId="7ACA8D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4" w:type="pct"/>
            <w:vMerge w:val="continue"/>
            <w:vAlign w:val="center"/>
          </w:tcPr>
          <w:p w14:paraId="75260FE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311" w:type="pct"/>
            <w:vMerge w:val="continue"/>
            <w:vAlign w:val="center"/>
          </w:tcPr>
          <w:p w14:paraId="7D32E83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790" w:type="pct"/>
            <w:gridSpan w:val="2"/>
            <w:vAlign w:val="center"/>
          </w:tcPr>
          <w:p w14:paraId="59E359E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出光</w:t>
            </w:r>
          </w:p>
        </w:tc>
        <w:tc>
          <w:tcPr>
            <w:tcW w:w="716" w:type="pct"/>
            <w:vAlign w:val="center"/>
          </w:tcPr>
          <w:p w14:paraId="3ADF507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硝酸雾（以NOx计）</w:t>
            </w:r>
          </w:p>
        </w:tc>
        <w:tc>
          <w:tcPr>
            <w:tcW w:w="1181" w:type="pct"/>
            <w:gridSpan w:val="2"/>
            <w:vMerge w:val="continue"/>
            <w:vAlign w:val="center"/>
          </w:tcPr>
          <w:p w14:paraId="383AD76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215" w:type="pct"/>
            <w:gridSpan w:val="2"/>
            <w:vMerge w:val="continue"/>
            <w:vAlign w:val="center"/>
          </w:tcPr>
          <w:p w14:paraId="2F6487C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519" w:type="pct"/>
            <w:vMerge w:val="continue"/>
            <w:vAlign w:val="center"/>
          </w:tcPr>
          <w:p w14:paraId="394323C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r>
      <w:tr w14:paraId="6580CE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4" w:type="pct"/>
            <w:vMerge w:val="continue"/>
            <w:vAlign w:val="center"/>
          </w:tcPr>
          <w:p w14:paraId="1E30611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311" w:type="pct"/>
            <w:vMerge w:val="continue"/>
            <w:vAlign w:val="center"/>
          </w:tcPr>
          <w:p w14:paraId="30AF37D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790" w:type="pct"/>
            <w:gridSpan w:val="2"/>
            <w:vAlign w:val="center"/>
          </w:tcPr>
          <w:p w14:paraId="0AB2BF5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钝化</w:t>
            </w:r>
          </w:p>
        </w:tc>
        <w:tc>
          <w:tcPr>
            <w:tcW w:w="716" w:type="pct"/>
            <w:vAlign w:val="center"/>
          </w:tcPr>
          <w:p w14:paraId="48CB3FE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铬酸雾</w:t>
            </w:r>
          </w:p>
        </w:tc>
        <w:tc>
          <w:tcPr>
            <w:tcW w:w="1181" w:type="pct"/>
            <w:gridSpan w:val="2"/>
            <w:vMerge w:val="continue"/>
            <w:vAlign w:val="center"/>
          </w:tcPr>
          <w:p w14:paraId="29EF711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215" w:type="pct"/>
            <w:gridSpan w:val="2"/>
            <w:vMerge w:val="continue"/>
            <w:vAlign w:val="center"/>
          </w:tcPr>
          <w:p w14:paraId="1D55E80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519" w:type="pct"/>
            <w:vMerge w:val="continue"/>
            <w:vAlign w:val="center"/>
          </w:tcPr>
          <w:p w14:paraId="32EA5B0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r>
      <w:tr w14:paraId="511671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397" w:hRule="atLeast"/>
        </w:trPr>
        <w:tc>
          <w:tcPr>
            <w:tcW w:w="264" w:type="pct"/>
            <w:vMerge w:val="continue"/>
            <w:vAlign w:val="center"/>
          </w:tcPr>
          <w:p w14:paraId="47CB4D4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311" w:type="pct"/>
            <w:vMerge w:val="continue"/>
            <w:vAlign w:val="center"/>
          </w:tcPr>
          <w:p w14:paraId="7DAA127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790" w:type="pct"/>
            <w:gridSpan w:val="2"/>
            <w:vAlign w:val="center"/>
          </w:tcPr>
          <w:p w14:paraId="57C0AD9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槽液调配</w:t>
            </w:r>
          </w:p>
        </w:tc>
        <w:tc>
          <w:tcPr>
            <w:tcW w:w="716" w:type="pct"/>
            <w:vAlign w:val="center"/>
          </w:tcPr>
          <w:p w14:paraId="78F4FE6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氯化氢、硝酸雾（以NOx计）</w:t>
            </w:r>
          </w:p>
        </w:tc>
        <w:tc>
          <w:tcPr>
            <w:tcW w:w="1181" w:type="pct"/>
            <w:gridSpan w:val="2"/>
            <w:vMerge w:val="continue"/>
            <w:vAlign w:val="center"/>
          </w:tcPr>
          <w:p w14:paraId="0780900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215" w:type="pct"/>
            <w:gridSpan w:val="2"/>
            <w:vMerge w:val="continue"/>
            <w:vAlign w:val="center"/>
          </w:tcPr>
          <w:p w14:paraId="289DE39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519" w:type="pct"/>
            <w:vMerge w:val="continue"/>
            <w:vAlign w:val="center"/>
          </w:tcPr>
          <w:p w14:paraId="554FD67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r>
      <w:tr w14:paraId="25F059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4" w:type="pct"/>
            <w:vMerge w:val="continue"/>
            <w:vAlign w:val="center"/>
          </w:tcPr>
          <w:p w14:paraId="02C7917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311" w:type="pct"/>
            <w:vAlign w:val="center"/>
          </w:tcPr>
          <w:p w14:paraId="0C3478C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退锌线</w:t>
            </w:r>
          </w:p>
        </w:tc>
        <w:tc>
          <w:tcPr>
            <w:tcW w:w="790" w:type="pct"/>
            <w:gridSpan w:val="2"/>
            <w:vAlign w:val="center"/>
          </w:tcPr>
          <w:p w14:paraId="4AEF40E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退镀</w:t>
            </w:r>
          </w:p>
        </w:tc>
        <w:tc>
          <w:tcPr>
            <w:tcW w:w="716" w:type="pct"/>
            <w:vAlign w:val="center"/>
          </w:tcPr>
          <w:p w14:paraId="08C803F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氯化氢</w:t>
            </w:r>
          </w:p>
        </w:tc>
        <w:tc>
          <w:tcPr>
            <w:tcW w:w="1181" w:type="pct"/>
            <w:gridSpan w:val="2"/>
            <w:vMerge w:val="continue"/>
            <w:vAlign w:val="center"/>
          </w:tcPr>
          <w:p w14:paraId="738BA94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215" w:type="pct"/>
            <w:gridSpan w:val="2"/>
            <w:vMerge w:val="continue"/>
            <w:vAlign w:val="center"/>
          </w:tcPr>
          <w:p w14:paraId="537681D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519" w:type="pct"/>
            <w:vMerge w:val="continue"/>
            <w:vAlign w:val="center"/>
          </w:tcPr>
          <w:p w14:paraId="095FAF4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r>
      <w:tr w14:paraId="17F0B8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4" w:type="pct"/>
            <w:vMerge w:val="continue"/>
            <w:vAlign w:val="center"/>
          </w:tcPr>
          <w:p w14:paraId="1A30ECD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311" w:type="pct"/>
            <w:vMerge w:val="restart"/>
            <w:vAlign w:val="center"/>
          </w:tcPr>
          <w:p w14:paraId="021263C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1#钢带</w:t>
            </w:r>
          </w:p>
        </w:tc>
        <w:tc>
          <w:tcPr>
            <w:tcW w:w="790" w:type="pct"/>
            <w:gridSpan w:val="2"/>
            <w:vAlign w:val="center"/>
          </w:tcPr>
          <w:p w14:paraId="5027695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活化</w:t>
            </w:r>
          </w:p>
        </w:tc>
        <w:tc>
          <w:tcPr>
            <w:tcW w:w="716" w:type="pct"/>
            <w:vAlign w:val="center"/>
          </w:tcPr>
          <w:p w14:paraId="0889ABD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bCs/>
                <w:kern w:val="2"/>
                <w:sz w:val="21"/>
                <w:szCs w:val="21"/>
                <w:lang w:val="en-US" w:eastAsia="zh-CN" w:bidi="ar-SA"/>
              </w:rPr>
            </w:pPr>
            <w:r>
              <w:rPr>
                <w:rFonts w:ascii="Times New Roman" w:hAnsi="Times New Roman" w:eastAsia="宋体" w:cs="Times New Roman"/>
                <w:kern w:val="2"/>
                <w:sz w:val="21"/>
                <w:szCs w:val="21"/>
                <w:lang w:val="en-US" w:eastAsia="zh-CN" w:bidi="ar-SA"/>
              </w:rPr>
              <w:t>硫酸雾</w:t>
            </w:r>
          </w:p>
        </w:tc>
        <w:tc>
          <w:tcPr>
            <w:tcW w:w="1181" w:type="pct"/>
            <w:gridSpan w:val="2"/>
            <w:vMerge w:val="continue"/>
            <w:vAlign w:val="center"/>
          </w:tcPr>
          <w:p w14:paraId="352AD1B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215" w:type="pct"/>
            <w:gridSpan w:val="2"/>
            <w:vMerge w:val="restart"/>
            <w:vAlign w:val="center"/>
          </w:tcPr>
          <w:p w14:paraId="320B888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kern w:val="2"/>
                <w:sz w:val="21"/>
                <w:szCs w:val="21"/>
              </w:rPr>
            </w:pPr>
            <w:r>
              <w:rPr>
                <w:rFonts w:ascii="Times New Roman" w:hAnsi="Times New Roman" w:eastAsia="宋体" w:cs="Times New Roman"/>
                <w:kern w:val="2"/>
                <w:sz w:val="21"/>
                <w:szCs w:val="21"/>
              </w:rPr>
              <w:t>两级酸雾吸收塔+15m排气筒DA003（依托现有钢帽镀镍生产线废气处理系统）</w:t>
            </w:r>
          </w:p>
        </w:tc>
        <w:tc>
          <w:tcPr>
            <w:tcW w:w="519" w:type="pct"/>
            <w:vMerge w:val="restart"/>
            <w:vAlign w:val="center"/>
          </w:tcPr>
          <w:p w14:paraId="306F023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已落实</w:t>
            </w:r>
          </w:p>
        </w:tc>
      </w:tr>
      <w:tr w14:paraId="59F9FD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4" w:type="pct"/>
            <w:vMerge w:val="continue"/>
            <w:vAlign w:val="center"/>
          </w:tcPr>
          <w:p w14:paraId="641506B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311" w:type="pct"/>
            <w:vMerge w:val="continue"/>
            <w:vAlign w:val="center"/>
          </w:tcPr>
          <w:p w14:paraId="7C414C4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790" w:type="pct"/>
            <w:gridSpan w:val="2"/>
            <w:vAlign w:val="center"/>
          </w:tcPr>
          <w:p w14:paraId="504FF10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槽液调配</w:t>
            </w:r>
          </w:p>
        </w:tc>
        <w:tc>
          <w:tcPr>
            <w:tcW w:w="716" w:type="pct"/>
            <w:vAlign w:val="center"/>
          </w:tcPr>
          <w:p w14:paraId="2E9C6A4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硫酸雾</w:t>
            </w:r>
          </w:p>
        </w:tc>
        <w:tc>
          <w:tcPr>
            <w:tcW w:w="1181" w:type="pct"/>
            <w:gridSpan w:val="2"/>
            <w:vMerge w:val="continue"/>
            <w:vAlign w:val="center"/>
          </w:tcPr>
          <w:p w14:paraId="0859A69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215" w:type="pct"/>
            <w:gridSpan w:val="2"/>
            <w:vMerge w:val="continue"/>
            <w:vAlign w:val="center"/>
          </w:tcPr>
          <w:p w14:paraId="1EE9558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519" w:type="pct"/>
            <w:vMerge w:val="continue"/>
            <w:vAlign w:val="center"/>
          </w:tcPr>
          <w:p w14:paraId="229B232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r>
      <w:tr w14:paraId="46DE75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4" w:type="pct"/>
            <w:vMerge w:val="continue"/>
            <w:vAlign w:val="center"/>
          </w:tcPr>
          <w:p w14:paraId="7DA58BD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311" w:type="pct"/>
            <w:vMerge w:val="restart"/>
            <w:vAlign w:val="center"/>
          </w:tcPr>
          <w:p w14:paraId="3861CE7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2#钢带</w:t>
            </w:r>
          </w:p>
        </w:tc>
        <w:tc>
          <w:tcPr>
            <w:tcW w:w="790" w:type="pct"/>
            <w:gridSpan w:val="2"/>
            <w:vAlign w:val="center"/>
          </w:tcPr>
          <w:p w14:paraId="594B07B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活化</w:t>
            </w:r>
          </w:p>
        </w:tc>
        <w:tc>
          <w:tcPr>
            <w:tcW w:w="716" w:type="pct"/>
            <w:vAlign w:val="center"/>
          </w:tcPr>
          <w:p w14:paraId="431BF47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bCs/>
                <w:kern w:val="2"/>
                <w:sz w:val="21"/>
                <w:szCs w:val="21"/>
                <w:lang w:val="en-US" w:eastAsia="zh-CN" w:bidi="ar-SA"/>
              </w:rPr>
            </w:pPr>
            <w:r>
              <w:rPr>
                <w:rFonts w:ascii="Times New Roman" w:hAnsi="Times New Roman" w:eastAsia="宋体" w:cs="Times New Roman"/>
                <w:kern w:val="2"/>
                <w:sz w:val="21"/>
                <w:szCs w:val="21"/>
                <w:lang w:val="en-US" w:eastAsia="zh-CN" w:bidi="ar-SA"/>
              </w:rPr>
              <w:t>硫酸雾</w:t>
            </w:r>
          </w:p>
        </w:tc>
        <w:tc>
          <w:tcPr>
            <w:tcW w:w="1181" w:type="pct"/>
            <w:gridSpan w:val="2"/>
            <w:vMerge w:val="continue"/>
            <w:vAlign w:val="center"/>
          </w:tcPr>
          <w:p w14:paraId="3493193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215" w:type="pct"/>
            <w:gridSpan w:val="2"/>
            <w:vMerge w:val="restart"/>
            <w:vAlign w:val="center"/>
          </w:tcPr>
          <w:p w14:paraId="2F8E60A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kern w:val="2"/>
                <w:sz w:val="21"/>
                <w:szCs w:val="21"/>
              </w:rPr>
            </w:pPr>
            <w:r>
              <w:rPr>
                <w:rFonts w:ascii="Times New Roman" w:hAnsi="Times New Roman" w:eastAsia="宋体" w:cs="Times New Roman"/>
                <w:kern w:val="2"/>
                <w:sz w:val="21"/>
                <w:szCs w:val="21"/>
              </w:rPr>
              <w:t>两级酸雾吸收塔+15m排气筒DA004</w:t>
            </w:r>
            <w:r>
              <w:rPr>
                <w:rFonts w:hint="eastAsia" w:ascii="Times New Roman" w:hAnsi="Times New Roman" w:eastAsia="宋体" w:cs="Times New Roman"/>
                <w:kern w:val="2"/>
                <w:sz w:val="21"/>
                <w:szCs w:val="21"/>
                <w:lang w:eastAsia="zh-CN"/>
              </w:rPr>
              <w:t>；</w:t>
            </w:r>
            <w:r>
              <w:rPr>
                <w:rFonts w:ascii="Times New Roman" w:hAnsi="Times New Roman" w:eastAsia="宋体" w:cs="Times New Roman"/>
                <w:kern w:val="2"/>
                <w:sz w:val="21"/>
                <w:szCs w:val="21"/>
              </w:rPr>
              <w:t>新建</w:t>
            </w:r>
          </w:p>
        </w:tc>
        <w:tc>
          <w:tcPr>
            <w:tcW w:w="519" w:type="pct"/>
            <w:vMerge w:val="restart"/>
            <w:vAlign w:val="center"/>
          </w:tcPr>
          <w:p w14:paraId="5F82BC1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已落实</w:t>
            </w:r>
          </w:p>
        </w:tc>
      </w:tr>
      <w:tr w14:paraId="11CA23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4" w:type="pct"/>
            <w:vMerge w:val="continue"/>
            <w:vAlign w:val="center"/>
          </w:tcPr>
          <w:p w14:paraId="2BCED5F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311" w:type="pct"/>
            <w:vMerge w:val="continue"/>
            <w:vAlign w:val="center"/>
          </w:tcPr>
          <w:p w14:paraId="6C3E4D8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790" w:type="pct"/>
            <w:gridSpan w:val="2"/>
            <w:vAlign w:val="center"/>
          </w:tcPr>
          <w:p w14:paraId="1C16DAC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槽液调配</w:t>
            </w:r>
          </w:p>
        </w:tc>
        <w:tc>
          <w:tcPr>
            <w:tcW w:w="716" w:type="pct"/>
            <w:vAlign w:val="center"/>
          </w:tcPr>
          <w:p w14:paraId="3B89255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硫酸雾</w:t>
            </w:r>
          </w:p>
        </w:tc>
        <w:tc>
          <w:tcPr>
            <w:tcW w:w="1181" w:type="pct"/>
            <w:gridSpan w:val="2"/>
            <w:vMerge w:val="continue"/>
            <w:vAlign w:val="center"/>
          </w:tcPr>
          <w:p w14:paraId="612FE43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215" w:type="pct"/>
            <w:gridSpan w:val="2"/>
            <w:vMerge w:val="continue"/>
            <w:vAlign w:val="center"/>
          </w:tcPr>
          <w:p w14:paraId="37E9FCB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519" w:type="pct"/>
            <w:vMerge w:val="continue"/>
            <w:vAlign w:val="center"/>
          </w:tcPr>
          <w:p w14:paraId="542EF10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r>
      <w:tr w14:paraId="3856C1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4" w:type="pct"/>
            <w:vMerge w:val="continue"/>
            <w:vAlign w:val="center"/>
          </w:tcPr>
          <w:p w14:paraId="6CC06D3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311" w:type="pct"/>
            <w:vMerge w:val="restart"/>
            <w:shd w:val="clear" w:color="auto" w:fill="auto"/>
            <w:vAlign w:val="center"/>
          </w:tcPr>
          <w:p w14:paraId="6423F06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3</w:t>
            </w:r>
            <w:r>
              <w:rPr>
                <w:rFonts w:ascii="Times New Roman" w:hAnsi="Times New Roman" w:eastAsia="宋体" w:cs="Times New Roman"/>
                <w:kern w:val="2"/>
                <w:sz w:val="21"/>
                <w:szCs w:val="21"/>
                <w:lang w:val="en-US" w:eastAsia="zh-CN" w:bidi="ar-SA"/>
              </w:rPr>
              <w:t>#钢带</w:t>
            </w:r>
          </w:p>
        </w:tc>
        <w:tc>
          <w:tcPr>
            <w:tcW w:w="790" w:type="pct"/>
            <w:gridSpan w:val="2"/>
            <w:shd w:val="clear" w:color="auto" w:fill="auto"/>
            <w:vAlign w:val="center"/>
          </w:tcPr>
          <w:p w14:paraId="1F8DC1F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活化</w:t>
            </w:r>
          </w:p>
        </w:tc>
        <w:tc>
          <w:tcPr>
            <w:tcW w:w="716" w:type="pct"/>
            <w:shd w:val="clear" w:color="auto" w:fill="auto"/>
            <w:vAlign w:val="center"/>
          </w:tcPr>
          <w:p w14:paraId="0CE3CF9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bCs/>
                <w:kern w:val="2"/>
                <w:sz w:val="21"/>
                <w:szCs w:val="21"/>
                <w:lang w:val="en-US" w:eastAsia="zh-CN" w:bidi="ar-SA"/>
              </w:rPr>
            </w:pPr>
            <w:r>
              <w:rPr>
                <w:rFonts w:ascii="Times New Roman" w:hAnsi="Times New Roman" w:eastAsia="宋体" w:cs="Times New Roman"/>
                <w:kern w:val="2"/>
                <w:sz w:val="21"/>
                <w:szCs w:val="21"/>
                <w:lang w:val="en-US" w:eastAsia="zh-CN" w:bidi="ar-SA"/>
              </w:rPr>
              <w:t>硫酸雾</w:t>
            </w:r>
          </w:p>
        </w:tc>
        <w:tc>
          <w:tcPr>
            <w:tcW w:w="1181" w:type="pct"/>
            <w:gridSpan w:val="2"/>
            <w:vMerge w:val="continue"/>
            <w:vAlign w:val="center"/>
          </w:tcPr>
          <w:p w14:paraId="5B03C03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215" w:type="pct"/>
            <w:gridSpan w:val="2"/>
            <w:vMerge w:val="restart"/>
            <w:shd w:val="clear" w:color="auto" w:fill="auto"/>
            <w:vAlign w:val="center"/>
          </w:tcPr>
          <w:p w14:paraId="2508E9F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rPr>
              <w:t>两级酸雾吸收塔+15m排气筒DA00</w:t>
            </w:r>
            <w:r>
              <w:rPr>
                <w:rFonts w:hint="eastAsia" w:ascii="Times New Roman" w:hAnsi="Times New Roman" w:eastAsia="宋体" w:cs="Times New Roman"/>
                <w:kern w:val="2"/>
                <w:sz w:val="21"/>
                <w:szCs w:val="21"/>
                <w:lang w:val="en-US" w:eastAsia="zh-CN"/>
              </w:rPr>
              <w:t>5</w:t>
            </w:r>
            <w:r>
              <w:rPr>
                <w:rFonts w:hint="eastAsia" w:ascii="Times New Roman" w:hAnsi="Times New Roman" w:eastAsia="宋体" w:cs="Times New Roman"/>
                <w:kern w:val="2"/>
                <w:sz w:val="21"/>
                <w:szCs w:val="21"/>
                <w:lang w:eastAsia="zh-CN"/>
              </w:rPr>
              <w:t>；</w:t>
            </w:r>
            <w:r>
              <w:rPr>
                <w:rFonts w:ascii="Times New Roman" w:hAnsi="Times New Roman" w:eastAsia="宋体" w:cs="Times New Roman"/>
                <w:kern w:val="2"/>
                <w:sz w:val="21"/>
                <w:szCs w:val="21"/>
              </w:rPr>
              <w:t>新建</w:t>
            </w:r>
          </w:p>
        </w:tc>
        <w:tc>
          <w:tcPr>
            <w:tcW w:w="519" w:type="pct"/>
            <w:vMerge w:val="restart"/>
            <w:shd w:val="clear" w:color="auto" w:fill="auto"/>
            <w:vAlign w:val="center"/>
          </w:tcPr>
          <w:p w14:paraId="2513066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已落实</w:t>
            </w:r>
          </w:p>
        </w:tc>
      </w:tr>
      <w:tr w14:paraId="2AF8B5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4" w:type="pct"/>
            <w:vMerge w:val="continue"/>
            <w:vAlign w:val="center"/>
          </w:tcPr>
          <w:p w14:paraId="6F86A6A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311" w:type="pct"/>
            <w:vMerge w:val="continue"/>
            <w:vAlign w:val="center"/>
          </w:tcPr>
          <w:p w14:paraId="46A3850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790" w:type="pct"/>
            <w:gridSpan w:val="2"/>
            <w:shd w:val="clear" w:color="auto" w:fill="auto"/>
            <w:vAlign w:val="center"/>
          </w:tcPr>
          <w:p w14:paraId="434B04C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槽液调配</w:t>
            </w:r>
          </w:p>
        </w:tc>
        <w:tc>
          <w:tcPr>
            <w:tcW w:w="716" w:type="pct"/>
            <w:shd w:val="clear" w:color="auto" w:fill="auto"/>
            <w:vAlign w:val="center"/>
          </w:tcPr>
          <w:p w14:paraId="5CBABB3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硫酸雾</w:t>
            </w:r>
          </w:p>
        </w:tc>
        <w:tc>
          <w:tcPr>
            <w:tcW w:w="1181" w:type="pct"/>
            <w:gridSpan w:val="2"/>
            <w:vMerge w:val="continue"/>
            <w:vAlign w:val="center"/>
          </w:tcPr>
          <w:p w14:paraId="28C70F1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215" w:type="pct"/>
            <w:gridSpan w:val="2"/>
            <w:vMerge w:val="continue"/>
            <w:vAlign w:val="center"/>
          </w:tcPr>
          <w:p w14:paraId="774D6FE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519" w:type="pct"/>
            <w:vMerge w:val="continue"/>
            <w:vAlign w:val="center"/>
          </w:tcPr>
          <w:p w14:paraId="10F9E0C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r>
      <w:tr w14:paraId="73AFDE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4" w:type="pct"/>
            <w:vMerge w:val="continue"/>
            <w:vAlign w:val="center"/>
          </w:tcPr>
          <w:p w14:paraId="75C8443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102" w:type="pct"/>
            <w:gridSpan w:val="3"/>
            <w:vAlign w:val="center"/>
          </w:tcPr>
          <w:p w14:paraId="1BDA4DB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污水处理及污泥间</w:t>
            </w:r>
          </w:p>
        </w:tc>
        <w:tc>
          <w:tcPr>
            <w:tcW w:w="716" w:type="pct"/>
            <w:vAlign w:val="center"/>
          </w:tcPr>
          <w:p w14:paraId="0631619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bCs/>
                <w:kern w:val="2"/>
                <w:sz w:val="21"/>
                <w:szCs w:val="21"/>
                <w:lang w:val="en-US" w:eastAsia="zh-CN" w:bidi="ar-SA"/>
              </w:rPr>
            </w:pPr>
            <w:r>
              <w:rPr>
                <w:rFonts w:ascii="Times New Roman" w:hAnsi="Times New Roman" w:eastAsia="宋体" w:cs="Times New Roman"/>
                <w:bCs/>
                <w:kern w:val="2"/>
                <w:sz w:val="21"/>
                <w:szCs w:val="21"/>
                <w:lang w:val="en-US" w:eastAsia="zh-CN" w:bidi="ar-SA"/>
              </w:rPr>
              <w:t>臭气浓度、H</w:t>
            </w:r>
            <w:r>
              <w:rPr>
                <w:rFonts w:ascii="Times New Roman" w:hAnsi="Times New Roman" w:eastAsia="宋体" w:cs="Times New Roman"/>
                <w:bCs/>
                <w:kern w:val="2"/>
                <w:sz w:val="21"/>
                <w:szCs w:val="21"/>
                <w:vertAlign w:val="subscript"/>
                <w:lang w:val="en-US" w:eastAsia="zh-CN" w:bidi="ar-SA"/>
              </w:rPr>
              <w:t>2</w:t>
            </w:r>
            <w:r>
              <w:rPr>
                <w:rFonts w:ascii="Times New Roman" w:hAnsi="Times New Roman" w:eastAsia="宋体" w:cs="Times New Roman"/>
                <w:bCs/>
                <w:kern w:val="2"/>
                <w:sz w:val="21"/>
                <w:szCs w:val="21"/>
                <w:lang w:val="en-US" w:eastAsia="zh-CN" w:bidi="ar-SA"/>
              </w:rPr>
              <w:t>S、NH</w:t>
            </w:r>
            <w:r>
              <w:rPr>
                <w:rFonts w:ascii="Times New Roman" w:hAnsi="Times New Roman" w:eastAsia="宋体" w:cs="Times New Roman"/>
                <w:bCs/>
                <w:kern w:val="2"/>
                <w:sz w:val="21"/>
                <w:szCs w:val="21"/>
                <w:vertAlign w:val="subscript"/>
                <w:lang w:val="en-US" w:eastAsia="zh-CN" w:bidi="ar-SA"/>
              </w:rPr>
              <w:t>3</w:t>
            </w:r>
          </w:p>
        </w:tc>
        <w:tc>
          <w:tcPr>
            <w:tcW w:w="1181" w:type="pct"/>
            <w:gridSpan w:val="2"/>
            <w:vAlign w:val="center"/>
          </w:tcPr>
          <w:p w14:paraId="5B28620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生物除臭塔+15m高排气筒DA005</w:t>
            </w:r>
            <w:r>
              <w:rPr>
                <w:rFonts w:hint="eastAsia" w:ascii="Times New Roman" w:hAnsi="Times New Roman" w:eastAsia="宋体" w:cs="Times New Roman"/>
                <w:kern w:val="2"/>
                <w:sz w:val="21"/>
                <w:szCs w:val="21"/>
                <w:lang w:val="en-US" w:eastAsia="zh-CN" w:bidi="ar-SA"/>
              </w:rPr>
              <w:t>；</w:t>
            </w:r>
            <w:r>
              <w:rPr>
                <w:rFonts w:ascii="Times New Roman" w:hAnsi="Times New Roman" w:eastAsia="宋体" w:cs="Times New Roman"/>
                <w:kern w:val="2"/>
                <w:sz w:val="21"/>
                <w:szCs w:val="21"/>
                <w:lang w:val="en-US" w:eastAsia="zh-CN" w:bidi="ar-SA"/>
              </w:rPr>
              <w:t>新建</w:t>
            </w:r>
          </w:p>
        </w:tc>
        <w:tc>
          <w:tcPr>
            <w:tcW w:w="1215" w:type="pct"/>
            <w:gridSpan w:val="2"/>
            <w:vAlign w:val="center"/>
          </w:tcPr>
          <w:p w14:paraId="604D23A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生物除臭塔+15m高排气筒DA00</w:t>
            </w:r>
            <w:r>
              <w:rPr>
                <w:rFonts w:hint="eastAsia" w:ascii="Times New Roman" w:hAnsi="Times New Roman" w:eastAsia="宋体" w:cs="Times New Roman"/>
                <w:kern w:val="2"/>
                <w:sz w:val="21"/>
                <w:szCs w:val="21"/>
                <w:lang w:val="en-US" w:eastAsia="zh-CN" w:bidi="ar-SA"/>
              </w:rPr>
              <w:t>7</w:t>
            </w:r>
            <w:r>
              <w:rPr>
                <w:rFonts w:ascii="Times New Roman" w:hAnsi="Times New Roman" w:eastAsia="宋体" w:cs="Times New Roman"/>
                <w:kern w:val="2"/>
                <w:sz w:val="21"/>
                <w:szCs w:val="21"/>
                <w:lang w:val="en-US" w:eastAsia="zh-CN" w:bidi="ar-SA"/>
              </w:rPr>
              <w:t>；新建</w:t>
            </w:r>
          </w:p>
        </w:tc>
        <w:tc>
          <w:tcPr>
            <w:tcW w:w="519" w:type="pct"/>
            <w:vAlign w:val="center"/>
          </w:tcPr>
          <w:p w14:paraId="5317E64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已落实</w:t>
            </w:r>
          </w:p>
        </w:tc>
      </w:tr>
      <w:tr w14:paraId="58E42E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4" w:type="pct"/>
            <w:vMerge w:val="restart"/>
            <w:vAlign w:val="center"/>
          </w:tcPr>
          <w:p w14:paraId="43DBB21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废水</w:t>
            </w:r>
          </w:p>
        </w:tc>
        <w:tc>
          <w:tcPr>
            <w:tcW w:w="311" w:type="pct"/>
            <w:vMerge w:val="restart"/>
            <w:vAlign w:val="center"/>
          </w:tcPr>
          <w:p w14:paraId="5B185BA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镀锌线</w:t>
            </w:r>
          </w:p>
        </w:tc>
        <w:tc>
          <w:tcPr>
            <w:tcW w:w="790" w:type="pct"/>
            <w:gridSpan w:val="2"/>
            <w:vAlign w:val="center"/>
          </w:tcPr>
          <w:p w14:paraId="6348F61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钝化废槽液</w:t>
            </w:r>
          </w:p>
        </w:tc>
        <w:tc>
          <w:tcPr>
            <w:tcW w:w="716" w:type="pct"/>
            <w:vMerge w:val="restart"/>
            <w:vAlign w:val="center"/>
          </w:tcPr>
          <w:p w14:paraId="481A12D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pH、总铬</w:t>
            </w:r>
          </w:p>
        </w:tc>
        <w:tc>
          <w:tcPr>
            <w:tcW w:w="1181" w:type="pct"/>
            <w:gridSpan w:val="2"/>
            <w:vMerge w:val="restart"/>
            <w:vAlign w:val="center"/>
          </w:tcPr>
          <w:p w14:paraId="2055DE4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送含铬废水处理设施（调节+还原+混凝沉淀+砂滤+碳滤+超滤+反渗透+蒸发）处理后回用；新建</w:t>
            </w:r>
          </w:p>
        </w:tc>
        <w:tc>
          <w:tcPr>
            <w:tcW w:w="1215" w:type="pct"/>
            <w:gridSpan w:val="2"/>
            <w:vMerge w:val="restart"/>
            <w:vAlign w:val="center"/>
          </w:tcPr>
          <w:p w14:paraId="4DD2ABA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送含铬废水处理设施（调节+还原+混凝沉淀+砂滤+碳滤+超滤+反渗透+蒸发）处理后回用；</w:t>
            </w:r>
            <w:r>
              <w:rPr>
                <w:rFonts w:ascii="Times New Roman" w:hAnsi="Times New Roman" w:eastAsia="宋体" w:cs="Times New Roman"/>
                <w:b w:val="0"/>
                <w:bCs w:val="0"/>
                <w:kern w:val="2"/>
                <w:sz w:val="21"/>
                <w:szCs w:val="21"/>
                <w:u w:val="none"/>
                <w:lang w:val="en-US" w:eastAsia="zh-CN" w:bidi="ar-SA"/>
              </w:rPr>
              <w:t>依托现有</w:t>
            </w:r>
          </w:p>
        </w:tc>
        <w:tc>
          <w:tcPr>
            <w:tcW w:w="519" w:type="pct"/>
            <w:vMerge w:val="restart"/>
            <w:vAlign w:val="center"/>
          </w:tcPr>
          <w:p w14:paraId="48FDD14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已落实</w:t>
            </w:r>
          </w:p>
        </w:tc>
      </w:tr>
      <w:tr w14:paraId="3A726B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4" w:type="pct"/>
            <w:vMerge w:val="continue"/>
            <w:vAlign w:val="center"/>
          </w:tcPr>
          <w:p w14:paraId="00947A2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311" w:type="pct"/>
            <w:vMerge w:val="continue"/>
            <w:vAlign w:val="center"/>
          </w:tcPr>
          <w:p w14:paraId="66585BE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790" w:type="pct"/>
            <w:gridSpan w:val="2"/>
            <w:vAlign w:val="center"/>
          </w:tcPr>
          <w:p w14:paraId="09E7BC7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钝化后水洗废水</w:t>
            </w:r>
          </w:p>
        </w:tc>
        <w:tc>
          <w:tcPr>
            <w:tcW w:w="716" w:type="pct"/>
            <w:vMerge w:val="continue"/>
            <w:vAlign w:val="center"/>
          </w:tcPr>
          <w:p w14:paraId="5D87778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181" w:type="pct"/>
            <w:gridSpan w:val="2"/>
            <w:vMerge w:val="continue"/>
            <w:vAlign w:val="center"/>
          </w:tcPr>
          <w:p w14:paraId="396B751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215" w:type="pct"/>
            <w:gridSpan w:val="2"/>
            <w:vMerge w:val="continue"/>
            <w:vAlign w:val="center"/>
          </w:tcPr>
          <w:p w14:paraId="3BD697B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519" w:type="pct"/>
            <w:vMerge w:val="continue"/>
            <w:vAlign w:val="center"/>
          </w:tcPr>
          <w:p w14:paraId="325304C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r>
      <w:tr w14:paraId="6E5BEF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4" w:type="pct"/>
            <w:vMerge w:val="continue"/>
            <w:vAlign w:val="center"/>
          </w:tcPr>
          <w:p w14:paraId="0E82F5F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311" w:type="pct"/>
            <w:vMerge w:val="restart"/>
            <w:shd w:val="clear" w:color="auto" w:fill="auto"/>
            <w:vAlign w:val="center"/>
          </w:tcPr>
          <w:p w14:paraId="0950897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退锌线</w:t>
            </w:r>
          </w:p>
        </w:tc>
        <w:tc>
          <w:tcPr>
            <w:tcW w:w="790" w:type="pct"/>
            <w:gridSpan w:val="2"/>
            <w:shd w:val="clear" w:color="auto" w:fill="auto"/>
            <w:vAlign w:val="center"/>
          </w:tcPr>
          <w:p w14:paraId="2EBE237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退镀后水洗废水</w:t>
            </w:r>
          </w:p>
        </w:tc>
        <w:tc>
          <w:tcPr>
            <w:tcW w:w="716" w:type="pct"/>
            <w:shd w:val="clear" w:color="auto" w:fill="auto"/>
            <w:vAlign w:val="center"/>
          </w:tcPr>
          <w:p w14:paraId="5C25B2F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pH、总铬、总锌</w:t>
            </w:r>
          </w:p>
        </w:tc>
        <w:tc>
          <w:tcPr>
            <w:tcW w:w="1181" w:type="pct"/>
            <w:gridSpan w:val="2"/>
            <w:vMerge w:val="continue"/>
            <w:vAlign w:val="center"/>
          </w:tcPr>
          <w:p w14:paraId="32F2138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215" w:type="pct"/>
            <w:gridSpan w:val="2"/>
            <w:vMerge w:val="continue"/>
            <w:vAlign w:val="center"/>
          </w:tcPr>
          <w:p w14:paraId="0B30663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519" w:type="pct"/>
            <w:vMerge w:val="continue"/>
            <w:vAlign w:val="center"/>
          </w:tcPr>
          <w:p w14:paraId="1FDDB9C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r>
      <w:tr w14:paraId="797C07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4" w:type="pct"/>
            <w:vMerge w:val="continue"/>
            <w:vAlign w:val="center"/>
          </w:tcPr>
          <w:p w14:paraId="4160C39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311" w:type="pct"/>
            <w:vMerge w:val="continue"/>
            <w:vAlign w:val="center"/>
          </w:tcPr>
          <w:p w14:paraId="122BA6E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790" w:type="pct"/>
            <w:gridSpan w:val="2"/>
            <w:vAlign w:val="center"/>
          </w:tcPr>
          <w:p w14:paraId="46E797C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脱脂废水、水洗废水</w:t>
            </w:r>
          </w:p>
        </w:tc>
        <w:tc>
          <w:tcPr>
            <w:tcW w:w="716" w:type="pct"/>
            <w:vAlign w:val="center"/>
          </w:tcPr>
          <w:p w14:paraId="1639366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pH、总铬、总锌</w:t>
            </w:r>
          </w:p>
        </w:tc>
        <w:tc>
          <w:tcPr>
            <w:tcW w:w="1181" w:type="pct"/>
            <w:gridSpan w:val="2"/>
            <w:vMerge w:val="continue"/>
            <w:vAlign w:val="center"/>
          </w:tcPr>
          <w:p w14:paraId="53CDAB5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215" w:type="pct"/>
            <w:gridSpan w:val="2"/>
            <w:vMerge w:val="continue"/>
            <w:vAlign w:val="center"/>
          </w:tcPr>
          <w:p w14:paraId="437EC4F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519" w:type="pct"/>
            <w:vMerge w:val="continue"/>
            <w:vAlign w:val="center"/>
          </w:tcPr>
          <w:p w14:paraId="7BA52A0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r>
      <w:tr w14:paraId="5B56E7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4" w:type="pct"/>
            <w:vMerge w:val="continue"/>
            <w:vAlign w:val="center"/>
          </w:tcPr>
          <w:p w14:paraId="1E68408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102" w:type="pct"/>
            <w:gridSpan w:val="3"/>
            <w:vAlign w:val="center"/>
          </w:tcPr>
          <w:p w14:paraId="2FED345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酸雾吸收塔</w:t>
            </w:r>
          </w:p>
        </w:tc>
        <w:tc>
          <w:tcPr>
            <w:tcW w:w="716" w:type="pct"/>
            <w:vAlign w:val="center"/>
          </w:tcPr>
          <w:p w14:paraId="1F81164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pH、总铬</w:t>
            </w:r>
          </w:p>
        </w:tc>
        <w:tc>
          <w:tcPr>
            <w:tcW w:w="1181" w:type="pct"/>
            <w:gridSpan w:val="2"/>
            <w:vMerge w:val="continue"/>
            <w:vAlign w:val="center"/>
          </w:tcPr>
          <w:p w14:paraId="32E1009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215" w:type="pct"/>
            <w:gridSpan w:val="2"/>
            <w:vMerge w:val="continue"/>
            <w:vAlign w:val="center"/>
          </w:tcPr>
          <w:p w14:paraId="7838997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519" w:type="pct"/>
            <w:vMerge w:val="continue"/>
            <w:vAlign w:val="center"/>
          </w:tcPr>
          <w:p w14:paraId="686DFAB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r>
      <w:tr w14:paraId="0D9905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4" w:type="pct"/>
            <w:vMerge w:val="continue"/>
            <w:vAlign w:val="center"/>
          </w:tcPr>
          <w:p w14:paraId="245D22B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311" w:type="pct"/>
            <w:vAlign w:val="center"/>
          </w:tcPr>
          <w:p w14:paraId="5E6F8A8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bCs/>
                <w:kern w:val="2"/>
                <w:sz w:val="21"/>
                <w:szCs w:val="21"/>
                <w:lang w:val="en-US" w:eastAsia="zh-CN" w:bidi="ar-SA"/>
              </w:rPr>
            </w:pPr>
            <w:r>
              <w:rPr>
                <w:rFonts w:ascii="Times New Roman" w:hAnsi="Times New Roman" w:eastAsia="宋体" w:cs="Times New Roman"/>
                <w:kern w:val="2"/>
                <w:sz w:val="21"/>
                <w:szCs w:val="21"/>
                <w:lang w:val="en-US" w:eastAsia="zh-CN" w:bidi="ar-SA"/>
              </w:rPr>
              <w:t>钢带</w:t>
            </w:r>
          </w:p>
        </w:tc>
        <w:tc>
          <w:tcPr>
            <w:tcW w:w="790" w:type="pct"/>
            <w:gridSpan w:val="2"/>
            <w:vAlign w:val="center"/>
          </w:tcPr>
          <w:p w14:paraId="668EC0D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bCs/>
                <w:kern w:val="2"/>
                <w:sz w:val="21"/>
                <w:szCs w:val="21"/>
                <w:lang w:val="en-US" w:eastAsia="zh-CN" w:bidi="ar-SA"/>
              </w:rPr>
            </w:pPr>
            <w:r>
              <w:rPr>
                <w:rFonts w:ascii="Times New Roman" w:hAnsi="Times New Roman" w:eastAsia="宋体" w:cs="Times New Roman"/>
                <w:kern w:val="2"/>
                <w:sz w:val="21"/>
                <w:szCs w:val="21"/>
                <w:lang w:val="en-US" w:eastAsia="zh-CN" w:bidi="ar-SA"/>
              </w:rPr>
              <w:t>镀镍后水洗废水</w:t>
            </w:r>
          </w:p>
        </w:tc>
        <w:tc>
          <w:tcPr>
            <w:tcW w:w="716" w:type="pct"/>
            <w:vAlign w:val="center"/>
          </w:tcPr>
          <w:p w14:paraId="681F970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pH、COD总镍、</w:t>
            </w:r>
          </w:p>
        </w:tc>
        <w:tc>
          <w:tcPr>
            <w:tcW w:w="1181" w:type="pct"/>
            <w:gridSpan w:val="2"/>
            <w:vAlign w:val="center"/>
          </w:tcPr>
          <w:p w14:paraId="1949DBF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送含镍废水处理设施</w:t>
            </w:r>
            <w:r>
              <w:rPr>
                <w:rFonts w:ascii="Times New Roman" w:hAnsi="Times New Roman" w:eastAsia="宋体" w:cs="Times New Roman"/>
                <w:bCs/>
                <w:kern w:val="2"/>
                <w:sz w:val="21"/>
                <w:szCs w:val="21"/>
                <w:lang w:val="en-US" w:eastAsia="zh-CN" w:bidi="ar-SA"/>
              </w:rPr>
              <w:t>（调节+混凝沉淀+</w:t>
            </w:r>
            <w:r>
              <w:rPr>
                <w:rFonts w:ascii="Times New Roman" w:hAnsi="Times New Roman" w:eastAsia="宋体" w:cs="Times New Roman"/>
                <w:kern w:val="2"/>
                <w:sz w:val="21"/>
                <w:szCs w:val="21"/>
                <w:lang w:val="en-US" w:eastAsia="zh-CN" w:bidi="ar-SA"/>
              </w:rPr>
              <w:t>砂滤+碳滤</w:t>
            </w:r>
            <w:r>
              <w:rPr>
                <w:rFonts w:ascii="Times New Roman" w:hAnsi="Times New Roman" w:eastAsia="宋体" w:cs="Times New Roman"/>
                <w:bCs/>
                <w:kern w:val="2"/>
                <w:sz w:val="21"/>
                <w:szCs w:val="21"/>
                <w:lang w:val="en-US" w:eastAsia="zh-CN" w:bidi="ar-SA"/>
              </w:rPr>
              <w:t>+超滤+反渗透+蒸发）</w:t>
            </w:r>
            <w:r>
              <w:rPr>
                <w:rFonts w:ascii="Times New Roman" w:hAnsi="Times New Roman" w:eastAsia="宋体" w:cs="Times New Roman"/>
                <w:kern w:val="2"/>
                <w:sz w:val="21"/>
                <w:szCs w:val="21"/>
                <w:lang w:val="en-US" w:eastAsia="zh-CN" w:bidi="ar-SA"/>
              </w:rPr>
              <w:t>处理后回用；新建</w:t>
            </w:r>
          </w:p>
        </w:tc>
        <w:tc>
          <w:tcPr>
            <w:tcW w:w="1215" w:type="pct"/>
            <w:gridSpan w:val="2"/>
            <w:vAlign w:val="center"/>
          </w:tcPr>
          <w:p w14:paraId="0D599FA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送含镍废水处理设施</w:t>
            </w:r>
            <w:r>
              <w:rPr>
                <w:rFonts w:ascii="Times New Roman" w:hAnsi="Times New Roman" w:eastAsia="宋体" w:cs="Times New Roman"/>
                <w:bCs/>
                <w:kern w:val="2"/>
                <w:sz w:val="21"/>
                <w:szCs w:val="21"/>
                <w:lang w:val="en-US" w:eastAsia="zh-CN" w:bidi="ar-SA"/>
              </w:rPr>
              <w:t>（调节+混凝沉淀+</w:t>
            </w:r>
            <w:r>
              <w:rPr>
                <w:rFonts w:ascii="Times New Roman" w:hAnsi="Times New Roman" w:eastAsia="宋体" w:cs="Times New Roman"/>
                <w:kern w:val="2"/>
                <w:sz w:val="21"/>
                <w:szCs w:val="21"/>
                <w:lang w:val="en-US" w:eastAsia="zh-CN" w:bidi="ar-SA"/>
              </w:rPr>
              <w:t>砂滤+碳滤</w:t>
            </w:r>
            <w:r>
              <w:rPr>
                <w:rFonts w:ascii="Times New Roman" w:hAnsi="Times New Roman" w:eastAsia="宋体" w:cs="Times New Roman"/>
                <w:bCs/>
                <w:kern w:val="2"/>
                <w:sz w:val="21"/>
                <w:szCs w:val="21"/>
                <w:lang w:val="en-US" w:eastAsia="zh-CN" w:bidi="ar-SA"/>
              </w:rPr>
              <w:t>+超滤+反渗透+蒸发）</w:t>
            </w:r>
            <w:r>
              <w:rPr>
                <w:rFonts w:ascii="Times New Roman" w:hAnsi="Times New Roman" w:eastAsia="宋体" w:cs="Times New Roman"/>
                <w:kern w:val="2"/>
                <w:sz w:val="21"/>
                <w:szCs w:val="21"/>
                <w:lang w:val="en-US" w:eastAsia="zh-CN" w:bidi="ar-SA"/>
              </w:rPr>
              <w:t>处理后回用；</w:t>
            </w:r>
            <w:r>
              <w:rPr>
                <w:rFonts w:ascii="Times New Roman" w:hAnsi="Times New Roman" w:eastAsia="宋体" w:cs="Times New Roman"/>
                <w:b w:val="0"/>
                <w:bCs w:val="0"/>
                <w:kern w:val="2"/>
                <w:sz w:val="21"/>
                <w:szCs w:val="21"/>
                <w:u w:val="none"/>
                <w:lang w:val="en-US" w:eastAsia="zh-CN" w:bidi="ar-SA"/>
              </w:rPr>
              <w:t>依托现有</w:t>
            </w:r>
          </w:p>
        </w:tc>
        <w:tc>
          <w:tcPr>
            <w:tcW w:w="519" w:type="pct"/>
            <w:vAlign w:val="center"/>
          </w:tcPr>
          <w:p w14:paraId="40867E3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已落实</w:t>
            </w:r>
          </w:p>
        </w:tc>
      </w:tr>
      <w:tr w14:paraId="1C09FD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4" w:type="pct"/>
            <w:vMerge w:val="continue"/>
            <w:vAlign w:val="center"/>
          </w:tcPr>
          <w:p w14:paraId="6E26D52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102" w:type="pct"/>
            <w:gridSpan w:val="3"/>
            <w:vAlign w:val="center"/>
          </w:tcPr>
          <w:p w14:paraId="7207A40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车间地面清洗水</w:t>
            </w:r>
          </w:p>
        </w:tc>
        <w:tc>
          <w:tcPr>
            <w:tcW w:w="716" w:type="pct"/>
            <w:vAlign w:val="center"/>
          </w:tcPr>
          <w:p w14:paraId="51FA71D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pH、总铬、六价铬、总锌、总镍</w:t>
            </w:r>
          </w:p>
        </w:tc>
        <w:tc>
          <w:tcPr>
            <w:tcW w:w="1181" w:type="pct"/>
            <w:gridSpan w:val="2"/>
            <w:vAlign w:val="center"/>
          </w:tcPr>
          <w:p w14:paraId="5B7C8FC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送一套含高COD废水处理系统（调节+芬顿高级氧化+混凝沉淀+砂滤+碳滤+超滤+反渗透</w:t>
            </w:r>
            <w:r>
              <w:rPr>
                <w:rFonts w:ascii="Times New Roman" w:hAnsi="Times New Roman" w:eastAsia="宋体" w:cs="Times New Roman"/>
                <w:bCs/>
                <w:kern w:val="2"/>
                <w:sz w:val="21"/>
                <w:szCs w:val="21"/>
                <w:lang w:val="en-US" w:eastAsia="zh-CN" w:bidi="ar-SA"/>
              </w:rPr>
              <w:t>+蒸发</w:t>
            </w:r>
            <w:r>
              <w:rPr>
                <w:rFonts w:ascii="Times New Roman" w:hAnsi="Times New Roman" w:eastAsia="宋体" w:cs="Times New Roman"/>
                <w:kern w:val="2"/>
                <w:sz w:val="21"/>
                <w:szCs w:val="21"/>
                <w:lang w:val="en-US" w:eastAsia="zh-CN" w:bidi="ar-SA"/>
              </w:rPr>
              <w:t>）处理后回用；新建</w:t>
            </w:r>
          </w:p>
        </w:tc>
        <w:tc>
          <w:tcPr>
            <w:tcW w:w="1215" w:type="pct"/>
            <w:gridSpan w:val="2"/>
            <w:vAlign w:val="center"/>
          </w:tcPr>
          <w:p w14:paraId="0158D4E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送一套含高COD废水处理系统（调节+芬顿高级氧化+混凝沉淀+砂滤+碳滤+超滤+反渗透</w:t>
            </w:r>
            <w:r>
              <w:rPr>
                <w:rFonts w:ascii="Times New Roman" w:hAnsi="Times New Roman" w:eastAsia="宋体" w:cs="Times New Roman"/>
                <w:bCs/>
                <w:kern w:val="2"/>
                <w:sz w:val="21"/>
                <w:szCs w:val="21"/>
                <w:lang w:val="en-US" w:eastAsia="zh-CN" w:bidi="ar-SA"/>
              </w:rPr>
              <w:t>+蒸发</w:t>
            </w:r>
            <w:r>
              <w:rPr>
                <w:rFonts w:ascii="Times New Roman" w:hAnsi="Times New Roman" w:eastAsia="宋体" w:cs="Times New Roman"/>
                <w:kern w:val="2"/>
                <w:sz w:val="21"/>
                <w:szCs w:val="21"/>
                <w:lang w:val="en-US" w:eastAsia="zh-CN" w:bidi="ar-SA"/>
              </w:rPr>
              <w:t>）处理后回用；新建</w:t>
            </w:r>
          </w:p>
        </w:tc>
        <w:tc>
          <w:tcPr>
            <w:tcW w:w="519" w:type="pct"/>
            <w:vAlign w:val="center"/>
          </w:tcPr>
          <w:p w14:paraId="080DDFC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已落实</w:t>
            </w:r>
          </w:p>
        </w:tc>
      </w:tr>
      <w:tr w14:paraId="12D2EC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4" w:type="pct"/>
            <w:vMerge w:val="continue"/>
            <w:vAlign w:val="center"/>
          </w:tcPr>
          <w:p w14:paraId="5B33541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311" w:type="pct"/>
            <w:vMerge w:val="restart"/>
            <w:vAlign w:val="center"/>
          </w:tcPr>
          <w:p w14:paraId="2CEEF69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镀锌线</w:t>
            </w:r>
          </w:p>
        </w:tc>
        <w:tc>
          <w:tcPr>
            <w:tcW w:w="790" w:type="pct"/>
            <w:gridSpan w:val="2"/>
            <w:vAlign w:val="center"/>
          </w:tcPr>
          <w:p w14:paraId="58E271B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镀锌后水洗废水</w:t>
            </w:r>
          </w:p>
        </w:tc>
        <w:tc>
          <w:tcPr>
            <w:tcW w:w="716" w:type="pct"/>
            <w:vMerge w:val="restart"/>
            <w:vAlign w:val="center"/>
          </w:tcPr>
          <w:p w14:paraId="1767F49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COD、</w:t>
            </w:r>
            <w:r>
              <w:rPr>
                <w:rFonts w:ascii="Times New Roman" w:hAnsi="Times New Roman" w:eastAsia="宋体" w:cs="Times New Roman"/>
                <w:spacing w:val="-8"/>
                <w:kern w:val="2"/>
                <w:sz w:val="21"/>
                <w:szCs w:val="21"/>
                <w:lang w:val="en-US" w:eastAsia="zh-CN" w:bidi="ar-SA"/>
              </w:rPr>
              <w:t>总锌</w:t>
            </w:r>
          </w:p>
        </w:tc>
        <w:tc>
          <w:tcPr>
            <w:tcW w:w="1181" w:type="pct"/>
            <w:gridSpan w:val="2"/>
            <w:vMerge w:val="restart"/>
            <w:vAlign w:val="center"/>
          </w:tcPr>
          <w:p w14:paraId="2D35A5A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送一套含锌废水处理系统（</w:t>
            </w:r>
            <w:r>
              <w:rPr>
                <w:rFonts w:ascii="Times New Roman" w:hAnsi="Times New Roman" w:eastAsia="宋体" w:cs="Times New Roman"/>
                <w:bCs/>
                <w:kern w:val="2"/>
                <w:sz w:val="21"/>
                <w:szCs w:val="21"/>
                <w:lang w:val="en-US" w:eastAsia="zh-CN" w:bidi="ar-SA"/>
              </w:rPr>
              <w:t>调节+混凝沉淀+</w:t>
            </w:r>
            <w:r>
              <w:rPr>
                <w:rFonts w:ascii="Times New Roman" w:hAnsi="Times New Roman" w:eastAsia="宋体" w:cs="Times New Roman"/>
                <w:kern w:val="2"/>
                <w:sz w:val="21"/>
                <w:szCs w:val="21"/>
                <w:lang w:val="en-US" w:eastAsia="zh-CN" w:bidi="ar-SA"/>
              </w:rPr>
              <w:t>砂滤+碳滤</w:t>
            </w:r>
            <w:r>
              <w:rPr>
                <w:rFonts w:ascii="Times New Roman" w:hAnsi="Times New Roman" w:eastAsia="宋体" w:cs="Times New Roman"/>
                <w:bCs/>
                <w:kern w:val="2"/>
                <w:sz w:val="21"/>
                <w:szCs w:val="21"/>
                <w:lang w:val="en-US" w:eastAsia="zh-CN" w:bidi="ar-SA"/>
              </w:rPr>
              <w:t>+超滤+反渗透+蒸发</w:t>
            </w:r>
            <w:r>
              <w:rPr>
                <w:rFonts w:ascii="Times New Roman" w:hAnsi="Times New Roman" w:eastAsia="宋体" w:cs="Times New Roman"/>
                <w:kern w:val="2"/>
                <w:sz w:val="21"/>
                <w:szCs w:val="21"/>
                <w:lang w:val="en-US" w:eastAsia="zh-CN" w:bidi="ar-SA"/>
              </w:rPr>
              <w:t>）处理后回用；新建</w:t>
            </w:r>
          </w:p>
        </w:tc>
        <w:tc>
          <w:tcPr>
            <w:tcW w:w="1215" w:type="pct"/>
            <w:gridSpan w:val="2"/>
            <w:vMerge w:val="restart"/>
            <w:vAlign w:val="center"/>
          </w:tcPr>
          <w:p w14:paraId="7FF0B9B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送一套含锌废水处理系统（</w:t>
            </w:r>
            <w:r>
              <w:rPr>
                <w:rFonts w:ascii="Times New Roman" w:hAnsi="Times New Roman" w:eastAsia="宋体" w:cs="Times New Roman"/>
                <w:bCs/>
                <w:kern w:val="2"/>
                <w:sz w:val="21"/>
                <w:szCs w:val="21"/>
                <w:lang w:val="en-US" w:eastAsia="zh-CN" w:bidi="ar-SA"/>
              </w:rPr>
              <w:t>调节+混凝沉淀+</w:t>
            </w:r>
            <w:r>
              <w:rPr>
                <w:rFonts w:ascii="Times New Roman" w:hAnsi="Times New Roman" w:eastAsia="宋体" w:cs="Times New Roman"/>
                <w:kern w:val="2"/>
                <w:sz w:val="21"/>
                <w:szCs w:val="21"/>
                <w:lang w:val="en-US" w:eastAsia="zh-CN" w:bidi="ar-SA"/>
              </w:rPr>
              <w:t>砂滤+碳滤</w:t>
            </w:r>
            <w:r>
              <w:rPr>
                <w:rFonts w:ascii="Times New Roman" w:hAnsi="Times New Roman" w:eastAsia="宋体" w:cs="Times New Roman"/>
                <w:bCs/>
                <w:kern w:val="2"/>
                <w:sz w:val="21"/>
                <w:szCs w:val="21"/>
                <w:lang w:val="en-US" w:eastAsia="zh-CN" w:bidi="ar-SA"/>
              </w:rPr>
              <w:t>+超滤+反渗透+蒸发</w:t>
            </w:r>
            <w:r>
              <w:rPr>
                <w:rFonts w:ascii="Times New Roman" w:hAnsi="Times New Roman" w:eastAsia="宋体" w:cs="Times New Roman"/>
                <w:kern w:val="2"/>
                <w:sz w:val="21"/>
                <w:szCs w:val="21"/>
                <w:lang w:val="en-US" w:eastAsia="zh-CN" w:bidi="ar-SA"/>
              </w:rPr>
              <w:t>）处理后回用；新建</w:t>
            </w:r>
          </w:p>
        </w:tc>
        <w:tc>
          <w:tcPr>
            <w:tcW w:w="519" w:type="pct"/>
            <w:vMerge w:val="restart"/>
            <w:vAlign w:val="center"/>
          </w:tcPr>
          <w:p w14:paraId="417CDCA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已落实</w:t>
            </w:r>
          </w:p>
        </w:tc>
      </w:tr>
      <w:tr w14:paraId="1A0733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4" w:type="pct"/>
            <w:vMerge w:val="continue"/>
            <w:vAlign w:val="center"/>
          </w:tcPr>
          <w:p w14:paraId="3C2DFF0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311" w:type="pct"/>
            <w:vMerge w:val="continue"/>
            <w:vAlign w:val="center"/>
          </w:tcPr>
          <w:p w14:paraId="608AC9E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790" w:type="pct"/>
            <w:gridSpan w:val="2"/>
            <w:vAlign w:val="center"/>
          </w:tcPr>
          <w:p w14:paraId="3D093A0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出光槽废槽液</w:t>
            </w:r>
          </w:p>
        </w:tc>
        <w:tc>
          <w:tcPr>
            <w:tcW w:w="716" w:type="pct"/>
            <w:vMerge w:val="continue"/>
            <w:vAlign w:val="center"/>
          </w:tcPr>
          <w:p w14:paraId="4C1AA75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181" w:type="pct"/>
            <w:gridSpan w:val="2"/>
            <w:vMerge w:val="continue"/>
            <w:vAlign w:val="center"/>
          </w:tcPr>
          <w:p w14:paraId="6508367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215" w:type="pct"/>
            <w:gridSpan w:val="2"/>
            <w:vMerge w:val="continue"/>
            <w:vAlign w:val="center"/>
          </w:tcPr>
          <w:p w14:paraId="3D7876F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519" w:type="pct"/>
            <w:vMerge w:val="continue"/>
            <w:vAlign w:val="center"/>
          </w:tcPr>
          <w:p w14:paraId="63672A9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r>
      <w:tr w14:paraId="66E34F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4" w:type="pct"/>
            <w:vMerge w:val="continue"/>
            <w:vAlign w:val="center"/>
          </w:tcPr>
          <w:p w14:paraId="6A86FA6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311" w:type="pct"/>
            <w:vMerge w:val="continue"/>
            <w:vAlign w:val="center"/>
          </w:tcPr>
          <w:p w14:paraId="256883D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790" w:type="pct"/>
            <w:gridSpan w:val="2"/>
            <w:vAlign w:val="center"/>
          </w:tcPr>
          <w:p w14:paraId="41FB6C0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出光后水洗废水</w:t>
            </w:r>
          </w:p>
        </w:tc>
        <w:tc>
          <w:tcPr>
            <w:tcW w:w="716" w:type="pct"/>
            <w:vMerge w:val="continue"/>
            <w:vAlign w:val="center"/>
          </w:tcPr>
          <w:p w14:paraId="1C04F50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181" w:type="pct"/>
            <w:gridSpan w:val="2"/>
            <w:vMerge w:val="continue"/>
            <w:vAlign w:val="center"/>
          </w:tcPr>
          <w:p w14:paraId="44F1224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215" w:type="pct"/>
            <w:gridSpan w:val="2"/>
            <w:vMerge w:val="continue"/>
            <w:vAlign w:val="center"/>
          </w:tcPr>
          <w:p w14:paraId="5E71A57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519" w:type="pct"/>
            <w:vMerge w:val="continue"/>
            <w:vAlign w:val="center"/>
          </w:tcPr>
          <w:p w14:paraId="388033F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r>
      <w:tr w14:paraId="3F6FBA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4" w:type="pct"/>
            <w:vMerge w:val="continue"/>
            <w:vAlign w:val="center"/>
          </w:tcPr>
          <w:p w14:paraId="44466D2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311" w:type="pct"/>
            <w:vMerge w:val="restart"/>
            <w:vAlign w:val="center"/>
          </w:tcPr>
          <w:p w14:paraId="7DAD0F3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镀锌线</w:t>
            </w:r>
          </w:p>
        </w:tc>
        <w:tc>
          <w:tcPr>
            <w:tcW w:w="133" w:type="pct"/>
            <w:vMerge w:val="restart"/>
            <w:vAlign w:val="center"/>
          </w:tcPr>
          <w:p w14:paraId="5A10C36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含油废水</w:t>
            </w:r>
          </w:p>
        </w:tc>
        <w:tc>
          <w:tcPr>
            <w:tcW w:w="657" w:type="pct"/>
            <w:vAlign w:val="center"/>
          </w:tcPr>
          <w:p w14:paraId="72589B7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化学除油废槽液</w:t>
            </w:r>
          </w:p>
        </w:tc>
        <w:tc>
          <w:tcPr>
            <w:tcW w:w="716" w:type="pct"/>
            <w:vMerge w:val="restart"/>
            <w:vAlign w:val="center"/>
          </w:tcPr>
          <w:p w14:paraId="081C111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pH、COD、SS、NH</w:t>
            </w:r>
            <w:r>
              <w:rPr>
                <w:rFonts w:ascii="Times New Roman" w:hAnsi="Times New Roman" w:eastAsia="宋体" w:cs="Times New Roman"/>
                <w:kern w:val="2"/>
                <w:sz w:val="21"/>
                <w:szCs w:val="21"/>
                <w:vertAlign w:val="subscript"/>
                <w:lang w:val="en-US" w:eastAsia="zh-CN" w:bidi="ar-SA"/>
              </w:rPr>
              <w:t>3</w:t>
            </w:r>
            <w:r>
              <w:rPr>
                <w:rFonts w:ascii="Times New Roman" w:hAnsi="Times New Roman" w:eastAsia="宋体" w:cs="Times New Roman"/>
                <w:kern w:val="2"/>
                <w:sz w:val="21"/>
                <w:szCs w:val="21"/>
                <w:lang w:val="en-US" w:eastAsia="zh-CN" w:bidi="ar-SA"/>
              </w:rPr>
              <w:t>-N、TP、TN、石油类</w:t>
            </w:r>
          </w:p>
        </w:tc>
        <w:tc>
          <w:tcPr>
            <w:tcW w:w="491" w:type="pct"/>
            <w:vMerge w:val="restart"/>
            <w:vAlign w:val="center"/>
          </w:tcPr>
          <w:p w14:paraId="2932DAF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破乳+气浮池；依托现有</w:t>
            </w:r>
          </w:p>
        </w:tc>
        <w:tc>
          <w:tcPr>
            <w:tcW w:w="690" w:type="pct"/>
            <w:vMerge w:val="restart"/>
            <w:vAlign w:val="center"/>
          </w:tcPr>
          <w:p w14:paraId="5155F46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现有综合废水处理系统（调节+混凝沉淀+水解酸化+接触氧化+二沉池）处理；依托现有</w:t>
            </w:r>
          </w:p>
        </w:tc>
        <w:tc>
          <w:tcPr>
            <w:tcW w:w="644" w:type="pct"/>
            <w:vMerge w:val="restart"/>
            <w:vAlign w:val="center"/>
          </w:tcPr>
          <w:p w14:paraId="6C332B8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破乳+气浮池；依托现有</w:t>
            </w:r>
          </w:p>
        </w:tc>
        <w:tc>
          <w:tcPr>
            <w:tcW w:w="571" w:type="pct"/>
            <w:vMerge w:val="restart"/>
            <w:vAlign w:val="center"/>
          </w:tcPr>
          <w:p w14:paraId="4B39B6C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现有综合废水处理系统（调节+混凝沉淀+水解酸化+接触氧化+二沉池）处理；依托现有</w:t>
            </w:r>
          </w:p>
        </w:tc>
        <w:tc>
          <w:tcPr>
            <w:tcW w:w="519" w:type="pct"/>
            <w:vMerge w:val="restart"/>
            <w:vAlign w:val="center"/>
          </w:tcPr>
          <w:p w14:paraId="64C4185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已落实</w:t>
            </w:r>
          </w:p>
        </w:tc>
      </w:tr>
      <w:tr w14:paraId="6CAFAB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4" w:type="pct"/>
            <w:vMerge w:val="continue"/>
            <w:vAlign w:val="center"/>
          </w:tcPr>
          <w:p w14:paraId="6A2B828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311" w:type="pct"/>
            <w:vMerge w:val="continue"/>
            <w:vAlign w:val="center"/>
          </w:tcPr>
          <w:p w14:paraId="777E9C4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33" w:type="pct"/>
            <w:vMerge w:val="continue"/>
            <w:vAlign w:val="center"/>
          </w:tcPr>
          <w:p w14:paraId="413D157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657" w:type="pct"/>
            <w:vAlign w:val="center"/>
          </w:tcPr>
          <w:p w14:paraId="5D9D0F7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电解除油废槽液</w:t>
            </w:r>
          </w:p>
        </w:tc>
        <w:tc>
          <w:tcPr>
            <w:tcW w:w="716" w:type="pct"/>
            <w:vMerge w:val="continue"/>
            <w:vAlign w:val="center"/>
          </w:tcPr>
          <w:p w14:paraId="474BE9A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91" w:type="pct"/>
            <w:vMerge w:val="continue"/>
            <w:vAlign w:val="center"/>
          </w:tcPr>
          <w:p w14:paraId="0C8B0BD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690" w:type="pct"/>
            <w:vMerge w:val="continue"/>
            <w:vAlign w:val="center"/>
          </w:tcPr>
          <w:p w14:paraId="6CE3C36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644" w:type="pct"/>
            <w:vMerge w:val="continue"/>
            <w:vAlign w:val="center"/>
          </w:tcPr>
          <w:p w14:paraId="54F32AB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571" w:type="pct"/>
            <w:vMerge w:val="continue"/>
            <w:vAlign w:val="center"/>
          </w:tcPr>
          <w:p w14:paraId="21D091E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519" w:type="pct"/>
            <w:vMerge w:val="continue"/>
            <w:vAlign w:val="center"/>
          </w:tcPr>
          <w:p w14:paraId="31D7CB1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r>
      <w:tr w14:paraId="0D9767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4" w:type="pct"/>
            <w:vMerge w:val="continue"/>
            <w:vAlign w:val="center"/>
          </w:tcPr>
          <w:p w14:paraId="25AFE1E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311" w:type="pct"/>
            <w:vMerge w:val="continue"/>
            <w:vAlign w:val="center"/>
          </w:tcPr>
          <w:p w14:paraId="1D2B5EA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33" w:type="pct"/>
            <w:vMerge w:val="continue"/>
            <w:vAlign w:val="center"/>
          </w:tcPr>
          <w:p w14:paraId="3EAF1D7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657" w:type="pct"/>
            <w:vAlign w:val="center"/>
          </w:tcPr>
          <w:p w14:paraId="679C39C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超声波除油废槽液</w:t>
            </w:r>
          </w:p>
        </w:tc>
        <w:tc>
          <w:tcPr>
            <w:tcW w:w="716" w:type="pct"/>
            <w:vMerge w:val="continue"/>
            <w:vAlign w:val="center"/>
          </w:tcPr>
          <w:p w14:paraId="182EEEB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91" w:type="pct"/>
            <w:vMerge w:val="continue"/>
            <w:vAlign w:val="center"/>
          </w:tcPr>
          <w:p w14:paraId="63687C2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690" w:type="pct"/>
            <w:vMerge w:val="continue"/>
            <w:vAlign w:val="center"/>
          </w:tcPr>
          <w:p w14:paraId="3CDCBAD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644" w:type="pct"/>
            <w:vMerge w:val="continue"/>
            <w:vAlign w:val="center"/>
          </w:tcPr>
          <w:p w14:paraId="3238861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571" w:type="pct"/>
            <w:vMerge w:val="continue"/>
            <w:vAlign w:val="center"/>
          </w:tcPr>
          <w:p w14:paraId="3FB9E0D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519" w:type="pct"/>
            <w:vMerge w:val="continue"/>
            <w:vAlign w:val="center"/>
          </w:tcPr>
          <w:p w14:paraId="356E551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r>
      <w:tr w14:paraId="0D576F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4" w:type="pct"/>
            <w:vMerge w:val="continue"/>
            <w:vAlign w:val="center"/>
          </w:tcPr>
          <w:p w14:paraId="6A6444C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311" w:type="pct"/>
            <w:vMerge w:val="continue"/>
            <w:vAlign w:val="center"/>
          </w:tcPr>
          <w:p w14:paraId="30960AE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33" w:type="pct"/>
            <w:vMerge w:val="continue"/>
            <w:vAlign w:val="center"/>
          </w:tcPr>
          <w:p w14:paraId="6509813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657" w:type="pct"/>
            <w:vAlign w:val="center"/>
          </w:tcPr>
          <w:p w14:paraId="69C47DC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除油后水洗废水</w:t>
            </w:r>
          </w:p>
        </w:tc>
        <w:tc>
          <w:tcPr>
            <w:tcW w:w="716" w:type="pct"/>
            <w:vMerge w:val="continue"/>
            <w:vAlign w:val="center"/>
          </w:tcPr>
          <w:p w14:paraId="09AE764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91" w:type="pct"/>
            <w:vMerge w:val="continue"/>
            <w:vAlign w:val="center"/>
          </w:tcPr>
          <w:p w14:paraId="6C5055C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690" w:type="pct"/>
            <w:vMerge w:val="continue"/>
            <w:vAlign w:val="center"/>
          </w:tcPr>
          <w:p w14:paraId="1A3FA8B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644" w:type="pct"/>
            <w:vMerge w:val="continue"/>
            <w:vAlign w:val="center"/>
          </w:tcPr>
          <w:p w14:paraId="74B19F3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571" w:type="pct"/>
            <w:vMerge w:val="continue"/>
            <w:vAlign w:val="center"/>
          </w:tcPr>
          <w:p w14:paraId="5A0A59A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519" w:type="pct"/>
            <w:vMerge w:val="continue"/>
            <w:vAlign w:val="center"/>
          </w:tcPr>
          <w:p w14:paraId="2FE61AE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r>
      <w:tr w14:paraId="5CCB83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397" w:hRule="atLeast"/>
        </w:trPr>
        <w:tc>
          <w:tcPr>
            <w:tcW w:w="264" w:type="pct"/>
            <w:vMerge w:val="continue"/>
            <w:vAlign w:val="center"/>
          </w:tcPr>
          <w:p w14:paraId="483DA90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311" w:type="pct"/>
            <w:vMerge w:val="restart"/>
            <w:vAlign w:val="center"/>
          </w:tcPr>
          <w:p w14:paraId="20C456F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钢带线</w:t>
            </w:r>
          </w:p>
        </w:tc>
        <w:tc>
          <w:tcPr>
            <w:tcW w:w="133" w:type="pct"/>
            <w:vMerge w:val="continue"/>
            <w:vAlign w:val="center"/>
          </w:tcPr>
          <w:p w14:paraId="289A154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657" w:type="pct"/>
            <w:vAlign w:val="center"/>
          </w:tcPr>
          <w:p w14:paraId="649AA8A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化学除油废槽液</w:t>
            </w:r>
          </w:p>
        </w:tc>
        <w:tc>
          <w:tcPr>
            <w:tcW w:w="716" w:type="pct"/>
            <w:vMerge w:val="continue"/>
            <w:vAlign w:val="center"/>
          </w:tcPr>
          <w:p w14:paraId="5222E7D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91" w:type="pct"/>
            <w:vMerge w:val="continue"/>
            <w:vAlign w:val="center"/>
          </w:tcPr>
          <w:p w14:paraId="05386E4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690" w:type="pct"/>
            <w:vMerge w:val="continue"/>
            <w:vAlign w:val="center"/>
          </w:tcPr>
          <w:p w14:paraId="30259D0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644" w:type="pct"/>
            <w:vMerge w:val="continue"/>
            <w:vAlign w:val="center"/>
          </w:tcPr>
          <w:p w14:paraId="594BB7B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571" w:type="pct"/>
            <w:vMerge w:val="continue"/>
            <w:vAlign w:val="center"/>
          </w:tcPr>
          <w:p w14:paraId="35D8C2C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519" w:type="pct"/>
            <w:vMerge w:val="continue"/>
            <w:vAlign w:val="center"/>
          </w:tcPr>
          <w:p w14:paraId="0B837BE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r>
      <w:tr w14:paraId="0C72F6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4" w:type="pct"/>
            <w:vMerge w:val="continue"/>
            <w:vAlign w:val="center"/>
          </w:tcPr>
          <w:p w14:paraId="52D3C21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311" w:type="pct"/>
            <w:vMerge w:val="continue"/>
            <w:vAlign w:val="center"/>
          </w:tcPr>
          <w:p w14:paraId="0BF9ABF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33" w:type="pct"/>
            <w:vMerge w:val="continue"/>
            <w:vAlign w:val="center"/>
          </w:tcPr>
          <w:p w14:paraId="1A81194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657" w:type="pct"/>
            <w:vAlign w:val="center"/>
          </w:tcPr>
          <w:p w14:paraId="3AA4CE2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除油后水洗废水</w:t>
            </w:r>
          </w:p>
        </w:tc>
        <w:tc>
          <w:tcPr>
            <w:tcW w:w="716" w:type="pct"/>
            <w:vMerge w:val="continue"/>
            <w:vAlign w:val="center"/>
          </w:tcPr>
          <w:p w14:paraId="0DD21D6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91" w:type="pct"/>
            <w:vMerge w:val="continue"/>
            <w:vAlign w:val="center"/>
          </w:tcPr>
          <w:p w14:paraId="75301B2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690" w:type="pct"/>
            <w:vMerge w:val="continue"/>
            <w:vAlign w:val="center"/>
          </w:tcPr>
          <w:p w14:paraId="7017569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644" w:type="pct"/>
            <w:vMerge w:val="continue"/>
            <w:vAlign w:val="center"/>
          </w:tcPr>
          <w:p w14:paraId="3A6B3D2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571" w:type="pct"/>
            <w:vMerge w:val="continue"/>
            <w:vAlign w:val="center"/>
          </w:tcPr>
          <w:p w14:paraId="06BE510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519" w:type="pct"/>
            <w:vMerge w:val="continue"/>
            <w:vAlign w:val="center"/>
          </w:tcPr>
          <w:p w14:paraId="2F0F396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r>
      <w:tr w14:paraId="47D25B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4" w:type="pct"/>
            <w:vMerge w:val="continue"/>
            <w:vAlign w:val="center"/>
          </w:tcPr>
          <w:p w14:paraId="337D182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311" w:type="pct"/>
            <w:vMerge w:val="restart"/>
            <w:vAlign w:val="center"/>
          </w:tcPr>
          <w:p w14:paraId="410045A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镀锌线</w:t>
            </w:r>
          </w:p>
        </w:tc>
        <w:tc>
          <w:tcPr>
            <w:tcW w:w="133" w:type="pct"/>
            <w:vMerge w:val="restart"/>
            <w:vAlign w:val="center"/>
          </w:tcPr>
          <w:p w14:paraId="6B42FEF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含酸废水</w:t>
            </w:r>
          </w:p>
        </w:tc>
        <w:tc>
          <w:tcPr>
            <w:tcW w:w="657" w:type="pct"/>
            <w:vAlign w:val="center"/>
          </w:tcPr>
          <w:p w14:paraId="6FA192C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酸洗废槽液</w:t>
            </w:r>
          </w:p>
        </w:tc>
        <w:tc>
          <w:tcPr>
            <w:tcW w:w="716" w:type="pct"/>
            <w:vMerge w:val="restart"/>
            <w:vAlign w:val="center"/>
          </w:tcPr>
          <w:p w14:paraId="40B7E14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pH、COD、NH</w:t>
            </w:r>
            <w:r>
              <w:rPr>
                <w:rFonts w:ascii="Times New Roman" w:hAnsi="Times New Roman" w:eastAsia="宋体" w:cs="Times New Roman"/>
                <w:kern w:val="2"/>
                <w:sz w:val="21"/>
                <w:szCs w:val="21"/>
                <w:vertAlign w:val="subscript"/>
                <w:lang w:val="en-US" w:eastAsia="zh-CN" w:bidi="ar-SA"/>
              </w:rPr>
              <w:t>3</w:t>
            </w:r>
            <w:r>
              <w:rPr>
                <w:rFonts w:ascii="Times New Roman" w:hAnsi="Times New Roman" w:eastAsia="宋体" w:cs="Times New Roman"/>
                <w:kern w:val="2"/>
                <w:sz w:val="21"/>
                <w:szCs w:val="21"/>
                <w:lang w:val="en-US" w:eastAsia="zh-CN" w:bidi="ar-SA"/>
              </w:rPr>
              <w:t>-N、TP、TN、总锌、六价铬、总铬、总镍</w:t>
            </w:r>
          </w:p>
        </w:tc>
        <w:tc>
          <w:tcPr>
            <w:tcW w:w="491" w:type="pct"/>
            <w:vMerge w:val="restart"/>
            <w:vAlign w:val="center"/>
          </w:tcPr>
          <w:p w14:paraId="72D7ED1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还原+两级化学沉淀；新建</w:t>
            </w:r>
          </w:p>
        </w:tc>
        <w:tc>
          <w:tcPr>
            <w:tcW w:w="690" w:type="pct"/>
            <w:vMerge w:val="continue"/>
            <w:vAlign w:val="center"/>
          </w:tcPr>
          <w:p w14:paraId="7F0E0AC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hint="default" w:ascii="Times New Roman" w:hAnsi="Times New Roman" w:eastAsia="宋体" w:cs="Times New Roman"/>
                <w:kern w:val="2"/>
                <w:sz w:val="21"/>
                <w:szCs w:val="21"/>
                <w:lang w:val="en-US" w:eastAsia="zh-CN" w:bidi="ar-SA"/>
              </w:rPr>
            </w:pPr>
          </w:p>
        </w:tc>
        <w:tc>
          <w:tcPr>
            <w:tcW w:w="644" w:type="pct"/>
            <w:vMerge w:val="restart"/>
            <w:vAlign w:val="center"/>
          </w:tcPr>
          <w:p w14:paraId="4D3ECD6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还原+两级化学沉淀；新建</w:t>
            </w:r>
          </w:p>
        </w:tc>
        <w:tc>
          <w:tcPr>
            <w:tcW w:w="571" w:type="pct"/>
            <w:vMerge w:val="continue"/>
            <w:vAlign w:val="center"/>
          </w:tcPr>
          <w:p w14:paraId="05797D2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hint="default" w:ascii="Times New Roman" w:hAnsi="Times New Roman" w:eastAsia="宋体" w:cs="Times New Roman"/>
                <w:kern w:val="2"/>
                <w:sz w:val="21"/>
                <w:szCs w:val="21"/>
                <w:lang w:val="en-US" w:eastAsia="zh-CN" w:bidi="ar-SA"/>
              </w:rPr>
            </w:pPr>
          </w:p>
        </w:tc>
        <w:tc>
          <w:tcPr>
            <w:tcW w:w="519" w:type="pct"/>
            <w:vMerge w:val="restart"/>
            <w:vAlign w:val="center"/>
          </w:tcPr>
          <w:p w14:paraId="426B92B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已落实</w:t>
            </w:r>
          </w:p>
        </w:tc>
      </w:tr>
      <w:tr w14:paraId="5E6374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4" w:type="pct"/>
            <w:vMerge w:val="continue"/>
            <w:vAlign w:val="center"/>
          </w:tcPr>
          <w:p w14:paraId="4731C74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311" w:type="pct"/>
            <w:vMerge w:val="continue"/>
            <w:vAlign w:val="center"/>
          </w:tcPr>
          <w:p w14:paraId="5927312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33" w:type="pct"/>
            <w:vMerge w:val="continue"/>
            <w:vAlign w:val="center"/>
          </w:tcPr>
          <w:p w14:paraId="3557F5A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657" w:type="pct"/>
            <w:vAlign w:val="center"/>
          </w:tcPr>
          <w:p w14:paraId="46F0A35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酸洗后水洗废水</w:t>
            </w:r>
          </w:p>
        </w:tc>
        <w:tc>
          <w:tcPr>
            <w:tcW w:w="716" w:type="pct"/>
            <w:vMerge w:val="continue"/>
            <w:vAlign w:val="center"/>
          </w:tcPr>
          <w:p w14:paraId="3820FA5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91" w:type="pct"/>
            <w:vMerge w:val="continue"/>
            <w:vAlign w:val="center"/>
          </w:tcPr>
          <w:p w14:paraId="3A0333A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690" w:type="pct"/>
            <w:vMerge w:val="continue"/>
            <w:vAlign w:val="center"/>
          </w:tcPr>
          <w:p w14:paraId="32830E4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644" w:type="pct"/>
            <w:vMerge w:val="continue"/>
            <w:vAlign w:val="center"/>
          </w:tcPr>
          <w:p w14:paraId="4A4ED41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571" w:type="pct"/>
            <w:vMerge w:val="continue"/>
            <w:vAlign w:val="center"/>
          </w:tcPr>
          <w:p w14:paraId="5BD9289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519" w:type="pct"/>
            <w:vMerge w:val="continue"/>
            <w:vAlign w:val="center"/>
          </w:tcPr>
          <w:p w14:paraId="417B1EA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r>
      <w:tr w14:paraId="2A0403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4" w:type="pct"/>
            <w:vMerge w:val="continue"/>
            <w:vAlign w:val="center"/>
          </w:tcPr>
          <w:p w14:paraId="3E6B37A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311" w:type="pct"/>
            <w:vMerge w:val="continue"/>
            <w:vAlign w:val="center"/>
          </w:tcPr>
          <w:p w14:paraId="4FFC4F9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33" w:type="pct"/>
            <w:vMerge w:val="continue"/>
            <w:vAlign w:val="center"/>
          </w:tcPr>
          <w:p w14:paraId="78E3585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657" w:type="pct"/>
            <w:vAlign w:val="center"/>
          </w:tcPr>
          <w:p w14:paraId="44714AE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活化废槽液</w:t>
            </w:r>
          </w:p>
        </w:tc>
        <w:tc>
          <w:tcPr>
            <w:tcW w:w="716" w:type="pct"/>
            <w:vMerge w:val="continue"/>
            <w:vAlign w:val="center"/>
          </w:tcPr>
          <w:p w14:paraId="08824F7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91" w:type="pct"/>
            <w:vMerge w:val="continue"/>
            <w:vAlign w:val="center"/>
          </w:tcPr>
          <w:p w14:paraId="481CB34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690" w:type="pct"/>
            <w:vMerge w:val="continue"/>
            <w:vAlign w:val="center"/>
          </w:tcPr>
          <w:p w14:paraId="52E53E3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644" w:type="pct"/>
            <w:vMerge w:val="continue"/>
            <w:vAlign w:val="center"/>
          </w:tcPr>
          <w:p w14:paraId="50ACE2E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571" w:type="pct"/>
            <w:vMerge w:val="continue"/>
            <w:vAlign w:val="center"/>
          </w:tcPr>
          <w:p w14:paraId="41F6E9E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519" w:type="pct"/>
            <w:vMerge w:val="continue"/>
            <w:vAlign w:val="center"/>
          </w:tcPr>
          <w:p w14:paraId="7CF75E1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r>
      <w:tr w14:paraId="6A49B5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4" w:type="pct"/>
            <w:vMerge w:val="continue"/>
            <w:vAlign w:val="center"/>
          </w:tcPr>
          <w:p w14:paraId="52A4455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311" w:type="pct"/>
            <w:vMerge w:val="continue"/>
            <w:vAlign w:val="center"/>
          </w:tcPr>
          <w:p w14:paraId="4C1064C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33" w:type="pct"/>
            <w:vMerge w:val="continue"/>
            <w:vAlign w:val="center"/>
          </w:tcPr>
          <w:p w14:paraId="239A315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657" w:type="pct"/>
            <w:vAlign w:val="center"/>
          </w:tcPr>
          <w:p w14:paraId="06C50EB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活化后水洗废水</w:t>
            </w:r>
          </w:p>
        </w:tc>
        <w:tc>
          <w:tcPr>
            <w:tcW w:w="716" w:type="pct"/>
            <w:vMerge w:val="continue"/>
            <w:vAlign w:val="center"/>
          </w:tcPr>
          <w:p w14:paraId="320024D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91" w:type="pct"/>
            <w:vMerge w:val="continue"/>
            <w:vAlign w:val="center"/>
          </w:tcPr>
          <w:p w14:paraId="5F57E13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690" w:type="pct"/>
            <w:vMerge w:val="continue"/>
            <w:vAlign w:val="center"/>
          </w:tcPr>
          <w:p w14:paraId="39F432A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644" w:type="pct"/>
            <w:vMerge w:val="continue"/>
            <w:vAlign w:val="center"/>
          </w:tcPr>
          <w:p w14:paraId="6D9A591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571" w:type="pct"/>
            <w:vMerge w:val="continue"/>
            <w:vAlign w:val="center"/>
          </w:tcPr>
          <w:p w14:paraId="3A95829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519" w:type="pct"/>
            <w:vMerge w:val="continue"/>
            <w:vAlign w:val="center"/>
          </w:tcPr>
          <w:p w14:paraId="288C485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r>
      <w:tr w14:paraId="31D8F2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4" w:type="pct"/>
            <w:vMerge w:val="continue"/>
            <w:vAlign w:val="center"/>
          </w:tcPr>
          <w:p w14:paraId="4A7F06E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311" w:type="pct"/>
            <w:vMerge w:val="restart"/>
            <w:vAlign w:val="center"/>
          </w:tcPr>
          <w:p w14:paraId="384D7DC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钢带线</w:t>
            </w:r>
          </w:p>
        </w:tc>
        <w:tc>
          <w:tcPr>
            <w:tcW w:w="133" w:type="pct"/>
            <w:vMerge w:val="continue"/>
            <w:vAlign w:val="center"/>
          </w:tcPr>
          <w:p w14:paraId="6E7413F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657" w:type="pct"/>
            <w:vAlign w:val="center"/>
          </w:tcPr>
          <w:p w14:paraId="6B09600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活化废槽液</w:t>
            </w:r>
          </w:p>
        </w:tc>
        <w:tc>
          <w:tcPr>
            <w:tcW w:w="716" w:type="pct"/>
            <w:vMerge w:val="continue"/>
            <w:vAlign w:val="center"/>
          </w:tcPr>
          <w:p w14:paraId="038A410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91" w:type="pct"/>
            <w:vMerge w:val="continue"/>
            <w:vAlign w:val="center"/>
          </w:tcPr>
          <w:p w14:paraId="0A694B5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690" w:type="pct"/>
            <w:vMerge w:val="continue"/>
            <w:vAlign w:val="center"/>
          </w:tcPr>
          <w:p w14:paraId="45E910D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644" w:type="pct"/>
            <w:vMerge w:val="continue"/>
            <w:vAlign w:val="center"/>
          </w:tcPr>
          <w:p w14:paraId="5B8D70D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571" w:type="pct"/>
            <w:vMerge w:val="continue"/>
            <w:vAlign w:val="center"/>
          </w:tcPr>
          <w:p w14:paraId="28C5515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519" w:type="pct"/>
            <w:vMerge w:val="continue"/>
            <w:vAlign w:val="center"/>
          </w:tcPr>
          <w:p w14:paraId="2B55941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r>
      <w:tr w14:paraId="0E433F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4" w:type="pct"/>
            <w:vMerge w:val="continue"/>
            <w:vAlign w:val="center"/>
          </w:tcPr>
          <w:p w14:paraId="213F54A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311" w:type="pct"/>
            <w:vMerge w:val="continue"/>
            <w:vAlign w:val="center"/>
          </w:tcPr>
          <w:p w14:paraId="43B9F5D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33" w:type="pct"/>
            <w:vMerge w:val="continue"/>
            <w:vAlign w:val="center"/>
          </w:tcPr>
          <w:p w14:paraId="53C614D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657" w:type="pct"/>
            <w:vAlign w:val="center"/>
          </w:tcPr>
          <w:p w14:paraId="766640B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活化后水洗废水</w:t>
            </w:r>
          </w:p>
        </w:tc>
        <w:tc>
          <w:tcPr>
            <w:tcW w:w="716" w:type="pct"/>
            <w:vMerge w:val="continue"/>
            <w:vAlign w:val="center"/>
          </w:tcPr>
          <w:p w14:paraId="14D986D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491" w:type="pct"/>
            <w:vMerge w:val="continue"/>
            <w:vAlign w:val="center"/>
          </w:tcPr>
          <w:p w14:paraId="4AE4072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690" w:type="pct"/>
            <w:vMerge w:val="continue"/>
            <w:vAlign w:val="center"/>
          </w:tcPr>
          <w:p w14:paraId="159A5DB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644" w:type="pct"/>
            <w:vMerge w:val="continue"/>
            <w:vAlign w:val="center"/>
          </w:tcPr>
          <w:p w14:paraId="3EFF3FA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571" w:type="pct"/>
            <w:vMerge w:val="continue"/>
            <w:vAlign w:val="center"/>
          </w:tcPr>
          <w:p w14:paraId="6499FC6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519" w:type="pct"/>
            <w:vMerge w:val="continue"/>
            <w:vAlign w:val="center"/>
          </w:tcPr>
          <w:p w14:paraId="0E25273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r>
      <w:tr w14:paraId="101583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4" w:type="pct"/>
            <w:vMerge w:val="continue"/>
            <w:vAlign w:val="center"/>
          </w:tcPr>
          <w:p w14:paraId="272197C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102" w:type="pct"/>
            <w:gridSpan w:val="3"/>
            <w:vAlign w:val="center"/>
          </w:tcPr>
          <w:p w14:paraId="7736C81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bCs/>
                <w:kern w:val="2"/>
                <w:sz w:val="21"/>
                <w:szCs w:val="21"/>
                <w:lang w:val="en-US" w:eastAsia="zh-CN" w:bidi="ar-SA"/>
              </w:rPr>
            </w:pPr>
            <w:r>
              <w:rPr>
                <w:rFonts w:ascii="Times New Roman" w:hAnsi="Times New Roman" w:eastAsia="宋体" w:cs="Times New Roman"/>
                <w:kern w:val="2"/>
                <w:sz w:val="21"/>
                <w:szCs w:val="21"/>
                <w:lang w:val="en-US" w:eastAsia="zh-CN" w:bidi="ar-SA"/>
              </w:rPr>
              <w:t>生活污水</w:t>
            </w:r>
          </w:p>
        </w:tc>
        <w:tc>
          <w:tcPr>
            <w:tcW w:w="716" w:type="pct"/>
            <w:vAlign w:val="center"/>
          </w:tcPr>
          <w:p w14:paraId="538AA9C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COD、</w:t>
            </w:r>
            <w:r>
              <w:rPr>
                <w:rFonts w:ascii="Times New Roman" w:hAnsi="Times New Roman" w:eastAsia="宋体" w:cs="Times New Roman"/>
                <w:spacing w:val="-8"/>
                <w:kern w:val="2"/>
                <w:sz w:val="21"/>
                <w:szCs w:val="21"/>
                <w:lang w:val="en-US" w:eastAsia="zh-CN" w:bidi="ar-SA"/>
              </w:rPr>
              <w:t>SS</w:t>
            </w:r>
            <w:r>
              <w:rPr>
                <w:rFonts w:ascii="Times New Roman" w:hAnsi="Times New Roman" w:eastAsia="宋体" w:cs="Times New Roman"/>
                <w:kern w:val="2"/>
                <w:sz w:val="21"/>
                <w:szCs w:val="21"/>
                <w:lang w:val="en-US" w:eastAsia="zh-CN" w:bidi="ar-SA"/>
              </w:rPr>
              <w:t>、NH</w:t>
            </w:r>
            <w:r>
              <w:rPr>
                <w:rFonts w:ascii="Times New Roman" w:hAnsi="Times New Roman" w:eastAsia="宋体" w:cs="Times New Roman"/>
                <w:kern w:val="2"/>
                <w:sz w:val="21"/>
                <w:szCs w:val="21"/>
                <w:vertAlign w:val="subscript"/>
                <w:lang w:val="en-US" w:eastAsia="zh-CN" w:bidi="ar-SA"/>
              </w:rPr>
              <w:t>3</w:t>
            </w:r>
            <w:r>
              <w:rPr>
                <w:rFonts w:ascii="Times New Roman" w:hAnsi="Times New Roman" w:eastAsia="宋体" w:cs="Times New Roman"/>
                <w:kern w:val="2"/>
                <w:sz w:val="21"/>
                <w:szCs w:val="21"/>
                <w:lang w:val="en-US" w:eastAsia="zh-CN" w:bidi="ar-SA"/>
              </w:rPr>
              <w:t>-N、TP、TN</w:t>
            </w:r>
          </w:p>
        </w:tc>
        <w:tc>
          <w:tcPr>
            <w:tcW w:w="1181" w:type="pct"/>
            <w:gridSpan w:val="2"/>
            <w:vAlign w:val="center"/>
          </w:tcPr>
          <w:p w14:paraId="276659E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化粪池</w:t>
            </w:r>
          </w:p>
        </w:tc>
        <w:tc>
          <w:tcPr>
            <w:tcW w:w="1215" w:type="pct"/>
            <w:gridSpan w:val="2"/>
            <w:vAlign w:val="center"/>
          </w:tcPr>
          <w:p w14:paraId="4D09FB6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化粪池</w:t>
            </w:r>
          </w:p>
        </w:tc>
        <w:tc>
          <w:tcPr>
            <w:tcW w:w="519" w:type="pct"/>
            <w:vAlign w:val="center"/>
          </w:tcPr>
          <w:p w14:paraId="24168FE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已落实</w:t>
            </w:r>
          </w:p>
        </w:tc>
      </w:tr>
      <w:tr w14:paraId="518720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4" w:type="pct"/>
            <w:vMerge w:val="continue"/>
            <w:vAlign w:val="center"/>
          </w:tcPr>
          <w:p w14:paraId="5A29B2A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102" w:type="pct"/>
            <w:gridSpan w:val="3"/>
            <w:vAlign w:val="center"/>
          </w:tcPr>
          <w:p w14:paraId="5786E71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bCs/>
                <w:kern w:val="2"/>
                <w:sz w:val="21"/>
                <w:szCs w:val="21"/>
                <w:lang w:val="en-US" w:eastAsia="zh-CN" w:bidi="ar-SA"/>
              </w:rPr>
            </w:pPr>
            <w:r>
              <w:rPr>
                <w:rFonts w:ascii="Times New Roman" w:hAnsi="Times New Roman" w:eastAsia="宋体" w:cs="Times New Roman"/>
                <w:kern w:val="2"/>
                <w:sz w:val="21"/>
                <w:szCs w:val="21"/>
                <w:lang w:val="en-US" w:eastAsia="zh-CN" w:bidi="ar-SA"/>
              </w:rPr>
              <w:t>纯水制备浓水</w:t>
            </w:r>
          </w:p>
        </w:tc>
        <w:tc>
          <w:tcPr>
            <w:tcW w:w="716" w:type="pct"/>
            <w:vAlign w:val="center"/>
          </w:tcPr>
          <w:p w14:paraId="6902ADB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COD、</w:t>
            </w:r>
            <w:r>
              <w:rPr>
                <w:rFonts w:ascii="Times New Roman" w:hAnsi="Times New Roman" w:eastAsia="宋体" w:cs="Times New Roman"/>
                <w:spacing w:val="-8"/>
                <w:kern w:val="2"/>
                <w:sz w:val="21"/>
                <w:szCs w:val="21"/>
                <w:lang w:val="en-US" w:eastAsia="zh-CN" w:bidi="ar-SA"/>
              </w:rPr>
              <w:t>SS</w:t>
            </w:r>
          </w:p>
        </w:tc>
        <w:tc>
          <w:tcPr>
            <w:tcW w:w="1181" w:type="pct"/>
            <w:gridSpan w:val="2"/>
            <w:vAlign w:val="center"/>
          </w:tcPr>
          <w:p w14:paraId="55BB5F5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w:t>
            </w:r>
          </w:p>
        </w:tc>
        <w:tc>
          <w:tcPr>
            <w:tcW w:w="1215" w:type="pct"/>
            <w:gridSpan w:val="2"/>
            <w:vAlign w:val="center"/>
          </w:tcPr>
          <w:p w14:paraId="02B5387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w:t>
            </w:r>
          </w:p>
        </w:tc>
        <w:tc>
          <w:tcPr>
            <w:tcW w:w="519" w:type="pct"/>
            <w:vAlign w:val="center"/>
          </w:tcPr>
          <w:p w14:paraId="7CFD057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w:t>
            </w:r>
          </w:p>
        </w:tc>
      </w:tr>
      <w:tr w14:paraId="6D1FC5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4" w:type="pct"/>
            <w:vMerge w:val="continue"/>
            <w:vAlign w:val="center"/>
          </w:tcPr>
          <w:p w14:paraId="1E716CF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102" w:type="pct"/>
            <w:gridSpan w:val="3"/>
            <w:vAlign w:val="center"/>
          </w:tcPr>
          <w:p w14:paraId="21ECB99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bCs/>
                <w:kern w:val="2"/>
                <w:sz w:val="21"/>
                <w:szCs w:val="21"/>
                <w:lang w:val="en-US" w:eastAsia="zh-CN" w:bidi="ar-SA"/>
              </w:rPr>
            </w:pPr>
            <w:r>
              <w:rPr>
                <w:rFonts w:ascii="Times New Roman" w:hAnsi="Times New Roman" w:eastAsia="宋体" w:cs="Times New Roman"/>
                <w:kern w:val="2"/>
                <w:sz w:val="21"/>
                <w:szCs w:val="21"/>
                <w:lang w:val="en-US" w:eastAsia="zh-CN" w:bidi="ar-SA"/>
              </w:rPr>
              <w:t>冲压冷却水</w:t>
            </w:r>
          </w:p>
        </w:tc>
        <w:tc>
          <w:tcPr>
            <w:tcW w:w="716" w:type="pct"/>
            <w:vAlign w:val="center"/>
          </w:tcPr>
          <w:p w14:paraId="0DAEE1E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COD、</w:t>
            </w:r>
            <w:r>
              <w:rPr>
                <w:rFonts w:ascii="Times New Roman" w:hAnsi="Times New Roman" w:eastAsia="宋体" w:cs="Times New Roman"/>
                <w:spacing w:val="-8"/>
                <w:kern w:val="2"/>
                <w:sz w:val="21"/>
                <w:szCs w:val="21"/>
                <w:lang w:val="en-US" w:eastAsia="zh-CN" w:bidi="ar-SA"/>
              </w:rPr>
              <w:t>SS</w:t>
            </w:r>
          </w:p>
        </w:tc>
        <w:tc>
          <w:tcPr>
            <w:tcW w:w="1181" w:type="pct"/>
            <w:gridSpan w:val="2"/>
            <w:vAlign w:val="center"/>
          </w:tcPr>
          <w:p w14:paraId="397101D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w:t>
            </w:r>
          </w:p>
        </w:tc>
        <w:tc>
          <w:tcPr>
            <w:tcW w:w="1215" w:type="pct"/>
            <w:gridSpan w:val="2"/>
            <w:vAlign w:val="center"/>
          </w:tcPr>
          <w:p w14:paraId="76B2E21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w:t>
            </w:r>
          </w:p>
        </w:tc>
        <w:tc>
          <w:tcPr>
            <w:tcW w:w="519" w:type="pct"/>
            <w:vAlign w:val="center"/>
          </w:tcPr>
          <w:p w14:paraId="25C696E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w:t>
            </w:r>
          </w:p>
        </w:tc>
      </w:tr>
      <w:tr w14:paraId="5DA7CD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4" w:type="pct"/>
            <w:vMerge w:val="restart"/>
            <w:vAlign w:val="center"/>
          </w:tcPr>
          <w:p w14:paraId="61B936D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固废</w:t>
            </w:r>
          </w:p>
        </w:tc>
        <w:tc>
          <w:tcPr>
            <w:tcW w:w="1102" w:type="pct"/>
            <w:gridSpan w:val="3"/>
            <w:vAlign w:val="center"/>
          </w:tcPr>
          <w:p w14:paraId="692C5C2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机加工</w:t>
            </w:r>
          </w:p>
        </w:tc>
        <w:tc>
          <w:tcPr>
            <w:tcW w:w="716" w:type="pct"/>
            <w:vAlign w:val="center"/>
          </w:tcPr>
          <w:p w14:paraId="3041E29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废边角料</w:t>
            </w:r>
          </w:p>
        </w:tc>
        <w:tc>
          <w:tcPr>
            <w:tcW w:w="1181" w:type="pct"/>
            <w:gridSpan w:val="2"/>
            <w:vAlign w:val="center"/>
          </w:tcPr>
          <w:p w14:paraId="23C6274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外售综合利用</w:t>
            </w:r>
          </w:p>
        </w:tc>
        <w:tc>
          <w:tcPr>
            <w:tcW w:w="1215" w:type="pct"/>
            <w:gridSpan w:val="2"/>
            <w:vAlign w:val="center"/>
          </w:tcPr>
          <w:p w14:paraId="7211ED8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外售综合利用</w:t>
            </w:r>
          </w:p>
        </w:tc>
        <w:tc>
          <w:tcPr>
            <w:tcW w:w="519" w:type="pct"/>
            <w:vMerge w:val="restart"/>
            <w:vAlign w:val="center"/>
          </w:tcPr>
          <w:p w14:paraId="1069A1E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已落实</w:t>
            </w:r>
          </w:p>
        </w:tc>
      </w:tr>
      <w:tr w14:paraId="20B3AD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4" w:type="pct"/>
            <w:vMerge w:val="continue"/>
            <w:vAlign w:val="center"/>
          </w:tcPr>
          <w:p w14:paraId="2E0B19F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102" w:type="pct"/>
            <w:gridSpan w:val="3"/>
            <w:vAlign w:val="center"/>
          </w:tcPr>
          <w:p w14:paraId="14395A7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检验</w:t>
            </w:r>
          </w:p>
        </w:tc>
        <w:tc>
          <w:tcPr>
            <w:tcW w:w="716" w:type="pct"/>
            <w:vAlign w:val="center"/>
          </w:tcPr>
          <w:p w14:paraId="3E19F2E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废钢带</w:t>
            </w:r>
          </w:p>
        </w:tc>
        <w:tc>
          <w:tcPr>
            <w:tcW w:w="1181" w:type="pct"/>
            <w:gridSpan w:val="2"/>
            <w:vAlign w:val="center"/>
          </w:tcPr>
          <w:p w14:paraId="46FAD2D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外售综合利用</w:t>
            </w:r>
          </w:p>
        </w:tc>
        <w:tc>
          <w:tcPr>
            <w:tcW w:w="1215" w:type="pct"/>
            <w:gridSpan w:val="2"/>
            <w:vAlign w:val="center"/>
          </w:tcPr>
          <w:p w14:paraId="7655453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外售综合利用</w:t>
            </w:r>
          </w:p>
        </w:tc>
        <w:tc>
          <w:tcPr>
            <w:tcW w:w="519" w:type="pct"/>
            <w:vMerge w:val="continue"/>
            <w:vAlign w:val="center"/>
          </w:tcPr>
          <w:p w14:paraId="358D342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r>
      <w:tr w14:paraId="3564B6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4" w:type="pct"/>
            <w:vMerge w:val="continue"/>
            <w:vAlign w:val="center"/>
          </w:tcPr>
          <w:p w14:paraId="459DC13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102" w:type="pct"/>
            <w:gridSpan w:val="3"/>
            <w:vAlign w:val="center"/>
          </w:tcPr>
          <w:p w14:paraId="0D9D1AA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综合污水处理系统</w:t>
            </w:r>
          </w:p>
        </w:tc>
        <w:tc>
          <w:tcPr>
            <w:tcW w:w="716" w:type="pct"/>
            <w:vAlign w:val="center"/>
          </w:tcPr>
          <w:p w14:paraId="254FE5E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生化污泥</w:t>
            </w:r>
          </w:p>
        </w:tc>
        <w:tc>
          <w:tcPr>
            <w:tcW w:w="1181" w:type="pct"/>
            <w:gridSpan w:val="2"/>
            <w:vAlign w:val="center"/>
          </w:tcPr>
          <w:p w14:paraId="42B82C4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外售建材厂综合利用</w:t>
            </w:r>
          </w:p>
        </w:tc>
        <w:tc>
          <w:tcPr>
            <w:tcW w:w="1215" w:type="pct"/>
            <w:gridSpan w:val="2"/>
            <w:vAlign w:val="center"/>
          </w:tcPr>
          <w:p w14:paraId="077A8FB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外售建材厂综合利用</w:t>
            </w:r>
          </w:p>
        </w:tc>
        <w:tc>
          <w:tcPr>
            <w:tcW w:w="519" w:type="pct"/>
            <w:vMerge w:val="continue"/>
            <w:vAlign w:val="center"/>
          </w:tcPr>
          <w:p w14:paraId="3F8A79E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r>
      <w:tr w14:paraId="61B0F8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4" w:type="pct"/>
            <w:vMerge w:val="continue"/>
            <w:vAlign w:val="center"/>
          </w:tcPr>
          <w:p w14:paraId="77D5DEE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102" w:type="pct"/>
            <w:gridSpan w:val="3"/>
            <w:vAlign w:val="center"/>
          </w:tcPr>
          <w:p w14:paraId="3DAF8AD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纯水制备</w:t>
            </w:r>
          </w:p>
        </w:tc>
        <w:tc>
          <w:tcPr>
            <w:tcW w:w="716" w:type="pct"/>
            <w:vAlign w:val="center"/>
          </w:tcPr>
          <w:p w14:paraId="78E8BF9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废过滤器、废活性炭、废RO膜</w:t>
            </w:r>
          </w:p>
        </w:tc>
        <w:tc>
          <w:tcPr>
            <w:tcW w:w="1181" w:type="pct"/>
            <w:gridSpan w:val="2"/>
            <w:vAlign w:val="center"/>
          </w:tcPr>
          <w:p w14:paraId="23D6447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厂家回收</w:t>
            </w:r>
          </w:p>
        </w:tc>
        <w:tc>
          <w:tcPr>
            <w:tcW w:w="1215" w:type="pct"/>
            <w:gridSpan w:val="2"/>
            <w:vAlign w:val="center"/>
          </w:tcPr>
          <w:p w14:paraId="44F096A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厂家回收</w:t>
            </w:r>
          </w:p>
        </w:tc>
        <w:tc>
          <w:tcPr>
            <w:tcW w:w="519" w:type="pct"/>
            <w:vMerge w:val="continue"/>
            <w:vAlign w:val="center"/>
          </w:tcPr>
          <w:p w14:paraId="1D29C46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r>
      <w:tr w14:paraId="32459F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4" w:type="pct"/>
            <w:vMerge w:val="continue"/>
            <w:vAlign w:val="center"/>
          </w:tcPr>
          <w:p w14:paraId="53BC360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102" w:type="pct"/>
            <w:gridSpan w:val="3"/>
            <w:vAlign w:val="center"/>
          </w:tcPr>
          <w:p w14:paraId="28C8EE8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原料使用</w:t>
            </w:r>
          </w:p>
        </w:tc>
        <w:tc>
          <w:tcPr>
            <w:tcW w:w="716" w:type="pct"/>
            <w:vAlign w:val="center"/>
          </w:tcPr>
          <w:p w14:paraId="720B626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废包装物</w:t>
            </w:r>
          </w:p>
        </w:tc>
        <w:tc>
          <w:tcPr>
            <w:tcW w:w="1181" w:type="pct"/>
            <w:gridSpan w:val="2"/>
            <w:vMerge w:val="restart"/>
            <w:vAlign w:val="center"/>
          </w:tcPr>
          <w:p w14:paraId="13C4B52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专用容器收集，在危废储存间分类暂存，定期送有相应危废处置资质的单位处置；新建</w:t>
            </w:r>
          </w:p>
        </w:tc>
        <w:tc>
          <w:tcPr>
            <w:tcW w:w="1215" w:type="pct"/>
            <w:gridSpan w:val="2"/>
            <w:vMerge w:val="restart"/>
            <w:vAlign w:val="center"/>
          </w:tcPr>
          <w:p w14:paraId="7A532A4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专用容器收集，在危废储存间分类暂存，定期送有相应危废处置资质的单位处置；新建</w:t>
            </w:r>
          </w:p>
        </w:tc>
        <w:tc>
          <w:tcPr>
            <w:tcW w:w="519" w:type="pct"/>
            <w:vMerge w:val="restart"/>
            <w:vAlign w:val="center"/>
          </w:tcPr>
          <w:p w14:paraId="529ED03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已落实</w:t>
            </w:r>
          </w:p>
        </w:tc>
      </w:tr>
      <w:tr w14:paraId="1CC26A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4" w:type="pct"/>
            <w:vMerge w:val="continue"/>
            <w:vAlign w:val="center"/>
          </w:tcPr>
          <w:p w14:paraId="52F71F9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102" w:type="pct"/>
            <w:gridSpan w:val="3"/>
            <w:vMerge w:val="restart"/>
            <w:vAlign w:val="center"/>
          </w:tcPr>
          <w:p w14:paraId="24849DF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机加工</w:t>
            </w:r>
          </w:p>
        </w:tc>
        <w:tc>
          <w:tcPr>
            <w:tcW w:w="716" w:type="pct"/>
            <w:vAlign w:val="center"/>
          </w:tcPr>
          <w:p w14:paraId="6FAF883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废切削液</w:t>
            </w:r>
          </w:p>
        </w:tc>
        <w:tc>
          <w:tcPr>
            <w:tcW w:w="1181" w:type="pct"/>
            <w:gridSpan w:val="2"/>
            <w:vMerge w:val="continue"/>
            <w:vAlign w:val="center"/>
          </w:tcPr>
          <w:p w14:paraId="4A2677F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215" w:type="pct"/>
            <w:gridSpan w:val="2"/>
            <w:vMerge w:val="continue"/>
            <w:vAlign w:val="center"/>
          </w:tcPr>
          <w:p w14:paraId="7BDA606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519" w:type="pct"/>
            <w:vMerge w:val="continue"/>
            <w:vAlign w:val="center"/>
          </w:tcPr>
          <w:p w14:paraId="30BB83C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kern w:val="2"/>
                <w:sz w:val="21"/>
                <w:szCs w:val="21"/>
              </w:rPr>
            </w:pPr>
          </w:p>
        </w:tc>
      </w:tr>
      <w:tr w14:paraId="6A3A2C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4" w:type="pct"/>
            <w:vMerge w:val="continue"/>
            <w:vAlign w:val="center"/>
          </w:tcPr>
          <w:p w14:paraId="47DCC80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102" w:type="pct"/>
            <w:gridSpan w:val="3"/>
            <w:vMerge w:val="continue"/>
            <w:vAlign w:val="center"/>
          </w:tcPr>
          <w:p w14:paraId="1B9E3ED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716" w:type="pct"/>
            <w:vAlign w:val="center"/>
          </w:tcPr>
          <w:p w14:paraId="463237B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废拉伸油</w:t>
            </w:r>
          </w:p>
        </w:tc>
        <w:tc>
          <w:tcPr>
            <w:tcW w:w="1181" w:type="pct"/>
            <w:gridSpan w:val="2"/>
            <w:vMerge w:val="continue"/>
            <w:vAlign w:val="center"/>
          </w:tcPr>
          <w:p w14:paraId="236B179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215" w:type="pct"/>
            <w:gridSpan w:val="2"/>
            <w:vMerge w:val="continue"/>
            <w:vAlign w:val="center"/>
          </w:tcPr>
          <w:p w14:paraId="26D2166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519" w:type="pct"/>
            <w:vMerge w:val="continue"/>
            <w:vAlign w:val="center"/>
          </w:tcPr>
          <w:p w14:paraId="2D642A7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kern w:val="2"/>
                <w:sz w:val="21"/>
                <w:szCs w:val="21"/>
              </w:rPr>
            </w:pPr>
          </w:p>
        </w:tc>
      </w:tr>
      <w:tr w14:paraId="50AEDF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4" w:type="pct"/>
            <w:vMerge w:val="continue"/>
            <w:vAlign w:val="center"/>
          </w:tcPr>
          <w:p w14:paraId="74BC9BC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102" w:type="pct"/>
            <w:gridSpan w:val="3"/>
            <w:vMerge w:val="restart"/>
            <w:vAlign w:val="center"/>
          </w:tcPr>
          <w:p w14:paraId="742E632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电镀线</w:t>
            </w:r>
          </w:p>
        </w:tc>
        <w:tc>
          <w:tcPr>
            <w:tcW w:w="716" w:type="pct"/>
            <w:vAlign w:val="center"/>
          </w:tcPr>
          <w:p w14:paraId="1C9C503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废油渣</w:t>
            </w:r>
          </w:p>
        </w:tc>
        <w:tc>
          <w:tcPr>
            <w:tcW w:w="1181" w:type="pct"/>
            <w:gridSpan w:val="2"/>
            <w:vMerge w:val="continue"/>
            <w:vAlign w:val="center"/>
          </w:tcPr>
          <w:p w14:paraId="752001B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215" w:type="pct"/>
            <w:gridSpan w:val="2"/>
            <w:vMerge w:val="continue"/>
            <w:vAlign w:val="center"/>
          </w:tcPr>
          <w:p w14:paraId="41B7961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519" w:type="pct"/>
            <w:vMerge w:val="continue"/>
            <w:vAlign w:val="center"/>
          </w:tcPr>
          <w:p w14:paraId="18B4848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kern w:val="2"/>
                <w:sz w:val="21"/>
                <w:szCs w:val="21"/>
              </w:rPr>
            </w:pPr>
          </w:p>
        </w:tc>
      </w:tr>
      <w:tr w14:paraId="30EF87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4" w:type="pct"/>
            <w:vMerge w:val="continue"/>
            <w:vAlign w:val="center"/>
          </w:tcPr>
          <w:p w14:paraId="7F91DD4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102" w:type="pct"/>
            <w:gridSpan w:val="3"/>
            <w:vMerge w:val="continue"/>
            <w:vAlign w:val="center"/>
          </w:tcPr>
          <w:p w14:paraId="74EA89B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716" w:type="pct"/>
            <w:vAlign w:val="center"/>
          </w:tcPr>
          <w:p w14:paraId="3049B25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含镍废槽液</w:t>
            </w:r>
          </w:p>
        </w:tc>
        <w:tc>
          <w:tcPr>
            <w:tcW w:w="1181" w:type="pct"/>
            <w:gridSpan w:val="2"/>
            <w:vMerge w:val="continue"/>
            <w:vAlign w:val="center"/>
          </w:tcPr>
          <w:p w14:paraId="78DD84E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215" w:type="pct"/>
            <w:gridSpan w:val="2"/>
            <w:vMerge w:val="continue"/>
            <w:vAlign w:val="center"/>
          </w:tcPr>
          <w:p w14:paraId="295A799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519" w:type="pct"/>
            <w:vMerge w:val="continue"/>
            <w:vAlign w:val="center"/>
          </w:tcPr>
          <w:p w14:paraId="18B4528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kern w:val="2"/>
                <w:sz w:val="21"/>
                <w:szCs w:val="21"/>
              </w:rPr>
            </w:pPr>
          </w:p>
        </w:tc>
      </w:tr>
      <w:tr w14:paraId="252DEC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4" w:type="pct"/>
            <w:vMerge w:val="continue"/>
            <w:vAlign w:val="center"/>
          </w:tcPr>
          <w:p w14:paraId="5480A2D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102" w:type="pct"/>
            <w:gridSpan w:val="3"/>
            <w:vMerge w:val="continue"/>
            <w:vAlign w:val="center"/>
          </w:tcPr>
          <w:p w14:paraId="4BF86AE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716" w:type="pct"/>
            <w:vAlign w:val="center"/>
          </w:tcPr>
          <w:p w14:paraId="4D7195C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含镍废槽渣</w:t>
            </w:r>
          </w:p>
        </w:tc>
        <w:tc>
          <w:tcPr>
            <w:tcW w:w="1181" w:type="pct"/>
            <w:gridSpan w:val="2"/>
            <w:vMerge w:val="continue"/>
            <w:vAlign w:val="center"/>
          </w:tcPr>
          <w:p w14:paraId="66971C4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215" w:type="pct"/>
            <w:gridSpan w:val="2"/>
            <w:vMerge w:val="continue"/>
            <w:vAlign w:val="center"/>
          </w:tcPr>
          <w:p w14:paraId="1AA2A4B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519" w:type="pct"/>
            <w:vMerge w:val="continue"/>
            <w:vAlign w:val="center"/>
          </w:tcPr>
          <w:p w14:paraId="3BC6C89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kern w:val="2"/>
                <w:sz w:val="21"/>
                <w:szCs w:val="21"/>
              </w:rPr>
            </w:pPr>
          </w:p>
        </w:tc>
      </w:tr>
      <w:tr w14:paraId="79102E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4" w:type="pct"/>
            <w:vMerge w:val="continue"/>
            <w:vAlign w:val="center"/>
          </w:tcPr>
          <w:p w14:paraId="5439EFA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102" w:type="pct"/>
            <w:gridSpan w:val="3"/>
            <w:vMerge w:val="continue"/>
            <w:vAlign w:val="center"/>
          </w:tcPr>
          <w:p w14:paraId="4A44CCD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716" w:type="pct"/>
            <w:vAlign w:val="center"/>
          </w:tcPr>
          <w:p w14:paraId="3244610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含锌废槽液</w:t>
            </w:r>
          </w:p>
        </w:tc>
        <w:tc>
          <w:tcPr>
            <w:tcW w:w="1181" w:type="pct"/>
            <w:gridSpan w:val="2"/>
            <w:vMerge w:val="continue"/>
            <w:vAlign w:val="center"/>
          </w:tcPr>
          <w:p w14:paraId="5146F4D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215" w:type="pct"/>
            <w:gridSpan w:val="2"/>
            <w:vMerge w:val="continue"/>
            <w:vAlign w:val="center"/>
          </w:tcPr>
          <w:p w14:paraId="6BFAB5C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519" w:type="pct"/>
            <w:vMerge w:val="continue"/>
            <w:vAlign w:val="center"/>
          </w:tcPr>
          <w:p w14:paraId="1E4334C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kern w:val="2"/>
                <w:sz w:val="21"/>
                <w:szCs w:val="21"/>
              </w:rPr>
            </w:pPr>
          </w:p>
        </w:tc>
      </w:tr>
      <w:tr w14:paraId="261E6B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397" w:hRule="atLeast"/>
        </w:trPr>
        <w:tc>
          <w:tcPr>
            <w:tcW w:w="264" w:type="pct"/>
            <w:vMerge w:val="continue"/>
            <w:vAlign w:val="center"/>
          </w:tcPr>
          <w:p w14:paraId="5697C6A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102" w:type="pct"/>
            <w:gridSpan w:val="3"/>
            <w:vMerge w:val="continue"/>
            <w:vAlign w:val="center"/>
          </w:tcPr>
          <w:p w14:paraId="10F572C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716" w:type="pct"/>
            <w:vAlign w:val="center"/>
          </w:tcPr>
          <w:p w14:paraId="1FE337D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含锌废槽渣</w:t>
            </w:r>
          </w:p>
        </w:tc>
        <w:tc>
          <w:tcPr>
            <w:tcW w:w="1181" w:type="pct"/>
            <w:gridSpan w:val="2"/>
            <w:vMerge w:val="continue"/>
            <w:vAlign w:val="center"/>
          </w:tcPr>
          <w:p w14:paraId="702C58C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215" w:type="pct"/>
            <w:gridSpan w:val="2"/>
            <w:vMerge w:val="continue"/>
            <w:vAlign w:val="center"/>
          </w:tcPr>
          <w:p w14:paraId="2E94229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519" w:type="pct"/>
            <w:vMerge w:val="continue"/>
            <w:vAlign w:val="center"/>
          </w:tcPr>
          <w:p w14:paraId="216DA85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kern w:val="2"/>
                <w:sz w:val="21"/>
                <w:szCs w:val="21"/>
              </w:rPr>
            </w:pPr>
          </w:p>
        </w:tc>
      </w:tr>
      <w:tr w14:paraId="0D5D76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4" w:type="pct"/>
            <w:vMerge w:val="continue"/>
            <w:vAlign w:val="center"/>
          </w:tcPr>
          <w:p w14:paraId="016B574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102" w:type="pct"/>
            <w:gridSpan w:val="3"/>
            <w:vMerge w:val="continue"/>
            <w:vAlign w:val="center"/>
          </w:tcPr>
          <w:p w14:paraId="644CDCF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716" w:type="pct"/>
            <w:vAlign w:val="center"/>
          </w:tcPr>
          <w:p w14:paraId="4E0E134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废滤芯</w:t>
            </w:r>
          </w:p>
        </w:tc>
        <w:tc>
          <w:tcPr>
            <w:tcW w:w="1181" w:type="pct"/>
            <w:gridSpan w:val="2"/>
            <w:vMerge w:val="continue"/>
            <w:vAlign w:val="center"/>
          </w:tcPr>
          <w:p w14:paraId="6F0057F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215" w:type="pct"/>
            <w:gridSpan w:val="2"/>
            <w:vMerge w:val="continue"/>
            <w:vAlign w:val="center"/>
          </w:tcPr>
          <w:p w14:paraId="30FC4D1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519" w:type="pct"/>
            <w:vMerge w:val="continue"/>
            <w:vAlign w:val="center"/>
          </w:tcPr>
          <w:p w14:paraId="413091C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kern w:val="2"/>
                <w:sz w:val="21"/>
                <w:szCs w:val="21"/>
              </w:rPr>
            </w:pPr>
          </w:p>
        </w:tc>
      </w:tr>
      <w:tr w14:paraId="051C4F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397" w:hRule="atLeast"/>
        </w:trPr>
        <w:tc>
          <w:tcPr>
            <w:tcW w:w="264" w:type="pct"/>
            <w:vMerge w:val="continue"/>
            <w:vAlign w:val="center"/>
          </w:tcPr>
          <w:p w14:paraId="6D051FC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102" w:type="pct"/>
            <w:gridSpan w:val="3"/>
            <w:vAlign w:val="center"/>
          </w:tcPr>
          <w:p w14:paraId="64448D6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退镀线</w:t>
            </w:r>
          </w:p>
        </w:tc>
        <w:tc>
          <w:tcPr>
            <w:tcW w:w="716" w:type="pct"/>
            <w:vAlign w:val="center"/>
          </w:tcPr>
          <w:p w14:paraId="7B2B0B3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退锌槽含锌废槽液</w:t>
            </w:r>
          </w:p>
        </w:tc>
        <w:tc>
          <w:tcPr>
            <w:tcW w:w="1181" w:type="pct"/>
            <w:gridSpan w:val="2"/>
            <w:vMerge w:val="continue"/>
            <w:vAlign w:val="center"/>
          </w:tcPr>
          <w:p w14:paraId="03C784B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215" w:type="pct"/>
            <w:gridSpan w:val="2"/>
            <w:vMerge w:val="continue"/>
            <w:vAlign w:val="center"/>
          </w:tcPr>
          <w:p w14:paraId="7E3C6A4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519" w:type="pct"/>
            <w:vMerge w:val="continue"/>
            <w:vAlign w:val="center"/>
          </w:tcPr>
          <w:p w14:paraId="1939022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kern w:val="2"/>
                <w:sz w:val="21"/>
                <w:szCs w:val="21"/>
              </w:rPr>
            </w:pPr>
          </w:p>
        </w:tc>
      </w:tr>
      <w:tr w14:paraId="5CBB93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4" w:type="pct"/>
            <w:vMerge w:val="continue"/>
            <w:vAlign w:val="center"/>
          </w:tcPr>
          <w:p w14:paraId="38A40C4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102" w:type="pct"/>
            <w:gridSpan w:val="3"/>
            <w:vAlign w:val="center"/>
          </w:tcPr>
          <w:p w14:paraId="6EBB463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气浮池</w:t>
            </w:r>
          </w:p>
        </w:tc>
        <w:tc>
          <w:tcPr>
            <w:tcW w:w="716" w:type="pct"/>
            <w:vAlign w:val="center"/>
          </w:tcPr>
          <w:p w14:paraId="413346F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废油渣</w:t>
            </w:r>
          </w:p>
        </w:tc>
        <w:tc>
          <w:tcPr>
            <w:tcW w:w="1181" w:type="pct"/>
            <w:gridSpan w:val="2"/>
            <w:vMerge w:val="continue"/>
            <w:vAlign w:val="center"/>
          </w:tcPr>
          <w:p w14:paraId="50F6733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215" w:type="pct"/>
            <w:gridSpan w:val="2"/>
            <w:vMerge w:val="continue"/>
            <w:vAlign w:val="center"/>
          </w:tcPr>
          <w:p w14:paraId="72324E3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519" w:type="pct"/>
            <w:vMerge w:val="continue"/>
            <w:vAlign w:val="center"/>
          </w:tcPr>
          <w:p w14:paraId="4DBDBF6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kern w:val="2"/>
                <w:sz w:val="21"/>
                <w:szCs w:val="21"/>
              </w:rPr>
            </w:pPr>
          </w:p>
        </w:tc>
      </w:tr>
      <w:tr w14:paraId="24FF3C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4" w:type="pct"/>
            <w:vMerge w:val="continue"/>
            <w:vAlign w:val="center"/>
          </w:tcPr>
          <w:p w14:paraId="57AEB76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102" w:type="pct"/>
            <w:gridSpan w:val="3"/>
            <w:vAlign w:val="center"/>
          </w:tcPr>
          <w:p w14:paraId="365F7FB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重金属预处理系统</w:t>
            </w:r>
          </w:p>
        </w:tc>
        <w:tc>
          <w:tcPr>
            <w:tcW w:w="716" w:type="pct"/>
            <w:vAlign w:val="center"/>
          </w:tcPr>
          <w:p w14:paraId="5304171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含重金属污泥</w:t>
            </w:r>
          </w:p>
        </w:tc>
        <w:tc>
          <w:tcPr>
            <w:tcW w:w="1181" w:type="pct"/>
            <w:gridSpan w:val="2"/>
            <w:vMerge w:val="continue"/>
            <w:vAlign w:val="center"/>
          </w:tcPr>
          <w:p w14:paraId="58E7B3D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215" w:type="pct"/>
            <w:gridSpan w:val="2"/>
            <w:vMerge w:val="continue"/>
            <w:vAlign w:val="center"/>
          </w:tcPr>
          <w:p w14:paraId="0DBE8A6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519" w:type="pct"/>
            <w:vMerge w:val="continue"/>
            <w:vAlign w:val="center"/>
          </w:tcPr>
          <w:p w14:paraId="3FD2C62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kern w:val="2"/>
                <w:sz w:val="21"/>
                <w:szCs w:val="21"/>
              </w:rPr>
            </w:pPr>
          </w:p>
        </w:tc>
      </w:tr>
      <w:tr w14:paraId="200F93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4" w:type="pct"/>
            <w:vMerge w:val="continue"/>
            <w:vAlign w:val="center"/>
          </w:tcPr>
          <w:p w14:paraId="2887B7E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102" w:type="pct"/>
            <w:gridSpan w:val="3"/>
            <w:vMerge w:val="restart"/>
            <w:vAlign w:val="center"/>
          </w:tcPr>
          <w:p w14:paraId="7FD2F37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含镍废水处理设施</w:t>
            </w:r>
          </w:p>
        </w:tc>
        <w:tc>
          <w:tcPr>
            <w:tcW w:w="716" w:type="pct"/>
            <w:vAlign w:val="center"/>
          </w:tcPr>
          <w:p w14:paraId="6E0FD78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含镍废活性炭</w:t>
            </w:r>
          </w:p>
        </w:tc>
        <w:tc>
          <w:tcPr>
            <w:tcW w:w="1181" w:type="pct"/>
            <w:gridSpan w:val="2"/>
            <w:vMerge w:val="continue"/>
            <w:vAlign w:val="center"/>
          </w:tcPr>
          <w:p w14:paraId="75430CB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215" w:type="pct"/>
            <w:gridSpan w:val="2"/>
            <w:vMerge w:val="continue"/>
            <w:vAlign w:val="center"/>
          </w:tcPr>
          <w:p w14:paraId="6CFB271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519" w:type="pct"/>
            <w:vMerge w:val="continue"/>
            <w:vAlign w:val="center"/>
          </w:tcPr>
          <w:p w14:paraId="5EFFBEC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kern w:val="2"/>
                <w:sz w:val="21"/>
                <w:szCs w:val="21"/>
              </w:rPr>
            </w:pPr>
          </w:p>
        </w:tc>
      </w:tr>
      <w:tr w14:paraId="18D0AD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4" w:type="pct"/>
            <w:vMerge w:val="continue"/>
            <w:vAlign w:val="center"/>
          </w:tcPr>
          <w:p w14:paraId="161CAF1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102" w:type="pct"/>
            <w:gridSpan w:val="3"/>
            <w:vMerge w:val="continue"/>
            <w:vAlign w:val="center"/>
          </w:tcPr>
          <w:p w14:paraId="3744127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716" w:type="pct"/>
            <w:vAlign w:val="center"/>
          </w:tcPr>
          <w:p w14:paraId="3E00088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含镍废过滤膜</w:t>
            </w:r>
          </w:p>
        </w:tc>
        <w:tc>
          <w:tcPr>
            <w:tcW w:w="1181" w:type="pct"/>
            <w:gridSpan w:val="2"/>
            <w:vMerge w:val="continue"/>
            <w:vAlign w:val="center"/>
          </w:tcPr>
          <w:p w14:paraId="7CBE3E8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215" w:type="pct"/>
            <w:gridSpan w:val="2"/>
            <w:vMerge w:val="continue"/>
            <w:vAlign w:val="center"/>
          </w:tcPr>
          <w:p w14:paraId="5C26C46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519" w:type="pct"/>
            <w:vMerge w:val="continue"/>
            <w:vAlign w:val="center"/>
          </w:tcPr>
          <w:p w14:paraId="4CB18FD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kern w:val="2"/>
                <w:sz w:val="21"/>
                <w:szCs w:val="21"/>
              </w:rPr>
            </w:pPr>
          </w:p>
        </w:tc>
      </w:tr>
      <w:tr w14:paraId="78DBC7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4" w:type="pct"/>
            <w:vMerge w:val="continue"/>
            <w:vAlign w:val="center"/>
          </w:tcPr>
          <w:p w14:paraId="5277498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102" w:type="pct"/>
            <w:gridSpan w:val="3"/>
            <w:vMerge w:val="continue"/>
            <w:vAlign w:val="center"/>
          </w:tcPr>
          <w:p w14:paraId="233D464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716" w:type="pct"/>
            <w:vAlign w:val="center"/>
          </w:tcPr>
          <w:p w14:paraId="3D557A7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含镍污泥</w:t>
            </w:r>
          </w:p>
        </w:tc>
        <w:tc>
          <w:tcPr>
            <w:tcW w:w="1181" w:type="pct"/>
            <w:gridSpan w:val="2"/>
            <w:vMerge w:val="continue"/>
            <w:vAlign w:val="center"/>
          </w:tcPr>
          <w:p w14:paraId="75CF9AC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215" w:type="pct"/>
            <w:gridSpan w:val="2"/>
            <w:vMerge w:val="continue"/>
            <w:vAlign w:val="center"/>
          </w:tcPr>
          <w:p w14:paraId="0B7AAA2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519" w:type="pct"/>
            <w:vMerge w:val="continue"/>
            <w:vAlign w:val="center"/>
          </w:tcPr>
          <w:p w14:paraId="722A0F1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kern w:val="2"/>
                <w:sz w:val="21"/>
                <w:szCs w:val="21"/>
              </w:rPr>
            </w:pPr>
          </w:p>
        </w:tc>
      </w:tr>
      <w:tr w14:paraId="5ECB24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4" w:type="pct"/>
            <w:vMerge w:val="continue"/>
            <w:vAlign w:val="center"/>
          </w:tcPr>
          <w:p w14:paraId="7D1A5E8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102" w:type="pct"/>
            <w:gridSpan w:val="3"/>
            <w:vMerge w:val="restart"/>
            <w:vAlign w:val="center"/>
          </w:tcPr>
          <w:p w14:paraId="56CFAA7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含铬废水处理设施</w:t>
            </w:r>
          </w:p>
        </w:tc>
        <w:tc>
          <w:tcPr>
            <w:tcW w:w="716" w:type="pct"/>
            <w:vAlign w:val="center"/>
          </w:tcPr>
          <w:p w14:paraId="42E07D1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含铬废活性炭</w:t>
            </w:r>
          </w:p>
        </w:tc>
        <w:tc>
          <w:tcPr>
            <w:tcW w:w="1181" w:type="pct"/>
            <w:gridSpan w:val="2"/>
            <w:vMerge w:val="continue"/>
            <w:vAlign w:val="center"/>
          </w:tcPr>
          <w:p w14:paraId="26337A0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215" w:type="pct"/>
            <w:gridSpan w:val="2"/>
            <w:vMerge w:val="continue"/>
            <w:vAlign w:val="center"/>
          </w:tcPr>
          <w:p w14:paraId="1B4D55D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519" w:type="pct"/>
            <w:vMerge w:val="continue"/>
            <w:vAlign w:val="center"/>
          </w:tcPr>
          <w:p w14:paraId="62009D8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kern w:val="2"/>
                <w:sz w:val="21"/>
                <w:szCs w:val="21"/>
              </w:rPr>
            </w:pPr>
          </w:p>
        </w:tc>
      </w:tr>
      <w:tr w14:paraId="6CE7DE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4" w:type="pct"/>
            <w:vMerge w:val="continue"/>
            <w:vAlign w:val="center"/>
          </w:tcPr>
          <w:p w14:paraId="72D563B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102" w:type="pct"/>
            <w:gridSpan w:val="3"/>
            <w:vMerge w:val="continue"/>
            <w:vAlign w:val="center"/>
          </w:tcPr>
          <w:p w14:paraId="7358551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716" w:type="pct"/>
            <w:vAlign w:val="center"/>
          </w:tcPr>
          <w:p w14:paraId="00A012B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含铬废过滤膜</w:t>
            </w:r>
          </w:p>
        </w:tc>
        <w:tc>
          <w:tcPr>
            <w:tcW w:w="1181" w:type="pct"/>
            <w:gridSpan w:val="2"/>
            <w:vMerge w:val="continue"/>
            <w:vAlign w:val="center"/>
          </w:tcPr>
          <w:p w14:paraId="016A5D6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215" w:type="pct"/>
            <w:gridSpan w:val="2"/>
            <w:vMerge w:val="continue"/>
            <w:vAlign w:val="center"/>
          </w:tcPr>
          <w:p w14:paraId="4379AF8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519" w:type="pct"/>
            <w:vMerge w:val="continue"/>
            <w:vAlign w:val="center"/>
          </w:tcPr>
          <w:p w14:paraId="51C7508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kern w:val="2"/>
                <w:sz w:val="21"/>
                <w:szCs w:val="21"/>
              </w:rPr>
            </w:pPr>
          </w:p>
        </w:tc>
      </w:tr>
      <w:tr w14:paraId="7834AA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4" w:type="pct"/>
            <w:vMerge w:val="continue"/>
            <w:vAlign w:val="center"/>
          </w:tcPr>
          <w:p w14:paraId="204DB7F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102" w:type="pct"/>
            <w:gridSpan w:val="3"/>
            <w:vMerge w:val="continue"/>
            <w:vAlign w:val="center"/>
          </w:tcPr>
          <w:p w14:paraId="171210A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716" w:type="pct"/>
            <w:vAlign w:val="center"/>
          </w:tcPr>
          <w:p w14:paraId="14E8493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含铬污泥</w:t>
            </w:r>
          </w:p>
        </w:tc>
        <w:tc>
          <w:tcPr>
            <w:tcW w:w="1181" w:type="pct"/>
            <w:gridSpan w:val="2"/>
            <w:vMerge w:val="continue"/>
            <w:vAlign w:val="center"/>
          </w:tcPr>
          <w:p w14:paraId="484606B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215" w:type="pct"/>
            <w:gridSpan w:val="2"/>
            <w:vMerge w:val="continue"/>
            <w:vAlign w:val="center"/>
          </w:tcPr>
          <w:p w14:paraId="7BCCEA0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519" w:type="pct"/>
            <w:vMerge w:val="continue"/>
            <w:vAlign w:val="center"/>
          </w:tcPr>
          <w:p w14:paraId="537AAFE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kern w:val="2"/>
                <w:sz w:val="21"/>
                <w:szCs w:val="21"/>
              </w:rPr>
            </w:pPr>
          </w:p>
        </w:tc>
      </w:tr>
      <w:tr w14:paraId="78B875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4" w:type="pct"/>
            <w:vMerge w:val="continue"/>
            <w:vAlign w:val="center"/>
          </w:tcPr>
          <w:p w14:paraId="46D9009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102" w:type="pct"/>
            <w:gridSpan w:val="3"/>
            <w:vMerge w:val="restart"/>
            <w:vAlign w:val="center"/>
          </w:tcPr>
          <w:p w14:paraId="67D35DE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含锌废水处理设施</w:t>
            </w:r>
          </w:p>
        </w:tc>
        <w:tc>
          <w:tcPr>
            <w:tcW w:w="716" w:type="pct"/>
            <w:vAlign w:val="center"/>
          </w:tcPr>
          <w:p w14:paraId="617D726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含锌废活性炭</w:t>
            </w:r>
          </w:p>
        </w:tc>
        <w:tc>
          <w:tcPr>
            <w:tcW w:w="1181" w:type="pct"/>
            <w:gridSpan w:val="2"/>
            <w:vMerge w:val="continue"/>
            <w:vAlign w:val="center"/>
          </w:tcPr>
          <w:p w14:paraId="1C63DCE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215" w:type="pct"/>
            <w:gridSpan w:val="2"/>
            <w:vMerge w:val="continue"/>
            <w:vAlign w:val="center"/>
          </w:tcPr>
          <w:p w14:paraId="5F5D233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519" w:type="pct"/>
            <w:vMerge w:val="continue"/>
            <w:vAlign w:val="center"/>
          </w:tcPr>
          <w:p w14:paraId="5CE6026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kern w:val="2"/>
                <w:sz w:val="21"/>
                <w:szCs w:val="21"/>
              </w:rPr>
            </w:pPr>
          </w:p>
        </w:tc>
      </w:tr>
      <w:tr w14:paraId="2A7DD5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4" w:type="pct"/>
            <w:vMerge w:val="continue"/>
            <w:vAlign w:val="center"/>
          </w:tcPr>
          <w:p w14:paraId="48EE31D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102" w:type="pct"/>
            <w:gridSpan w:val="3"/>
            <w:vMerge w:val="continue"/>
            <w:vAlign w:val="center"/>
          </w:tcPr>
          <w:p w14:paraId="537D22C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716" w:type="pct"/>
            <w:vAlign w:val="center"/>
          </w:tcPr>
          <w:p w14:paraId="147534A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含锌废过滤膜</w:t>
            </w:r>
          </w:p>
        </w:tc>
        <w:tc>
          <w:tcPr>
            <w:tcW w:w="1181" w:type="pct"/>
            <w:gridSpan w:val="2"/>
            <w:vMerge w:val="continue"/>
            <w:vAlign w:val="center"/>
          </w:tcPr>
          <w:p w14:paraId="3FBCC96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215" w:type="pct"/>
            <w:gridSpan w:val="2"/>
            <w:vMerge w:val="continue"/>
            <w:vAlign w:val="center"/>
          </w:tcPr>
          <w:p w14:paraId="3133DB2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519" w:type="pct"/>
            <w:vMerge w:val="continue"/>
            <w:vAlign w:val="center"/>
          </w:tcPr>
          <w:p w14:paraId="79C7249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kern w:val="2"/>
                <w:sz w:val="21"/>
                <w:szCs w:val="21"/>
              </w:rPr>
            </w:pPr>
          </w:p>
        </w:tc>
      </w:tr>
      <w:tr w14:paraId="3F1090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4" w:type="pct"/>
            <w:vMerge w:val="continue"/>
            <w:vAlign w:val="center"/>
          </w:tcPr>
          <w:p w14:paraId="3E76F61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102" w:type="pct"/>
            <w:gridSpan w:val="3"/>
            <w:vMerge w:val="continue"/>
            <w:vAlign w:val="center"/>
          </w:tcPr>
          <w:p w14:paraId="5C56C7B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716" w:type="pct"/>
            <w:vAlign w:val="center"/>
          </w:tcPr>
          <w:p w14:paraId="0FC346F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含锌污泥</w:t>
            </w:r>
          </w:p>
        </w:tc>
        <w:tc>
          <w:tcPr>
            <w:tcW w:w="1181" w:type="pct"/>
            <w:gridSpan w:val="2"/>
            <w:vMerge w:val="continue"/>
            <w:vAlign w:val="center"/>
          </w:tcPr>
          <w:p w14:paraId="6802D75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215" w:type="pct"/>
            <w:gridSpan w:val="2"/>
            <w:vMerge w:val="continue"/>
            <w:vAlign w:val="center"/>
          </w:tcPr>
          <w:p w14:paraId="3671C7B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519" w:type="pct"/>
            <w:vMerge w:val="continue"/>
            <w:vAlign w:val="center"/>
          </w:tcPr>
          <w:p w14:paraId="71C70C2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kern w:val="2"/>
                <w:sz w:val="21"/>
                <w:szCs w:val="21"/>
              </w:rPr>
            </w:pPr>
          </w:p>
        </w:tc>
      </w:tr>
      <w:tr w14:paraId="61455E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4" w:type="pct"/>
            <w:vMerge w:val="continue"/>
            <w:vAlign w:val="center"/>
          </w:tcPr>
          <w:p w14:paraId="359618E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102" w:type="pct"/>
            <w:gridSpan w:val="3"/>
            <w:vMerge w:val="restart"/>
            <w:vAlign w:val="center"/>
          </w:tcPr>
          <w:p w14:paraId="364359F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含高COD废水处理设施</w:t>
            </w:r>
          </w:p>
        </w:tc>
        <w:tc>
          <w:tcPr>
            <w:tcW w:w="716" w:type="pct"/>
            <w:vAlign w:val="center"/>
          </w:tcPr>
          <w:p w14:paraId="5858609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含铬镍废活性炭</w:t>
            </w:r>
          </w:p>
        </w:tc>
        <w:tc>
          <w:tcPr>
            <w:tcW w:w="1181" w:type="pct"/>
            <w:gridSpan w:val="2"/>
            <w:vMerge w:val="continue"/>
            <w:vAlign w:val="center"/>
          </w:tcPr>
          <w:p w14:paraId="4A473EF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215" w:type="pct"/>
            <w:gridSpan w:val="2"/>
            <w:vMerge w:val="continue"/>
            <w:vAlign w:val="center"/>
          </w:tcPr>
          <w:p w14:paraId="6662307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519" w:type="pct"/>
            <w:vMerge w:val="continue"/>
            <w:vAlign w:val="center"/>
          </w:tcPr>
          <w:p w14:paraId="06F8204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kern w:val="2"/>
                <w:sz w:val="21"/>
                <w:szCs w:val="21"/>
              </w:rPr>
            </w:pPr>
          </w:p>
        </w:tc>
      </w:tr>
      <w:tr w14:paraId="2B4678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4" w:type="pct"/>
            <w:vMerge w:val="continue"/>
            <w:vAlign w:val="center"/>
          </w:tcPr>
          <w:p w14:paraId="3108CFA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102" w:type="pct"/>
            <w:gridSpan w:val="3"/>
            <w:vMerge w:val="continue"/>
            <w:vAlign w:val="center"/>
          </w:tcPr>
          <w:p w14:paraId="215F6EA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716" w:type="pct"/>
            <w:vAlign w:val="center"/>
          </w:tcPr>
          <w:p w14:paraId="3CACD31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含铬镍废过滤膜</w:t>
            </w:r>
          </w:p>
        </w:tc>
        <w:tc>
          <w:tcPr>
            <w:tcW w:w="1181" w:type="pct"/>
            <w:gridSpan w:val="2"/>
            <w:vMerge w:val="continue"/>
            <w:vAlign w:val="center"/>
          </w:tcPr>
          <w:p w14:paraId="1E73C6E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215" w:type="pct"/>
            <w:gridSpan w:val="2"/>
            <w:vMerge w:val="continue"/>
            <w:vAlign w:val="center"/>
          </w:tcPr>
          <w:p w14:paraId="60A9D81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519" w:type="pct"/>
            <w:vMerge w:val="continue"/>
            <w:vAlign w:val="center"/>
          </w:tcPr>
          <w:p w14:paraId="6864E4D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kern w:val="2"/>
                <w:sz w:val="21"/>
                <w:szCs w:val="21"/>
              </w:rPr>
            </w:pPr>
          </w:p>
        </w:tc>
      </w:tr>
      <w:tr w14:paraId="0A6FC1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4" w:type="pct"/>
            <w:vMerge w:val="continue"/>
            <w:vAlign w:val="center"/>
          </w:tcPr>
          <w:p w14:paraId="4B1CEB8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102" w:type="pct"/>
            <w:gridSpan w:val="3"/>
            <w:vMerge w:val="continue"/>
            <w:vAlign w:val="center"/>
          </w:tcPr>
          <w:p w14:paraId="15BAC31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716" w:type="pct"/>
            <w:vAlign w:val="center"/>
          </w:tcPr>
          <w:p w14:paraId="10C2B92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含铬镍污泥</w:t>
            </w:r>
          </w:p>
        </w:tc>
        <w:tc>
          <w:tcPr>
            <w:tcW w:w="1181" w:type="pct"/>
            <w:gridSpan w:val="2"/>
            <w:vMerge w:val="continue"/>
            <w:vAlign w:val="center"/>
          </w:tcPr>
          <w:p w14:paraId="3F2E264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215" w:type="pct"/>
            <w:gridSpan w:val="2"/>
            <w:vMerge w:val="continue"/>
            <w:vAlign w:val="center"/>
          </w:tcPr>
          <w:p w14:paraId="60B9E40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519" w:type="pct"/>
            <w:vMerge w:val="continue"/>
            <w:vAlign w:val="center"/>
          </w:tcPr>
          <w:p w14:paraId="70BEA57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kern w:val="2"/>
                <w:sz w:val="21"/>
                <w:szCs w:val="21"/>
              </w:rPr>
            </w:pPr>
          </w:p>
        </w:tc>
      </w:tr>
      <w:tr w14:paraId="65E145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4" w:type="pct"/>
            <w:vMerge w:val="continue"/>
            <w:vAlign w:val="center"/>
          </w:tcPr>
          <w:p w14:paraId="3C610CB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102" w:type="pct"/>
            <w:gridSpan w:val="3"/>
            <w:vAlign w:val="center"/>
          </w:tcPr>
          <w:p w14:paraId="6AF19C3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蒸发</w:t>
            </w:r>
          </w:p>
        </w:tc>
        <w:tc>
          <w:tcPr>
            <w:tcW w:w="716" w:type="pct"/>
            <w:vAlign w:val="center"/>
          </w:tcPr>
          <w:p w14:paraId="73EEFE2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蒸发浓液</w:t>
            </w:r>
          </w:p>
        </w:tc>
        <w:tc>
          <w:tcPr>
            <w:tcW w:w="1181" w:type="pct"/>
            <w:gridSpan w:val="2"/>
            <w:vMerge w:val="continue"/>
            <w:vAlign w:val="center"/>
          </w:tcPr>
          <w:p w14:paraId="5E887E4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1215" w:type="pct"/>
            <w:gridSpan w:val="2"/>
            <w:vMerge w:val="continue"/>
            <w:vAlign w:val="center"/>
          </w:tcPr>
          <w:p w14:paraId="77BBF4B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p>
        </w:tc>
        <w:tc>
          <w:tcPr>
            <w:tcW w:w="519" w:type="pct"/>
            <w:vMerge w:val="continue"/>
            <w:vAlign w:val="center"/>
          </w:tcPr>
          <w:p w14:paraId="14A8173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kern w:val="2"/>
                <w:sz w:val="21"/>
                <w:szCs w:val="21"/>
              </w:rPr>
            </w:pPr>
          </w:p>
        </w:tc>
      </w:tr>
      <w:tr w14:paraId="180B69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64" w:type="pct"/>
            <w:vAlign w:val="center"/>
          </w:tcPr>
          <w:p w14:paraId="7B3A649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噪声</w:t>
            </w:r>
          </w:p>
        </w:tc>
        <w:tc>
          <w:tcPr>
            <w:tcW w:w="1102" w:type="pct"/>
            <w:gridSpan w:val="3"/>
            <w:vAlign w:val="center"/>
          </w:tcPr>
          <w:p w14:paraId="38B6B88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折弯机、车床、铣床、风机等</w:t>
            </w:r>
          </w:p>
        </w:tc>
        <w:tc>
          <w:tcPr>
            <w:tcW w:w="716" w:type="pct"/>
            <w:vAlign w:val="center"/>
          </w:tcPr>
          <w:p w14:paraId="7855C70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机械噪声</w:t>
            </w:r>
          </w:p>
        </w:tc>
        <w:tc>
          <w:tcPr>
            <w:tcW w:w="1181" w:type="pct"/>
            <w:gridSpan w:val="2"/>
            <w:vAlign w:val="center"/>
          </w:tcPr>
          <w:p w14:paraId="06AC684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jc w:val="center"/>
              <w:textAlignment w:val="auto"/>
              <w:rPr>
                <w:rFonts w:ascii="Times New Roman" w:hAnsi="Times New Roman" w:eastAsia="宋体" w:cs="Times New Roman"/>
                <w:kern w:val="2"/>
                <w:sz w:val="21"/>
                <w:szCs w:val="21"/>
                <w:lang w:val="en-US" w:eastAsia="zh-CN" w:bidi="ar-SA"/>
              </w:rPr>
            </w:pPr>
            <w:r>
              <w:rPr>
                <w:rFonts w:ascii="Times New Roman" w:hAnsi="Times New Roman" w:eastAsia="宋体" w:cs="Times New Roman"/>
                <w:kern w:val="2"/>
                <w:sz w:val="21"/>
                <w:szCs w:val="21"/>
                <w:lang w:val="en-US" w:eastAsia="zh-CN" w:bidi="ar-SA"/>
              </w:rPr>
              <w:t>减振、隔声</w:t>
            </w:r>
          </w:p>
        </w:tc>
        <w:tc>
          <w:tcPr>
            <w:tcW w:w="1215" w:type="pct"/>
            <w:gridSpan w:val="2"/>
            <w:vAlign w:val="center"/>
          </w:tcPr>
          <w:p w14:paraId="77D0E9A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kern w:val="2"/>
                <w:sz w:val="21"/>
                <w:szCs w:val="21"/>
              </w:rPr>
            </w:pPr>
            <w:r>
              <w:rPr>
                <w:rFonts w:ascii="Times New Roman" w:hAnsi="Times New Roman" w:eastAsia="宋体" w:cs="Times New Roman"/>
                <w:kern w:val="2"/>
                <w:sz w:val="21"/>
                <w:szCs w:val="21"/>
              </w:rPr>
              <w:t>减振、隔声</w:t>
            </w:r>
          </w:p>
        </w:tc>
        <w:tc>
          <w:tcPr>
            <w:tcW w:w="519" w:type="pct"/>
            <w:vAlign w:val="center"/>
          </w:tcPr>
          <w:p w14:paraId="1EC7889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eastAsia="zh-CN"/>
              </w:rPr>
              <w:t>已落实</w:t>
            </w:r>
          </w:p>
        </w:tc>
      </w:tr>
    </w:tbl>
    <w:p w14:paraId="5A0BF6C2">
      <w:pPr>
        <w:ind w:firstLine="0" w:firstLineChars="0"/>
        <w:rPr>
          <w:rFonts w:cs="Times New Roman"/>
          <w:color w:val="FF0000"/>
        </w:rPr>
      </w:pPr>
    </w:p>
    <w:p w14:paraId="5F45AC80">
      <w:pPr>
        <w:spacing w:line="500" w:lineRule="exact"/>
        <w:ind w:firstLine="480"/>
        <w:jc w:val="both"/>
        <w:rPr>
          <w:rFonts w:cs="Times New Roman"/>
          <w:color w:val="FF0000"/>
        </w:rPr>
        <w:sectPr>
          <w:pgSz w:w="16838" w:h="11906" w:orient="landscape"/>
          <w:pgMar w:top="1800" w:right="1440" w:bottom="1800" w:left="1440" w:header="851" w:footer="992" w:gutter="0"/>
          <w:cols w:space="425" w:num="1"/>
          <w:docGrid w:type="lines" w:linePitch="326" w:charSpace="0"/>
        </w:sectPr>
      </w:pPr>
    </w:p>
    <w:p w14:paraId="4EA3E14D">
      <w:pPr>
        <w:pStyle w:val="2"/>
        <w:ind w:firstLine="643"/>
        <w:rPr>
          <w:rFonts w:cs="Times New Roman"/>
          <w:color w:val="auto"/>
        </w:rPr>
      </w:pPr>
      <w:bookmarkStart w:id="35" w:name="_Toc172712297"/>
      <w:r>
        <w:rPr>
          <w:rFonts w:cs="Times New Roman"/>
          <w:color w:val="auto"/>
        </w:rPr>
        <w:t>5 环境影响报告书（表）主要结论与建议及其审批部门审批决定</w:t>
      </w:r>
      <w:bookmarkEnd w:id="35"/>
    </w:p>
    <w:p w14:paraId="00072948">
      <w:pPr>
        <w:pStyle w:val="3"/>
        <w:spacing w:before="163" w:after="163"/>
        <w:ind w:firstLine="643"/>
        <w:rPr>
          <w:rFonts w:cs="Times New Roman"/>
          <w:color w:val="auto"/>
        </w:rPr>
      </w:pPr>
      <w:bookmarkStart w:id="36" w:name="_Toc172712298"/>
      <w:r>
        <w:rPr>
          <w:rFonts w:cs="Times New Roman"/>
          <w:color w:val="auto"/>
        </w:rPr>
        <w:t>5.1环境影响报告书（表）主要结论与建议</w:t>
      </w:r>
      <w:bookmarkEnd w:id="36"/>
    </w:p>
    <w:p w14:paraId="700F411B">
      <w:pPr>
        <w:ind w:firstLine="480"/>
        <w:contextualSpacing/>
        <w:jc w:val="both"/>
        <w:rPr>
          <w:rFonts w:hint="eastAsia" w:cs="Times New Roman" w:hAnsiTheme="majorEastAsia" w:eastAsiaTheme="majorEastAsia"/>
          <w:bCs/>
          <w:color w:val="auto"/>
        </w:rPr>
      </w:pPr>
      <w:r>
        <w:rPr>
          <w:rFonts w:hint="eastAsia" w:cs="Times New Roman" w:hAnsiTheme="majorEastAsia" w:eastAsiaTheme="majorEastAsia"/>
          <w:bCs/>
          <w:color w:val="auto"/>
        </w:rPr>
        <w:t>本项目环境影响报告书主要结论与建议见下表。</w:t>
      </w:r>
    </w:p>
    <w:p w14:paraId="144193A9">
      <w:pPr>
        <w:pStyle w:val="71"/>
        <w:ind w:firstLine="480" w:firstLineChars="200"/>
        <w:jc w:val="both"/>
        <w:rPr>
          <w:color w:val="auto"/>
        </w:rPr>
      </w:pPr>
      <w:r>
        <w:rPr>
          <w:color w:val="auto"/>
        </w:rPr>
        <w:t>表</w:t>
      </w:r>
      <w:r>
        <w:rPr>
          <w:color w:val="auto"/>
          <w:lang w:eastAsia="zh-CN"/>
        </w:rPr>
        <w:t>5-1</w:t>
      </w:r>
      <w:r>
        <w:rPr>
          <w:color w:val="auto"/>
        </w:rPr>
        <w:t xml:space="preserve">                      本项目环评报告</w:t>
      </w:r>
      <w:r>
        <w:rPr>
          <w:rFonts w:hint="eastAsia"/>
          <w:color w:val="auto"/>
          <w:lang w:eastAsia="zh-CN"/>
        </w:rPr>
        <w:t>书主要</w:t>
      </w:r>
      <w:r>
        <w:rPr>
          <w:color w:val="auto"/>
        </w:rPr>
        <w:t>结论</w:t>
      </w:r>
      <w:r>
        <w:rPr>
          <w:rFonts w:hint="eastAsia"/>
          <w:color w:val="auto"/>
          <w:lang w:eastAsia="zh-CN"/>
        </w:rPr>
        <w:t>与建议</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960"/>
        <w:gridCol w:w="8168"/>
      </w:tblGrid>
      <w:tr w14:paraId="6CB6D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blHeader/>
          <w:jc w:val="center"/>
        </w:trPr>
        <w:tc>
          <w:tcPr>
            <w:tcW w:w="879" w:type="dxa"/>
            <w:vAlign w:val="center"/>
          </w:tcPr>
          <w:p w14:paraId="32CA6EC5">
            <w:pPr>
              <w:pStyle w:val="69"/>
              <w:adjustRightInd w:val="0"/>
              <w:rPr>
                <w:b/>
                <w:bCs/>
                <w:color w:val="auto"/>
                <w:lang w:val="en-US" w:eastAsia="zh-CN"/>
              </w:rPr>
            </w:pPr>
            <w:r>
              <w:rPr>
                <w:b/>
                <w:bCs/>
                <w:color w:val="auto"/>
                <w:lang w:val="en-US" w:eastAsia="zh-CN"/>
              </w:rPr>
              <w:t>污染要素</w:t>
            </w:r>
          </w:p>
        </w:tc>
        <w:tc>
          <w:tcPr>
            <w:tcW w:w="7483" w:type="dxa"/>
            <w:vAlign w:val="center"/>
          </w:tcPr>
          <w:p w14:paraId="1B085422">
            <w:pPr>
              <w:pStyle w:val="69"/>
              <w:adjustRightInd w:val="0"/>
              <w:rPr>
                <w:b/>
                <w:bCs/>
                <w:color w:val="auto"/>
                <w:lang w:val="en-US" w:eastAsia="zh-CN"/>
              </w:rPr>
            </w:pPr>
            <w:r>
              <w:rPr>
                <w:b/>
                <w:bCs/>
                <w:color w:val="auto"/>
                <w:lang w:val="en-US" w:eastAsia="zh-CN"/>
              </w:rPr>
              <w:t>环评报告结论及建议内容</w:t>
            </w:r>
          </w:p>
        </w:tc>
      </w:tr>
      <w:tr w14:paraId="27ED9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879" w:type="dxa"/>
            <w:vAlign w:val="center"/>
          </w:tcPr>
          <w:p w14:paraId="3CD09355">
            <w:pPr>
              <w:pStyle w:val="69"/>
              <w:adjustRightInd w:val="0"/>
              <w:rPr>
                <w:color w:val="auto"/>
                <w:lang w:val="en-US" w:eastAsia="zh-CN"/>
              </w:rPr>
            </w:pPr>
            <w:r>
              <w:rPr>
                <w:color w:val="auto"/>
                <w:lang w:val="en-US" w:eastAsia="zh-CN"/>
              </w:rPr>
              <w:t>废气</w:t>
            </w:r>
          </w:p>
        </w:tc>
        <w:tc>
          <w:tcPr>
            <w:tcW w:w="7483" w:type="dxa"/>
            <w:vAlign w:val="center"/>
          </w:tcPr>
          <w:p w14:paraId="1208777E">
            <w:pPr>
              <w:pStyle w:val="69"/>
              <w:adjustRightInd w:val="0"/>
              <w:ind w:firstLine="420" w:firstLineChars="200"/>
              <w:jc w:val="both"/>
              <w:rPr>
                <w:color w:val="auto"/>
                <w:lang w:val="en-US" w:eastAsia="zh-CN"/>
              </w:rPr>
            </w:pPr>
            <w:r>
              <w:rPr>
                <w:color w:val="auto"/>
                <w:lang w:val="en-US" w:eastAsia="zh-CN"/>
              </w:rPr>
              <w:t>项目产生的废气为</w:t>
            </w:r>
            <w:r>
              <w:rPr>
                <w:rFonts w:hint="eastAsia"/>
                <w:color w:val="auto"/>
                <w:lang w:val="en-US" w:eastAsia="zh-CN"/>
              </w:rPr>
              <w:t>：电镀线酸性废气、污水处理站及污泥间废气。</w:t>
            </w:r>
          </w:p>
          <w:p w14:paraId="2CE516AA">
            <w:pPr>
              <w:pStyle w:val="69"/>
              <w:adjustRightInd w:val="0"/>
              <w:ind w:firstLine="420" w:firstLineChars="200"/>
              <w:jc w:val="both"/>
              <w:rPr>
                <w:color w:val="auto"/>
                <w:lang w:val="en-US" w:eastAsia="zh-CN"/>
              </w:rPr>
            </w:pPr>
            <w:r>
              <w:rPr>
                <w:rFonts w:hint="eastAsia"/>
                <w:color w:val="auto"/>
                <w:lang w:val="en-US" w:eastAsia="zh-CN"/>
              </w:rPr>
              <w:t>电镀线酸性废气分别经槽上方和槽边设置的抽风装置收集后分别引入两级酸雾吸收塔（1#）、两级酸雾吸收塔（2#）处理，处理后分别经15m高排气筒DA003、DA004排放；污水处理系统及污泥间产生的N</w:t>
            </w:r>
            <w:r>
              <w:rPr>
                <w:color w:val="auto"/>
                <w:lang w:val="en-US" w:eastAsia="zh-CN"/>
              </w:rPr>
              <w:t>H</w:t>
            </w:r>
            <w:r>
              <w:rPr>
                <w:color w:val="auto"/>
                <w:vertAlign w:val="subscript"/>
                <w:lang w:val="en-US" w:eastAsia="zh-CN"/>
              </w:rPr>
              <w:t>3</w:t>
            </w:r>
            <w:r>
              <w:rPr>
                <w:rFonts w:hint="eastAsia"/>
                <w:color w:val="auto"/>
                <w:lang w:val="en-US" w:eastAsia="zh-CN"/>
              </w:rPr>
              <w:t>、H</w:t>
            </w:r>
            <w:r>
              <w:rPr>
                <w:color w:val="auto"/>
                <w:vertAlign w:val="subscript"/>
                <w:lang w:val="en-US" w:eastAsia="zh-CN"/>
              </w:rPr>
              <w:t>2</w:t>
            </w:r>
            <w:r>
              <w:rPr>
                <w:color w:val="auto"/>
                <w:lang w:val="en-US" w:eastAsia="zh-CN"/>
              </w:rPr>
              <w:t>S</w:t>
            </w:r>
            <w:r>
              <w:rPr>
                <w:rFonts w:hint="eastAsia"/>
                <w:color w:val="auto"/>
                <w:lang w:val="en-US" w:eastAsia="zh-CN"/>
              </w:rPr>
              <w:t>、臭气浓度经加盖密闭或封闭负压收集后引入生物除臭滤塔处理，尾气经15m高排气筒DA005排放。</w:t>
            </w:r>
          </w:p>
          <w:p w14:paraId="612F0E47">
            <w:pPr>
              <w:pStyle w:val="69"/>
              <w:adjustRightInd w:val="0"/>
              <w:ind w:firstLine="420" w:firstLineChars="200"/>
              <w:jc w:val="both"/>
              <w:rPr>
                <w:color w:val="auto"/>
                <w:lang w:val="en-US" w:eastAsia="zh-CN"/>
              </w:rPr>
            </w:pPr>
            <w:r>
              <w:rPr>
                <w:rFonts w:hint="eastAsia"/>
                <w:color w:val="auto"/>
                <w:lang w:val="en-US" w:eastAsia="zh-CN"/>
              </w:rPr>
              <w:t>本项目废气经处理后，排气筒DA003的HCl排放浓度2.5mg/m</w:t>
            </w:r>
            <w:r>
              <w:rPr>
                <w:rFonts w:hint="eastAsia"/>
                <w:color w:val="auto"/>
                <w:vertAlign w:val="superscript"/>
                <w:lang w:val="en-US" w:eastAsia="zh-CN"/>
              </w:rPr>
              <w:t>3</w:t>
            </w:r>
            <w:r>
              <w:rPr>
                <w:rFonts w:hint="eastAsia"/>
                <w:color w:val="auto"/>
                <w:lang w:val="en-US" w:eastAsia="zh-CN"/>
              </w:rPr>
              <w:t>、硫酸雾排放浓度均为3.8mg/m</w:t>
            </w:r>
            <w:r>
              <w:rPr>
                <w:rFonts w:hint="eastAsia"/>
                <w:color w:val="auto"/>
                <w:vertAlign w:val="superscript"/>
                <w:lang w:val="en-US" w:eastAsia="zh-CN"/>
              </w:rPr>
              <w:t>3</w:t>
            </w:r>
            <w:r>
              <w:rPr>
                <w:rFonts w:hint="eastAsia"/>
                <w:color w:val="auto"/>
                <w:lang w:val="en-US" w:eastAsia="zh-CN"/>
              </w:rPr>
              <w:t>，排气筒DA004的硫酸雾排放浓度为0.72mg/m</w:t>
            </w:r>
            <w:r>
              <w:rPr>
                <w:rFonts w:hint="eastAsia"/>
                <w:color w:val="auto"/>
                <w:vertAlign w:val="superscript"/>
                <w:lang w:val="en-US" w:eastAsia="zh-CN"/>
              </w:rPr>
              <w:t>3</w:t>
            </w:r>
            <w:r>
              <w:rPr>
                <w:rFonts w:hint="eastAsia"/>
                <w:color w:val="auto"/>
                <w:lang w:val="en-US" w:eastAsia="zh-CN"/>
              </w:rPr>
              <w:t>，均能够满足《电镀污染物排放标准》（GB21900-2008）表5新建企业大气污染物HCl 30mg/m</w:t>
            </w:r>
            <w:r>
              <w:rPr>
                <w:rFonts w:hint="eastAsia"/>
                <w:color w:val="auto"/>
                <w:vertAlign w:val="superscript"/>
                <w:lang w:val="en-US" w:eastAsia="zh-CN"/>
              </w:rPr>
              <w:t>3</w:t>
            </w:r>
            <w:r>
              <w:rPr>
                <w:rFonts w:hint="eastAsia"/>
                <w:color w:val="auto"/>
                <w:lang w:val="en-US" w:eastAsia="zh-CN"/>
              </w:rPr>
              <w:t>、硫酸雾30mg/m</w:t>
            </w:r>
            <w:r>
              <w:rPr>
                <w:rFonts w:hint="eastAsia"/>
                <w:color w:val="auto"/>
                <w:vertAlign w:val="superscript"/>
                <w:lang w:val="en-US" w:eastAsia="zh-CN"/>
              </w:rPr>
              <w:t>3</w:t>
            </w:r>
            <w:r>
              <w:rPr>
                <w:rFonts w:hint="eastAsia"/>
                <w:color w:val="auto"/>
                <w:lang w:val="en-US" w:eastAsia="zh-CN"/>
              </w:rPr>
              <w:t>的排放限值，同时满足《河南省重污染天气重点行业应急减排措施制定技术指南（2024年修订）》中A级企业要求电镀生产线氯化氢、硫酸雾排放浓度不超过10mg/m</w:t>
            </w:r>
            <w:r>
              <w:rPr>
                <w:rFonts w:hint="eastAsia"/>
                <w:color w:val="auto"/>
                <w:vertAlign w:val="superscript"/>
                <w:lang w:val="en-US" w:eastAsia="zh-CN"/>
              </w:rPr>
              <w:t>3</w:t>
            </w:r>
            <w:r>
              <w:rPr>
                <w:rFonts w:hint="eastAsia"/>
                <w:color w:val="auto"/>
                <w:lang w:val="en-US" w:eastAsia="zh-CN"/>
              </w:rPr>
              <w:t>的要求；</w:t>
            </w:r>
            <w:r>
              <w:rPr>
                <w:color w:val="auto"/>
                <w:lang w:val="en-US" w:eastAsia="zh-CN"/>
              </w:rPr>
              <w:t>排气筒DA00</w:t>
            </w:r>
            <w:r>
              <w:rPr>
                <w:rFonts w:hint="eastAsia"/>
                <w:color w:val="auto"/>
                <w:lang w:val="en-US" w:eastAsia="zh-CN"/>
              </w:rPr>
              <w:t>5</w:t>
            </w:r>
            <w:r>
              <w:rPr>
                <w:color w:val="auto"/>
                <w:lang w:val="en-US" w:eastAsia="zh-CN"/>
              </w:rPr>
              <w:t>的</w:t>
            </w:r>
            <w:r>
              <w:rPr>
                <w:rFonts w:hint="eastAsia"/>
                <w:color w:val="auto"/>
                <w:lang w:val="en-US" w:eastAsia="zh-CN"/>
              </w:rPr>
              <w:t>H</w:t>
            </w:r>
            <w:r>
              <w:rPr>
                <w:rFonts w:hint="eastAsia"/>
                <w:color w:val="auto"/>
                <w:vertAlign w:val="subscript"/>
                <w:lang w:val="en-US" w:eastAsia="zh-CN"/>
              </w:rPr>
              <w:t>2</w:t>
            </w:r>
            <w:r>
              <w:rPr>
                <w:rFonts w:hint="eastAsia"/>
                <w:color w:val="auto"/>
                <w:lang w:val="en-US" w:eastAsia="zh-CN"/>
              </w:rPr>
              <w:t>S</w:t>
            </w:r>
            <w:r>
              <w:rPr>
                <w:color w:val="auto"/>
                <w:lang w:val="en-US" w:eastAsia="zh-CN"/>
              </w:rPr>
              <w:t>排放</w:t>
            </w:r>
            <w:r>
              <w:rPr>
                <w:rFonts w:hint="eastAsia"/>
                <w:color w:val="auto"/>
                <w:lang w:val="en-US" w:eastAsia="zh-CN"/>
              </w:rPr>
              <w:t>速率</w:t>
            </w:r>
            <w:r>
              <w:rPr>
                <w:color w:val="auto"/>
                <w:lang w:val="en-US" w:eastAsia="zh-CN"/>
              </w:rPr>
              <w:t>为</w:t>
            </w:r>
            <w:r>
              <w:rPr>
                <w:rFonts w:hint="eastAsia"/>
                <w:color w:val="auto"/>
                <w:lang w:val="en-US" w:eastAsia="zh-CN"/>
              </w:rPr>
              <w:t>0.000004kg/h</w:t>
            </w:r>
            <w:r>
              <w:rPr>
                <w:color w:val="auto"/>
                <w:lang w:val="en-US" w:eastAsia="zh-CN"/>
              </w:rPr>
              <w:t>、</w:t>
            </w:r>
            <w:r>
              <w:rPr>
                <w:rFonts w:hint="eastAsia"/>
                <w:color w:val="auto"/>
                <w:lang w:val="en-US" w:eastAsia="zh-CN"/>
              </w:rPr>
              <w:t>NH</w:t>
            </w:r>
            <w:r>
              <w:rPr>
                <w:rFonts w:hint="eastAsia"/>
                <w:color w:val="auto"/>
                <w:vertAlign w:val="subscript"/>
                <w:lang w:val="en-US" w:eastAsia="zh-CN"/>
              </w:rPr>
              <w:t>3</w:t>
            </w:r>
            <w:r>
              <w:rPr>
                <w:color w:val="auto"/>
                <w:lang w:val="en-US" w:eastAsia="zh-CN"/>
              </w:rPr>
              <w:t>排放</w:t>
            </w:r>
            <w:r>
              <w:rPr>
                <w:rFonts w:hint="eastAsia"/>
                <w:color w:val="auto"/>
                <w:lang w:val="en-US" w:eastAsia="zh-CN"/>
              </w:rPr>
              <w:t>速率</w:t>
            </w:r>
            <w:r>
              <w:rPr>
                <w:color w:val="auto"/>
                <w:lang w:val="en-US" w:eastAsia="zh-CN"/>
              </w:rPr>
              <w:t>为</w:t>
            </w:r>
            <w:r>
              <w:rPr>
                <w:rFonts w:hint="eastAsia"/>
                <w:color w:val="auto"/>
                <w:lang w:val="en-US" w:eastAsia="zh-CN"/>
              </w:rPr>
              <w:t>0.0004kg/h，废气排放均可满足《恶臭污染物排放标准》（GB14554-93）表2恶臭污染物排放标准值：硫化氢0.33kg/h、氨4.9kg/h、臭气浓度2000（无量纲）的限值要求。</w:t>
            </w:r>
          </w:p>
        </w:tc>
      </w:tr>
      <w:tr w14:paraId="7A63F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879" w:type="dxa"/>
            <w:vAlign w:val="center"/>
          </w:tcPr>
          <w:p w14:paraId="66A393FC">
            <w:pPr>
              <w:pStyle w:val="69"/>
              <w:adjustRightInd w:val="0"/>
              <w:rPr>
                <w:color w:val="auto"/>
                <w:lang w:val="en-US" w:eastAsia="zh-CN"/>
              </w:rPr>
            </w:pPr>
            <w:r>
              <w:rPr>
                <w:color w:val="auto"/>
                <w:lang w:val="en-US" w:eastAsia="zh-CN"/>
              </w:rPr>
              <w:t>废水</w:t>
            </w:r>
          </w:p>
        </w:tc>
        <w:tc>
          <w:tcPr>
            <w:tcW w:w="7483" w:type="dxa"/>
            <w:vAlign w:val="center"/>
          </w:tcPr>
          <w:p w14:paraId="27B63CD9">
            <w:pPr>
              <w:pStyle w:val="69"/>
              <w:adjustRightInd w:val="0"/>
              <w:ind w:firstLine="420" w:firstLineChars="200"/>
              <w:jc w:val="both"/>
              <w:rPr>
                <w:color w:val="auto"/>
                <w:lang w:val="en-US" w:eastAsia="zh-CN"/>
              </w:rPr>
            </w:pPr>
            <w:r>
              <w:rPr>
                <w:color w:val="auto"/>
                <w:lang w:val="en-US" w:eastAsia="zh-CN"/>
              </w:rPr>
              <w:t>本项目废水</w:t>
            </w:r>
            <w:r>
              <w:rPr>
                <w:rFonts w:hint="eastAsia"/>
                <w:color w:val="auto"/>
                <w:lang w:val="en-US" w:eastAsia="zh-CN"/>
              </w:rPr>
              <w:t>排放</w:t>
            </w:r>
            <w:r>
              <w:rPr>
                <w:color w:val="auto"/>
                <w:lang w:val="en-US" w:eastAsia="zh-CN"/>
              </w:rPr>
              <w:t>量为</w:t>
            </w:r>
            <w:r>
              <w:rPr>
                <w:rFonts w:hint="eastAsia"/>
                <w:color w:val="auto"/>
                <w:lang w:val="en-US" w:eastAsia="zh-CN"/>
              </w:rPr>
              <w:t>162.3t/d，总排口</w:t>
            </w:r>
            <w:r>
              <w:rPr>
                <w:color w:val="auto"/>
                <w:lang w:val="en-US" w:eastAsia="zh-CN"/>
              </w:rPr>
              <w:t>主要污染物的排放浓度为</w:t>
            </w:r>
            <w:r>
              <w:rPr>
                <w:rFonts w:hint="eastAsia"/>
                <w:color w:val="auto"/>
                <w:lang w:val="en-US" w:eastAsia="zh-CN"/>
              </w:rPr>
              <w:t>COD47.77mg/L、</w:t>
            </w:r>
            <w:r>
              <w:rPr>
                <w:color w:val="auto"/>
                <w:lang w:val="en-US" w:eastAsia="zh-CN"/>
              </w:rPr>
              <w:t>SS</w:t>
            </w:r>
            <w:r>
              <w:rPr>
                <w:rFonts w:hint="eastAsia"/>
                <w:color w:val="auto"/>
                <w:lang w:val="en-US" w:eastAsia="zh-CN"/>
              </w:rPr>
              <w:t>46.34mg/L、氨氮10.87mg/L、石油类1.28mg/L、总磷0.77mg/L、总氮19.96mg/L、总锌0.002mg/L、总铬0.002mg/L、六价铬0.001mg/L、总镍0.002mg/L，</w:t>
            </w:r>
            <w:bookmarkStart w:id="37" w:name="OLE_LINK92"/>
            <w:r>
              <w:rPr>
                <w:rFonts w:hint="eastAsia"/>
                <w:color w:val="auto"/>
                <w:lang w:val="en-US" w:eastAsia="zh-CN"/>
              </w:rPr>
              <w:t>石油类、总锌、总铬、六价铬及总镍均能满足《电镀污染物排放标准》(GB21900-2008)表2标准要求</w:t>
            </w:r>
            <w:bookmarkEnd w:id="37"/>
            <w:r>
              <w:rPr>
                <w:rFonts w:hint="eastAsia"/>
                <w:color w:val="auto"/>
                <w:lang w:val="en-US" w:eastAsia="zh-CN"/>
              </w:rPr>
              <w:t>，</w:t>
            </w:r>
            <w:r>
              <w:rPr>
                <w:color w:val="auto"/>
                <w:lang w:val="en-US" w:eastAsia="zh-CN"/>
              </w:rPr>
              <w:t>COD、SS</w:t>
            </w:r>
            <w:r>
              <w:rPr>
                <w:rFonts w:hint="eastAsia"/>
                <w:color w:val="auto"/>
                <w:lang w:val="en-US" w:eastAsia="zh-CN"/>
              </w:rPr>
              <w:t>、</w:t>
            </w:r>
            <w:r>
              <w:rPr>
                <w:color w:val="auto"/>
                <w:lang w:val="en-US" w:eastAsia="zh-CN"/>
              </w:rPr>
              <w:t>氨氮、</w:t>
            </w:r>
            <w:r>
              <w:rPr>
                <w:rFonts w:hint="eastAsia"/>
                <w:color w:val="auto"/>
                <w:lang w:val="en-US" w:eastAsia="zh-CN"/>
              </w:rPr>
              <w:t>TP、TN满足大块镇污水处理厂收水水质COD 350mg/L、S</w:t>
            </w:r>
            <w:r>
              <w:rPr>
                <w:color w:val="auto"/>
                <w:lang w:val="en-US" w:eastAsia="zh-CN"/>
              </w:rPr>
              <w:t>S</w:t>
            </w:r>
            <w:r>
              <w:rPr>
                <w:rFonts w:hint="eastAsia"/>
                <w:color w:val="auto"/>
                <w:lang w:val="en-US" w:eastAsia="zh-CN"/>
              </w:rPr>
              <w:t xml:space="preserve"> 150mg/L、NH</w:t>
            </w:r>
            <w:r>
              <w:rPr>
                <w:rFonts w:hint="eastAsia"/>
                <w:color w:val="auto"/>
                <w:vertAlign w:val="subscript"/>
                <w:lang w:val="en-US" w:eastAsia="zh-CN"/>
              </w:rPr>
              <w:t>3</w:t>
            </w:r>
            <w:r>
              <w:rPr>
                <w:rFonts w:hint="eastAsia"/>
                <w:color w:val="auto"/>
                <w:lang w:val="en-US" w:eastAsia="zh-CN"/>
              </w:rPr>
              <w:t>-N 35mg/L、TP 4mg/L、TN 40mg/L的标准要求、凤泉污水处理厂的收水水质COD 350mg/L、S</w:t>
            </w:r>
            <w:r>
              <w:rPr>
                <w:color w:val="auto"/>
                <w:lang w:val="en-US" w:eastAsia="zh-CN"/>
              </w:rPr>
              <w:t>S</w:t>
            </w:r>
            <w:r>
              <w:rPr>
                <w:rFonts w:hint="eastAsia"/>
                <w:color w:val="auto"/>
                <w:lang w:val="en-US" w:eastAsia="zh-CN"/>
              </w:rPr>
              <w:t xml:space="preserve"> 240mg/L、NH</w:t>
            </w:r>
            <w:r>
              <w:rPr>
                <w:rFonts w:hint="eastAsia"/>
                <w:color w:val="auto"/>
                <w:vertAlign w:val="subscript"/>
                <w:lang w:val="en-US" w:eastAsia="zh-CN"/>
              </w:rPr>
              <w:t>3</w:t>
            </w:r>
            <w:r>
              <w:rPr>
                <w:rFonts w:hint="eastAsia"/>
                <w:color w:val="auto"/>
                <w:lang w:val="en-US" w:eastAsia="zh-CN"/>
              </w:rPr>
              <w:t>-N 35mg/L、TP 4mg/L、TN 55mg/L的标准要求。</w:t>
            </w:r>
          </w:p>
        </w:tc>
      </w:tr>
      <w:tr w14:paraId="416FC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879" w:type="dxa"/>
            <w:vAlign w:val="center"/>
          </w:tcPr>
          <w:p w14:paraId="68B30FD2">
            <w:pPr>
              <w:pStyle w:val="69"/>
              <w:adjustRightInd w:val="0"/>
              <w:rPr>
                <w:color w:val="auto"/>
                <w:lang w:val="en-US" w:eastAsia="zh-CN"/>
              </w:rPr>
            </w:pPr>
            <w:r>
              <w:rPr>
                <w:color w:val="auto"/>
                <w:lang w:val="en-US" w:eastAsia="zh-CN"/>
              </w:rPr>
              <w:t>噪声</w:t>
            </w:r>
          </w:p>
        </w:tc>
        <w:tc>
          <w:tcPr>
            <w:tcW w:w="7483" w:type="dxa"/>
            <w:vAlign w:val="center"/>
          </w:tcPr>
          <w:p w14:paraId="3872D46A">
            <w:pPr>
              <w:pStyle w:val="69"/>
              <w:adjustRightInd w:val="0"/>
              <w:ind w:firstLine="420" w:firstLineChars="200"/>
              <w:jc w:val="both"/>
              <w:rPr>
                <w:color w:val="auto"/>
                <w:lang w:val="en-US" w:eastAsia="zh-CN"/>
              </w:rPr>
            </w:pPr>
            <w:r>
              <w:rPr>
                <w:rFonts w:hint="eastAsia"/>
                <w:color w:val="auto"/>
                <w:lang w:val="en-US" w:eastAsia="zh-CN"/>
              </w:rPr>
              <w:t>工程噪声源主要为冲床、折弯机、铣床、车床、磨床、风机等，</w:t>
            </w:r>
            <w:r>
              <w:rPr>
                <w:color w:val="auto"/>
                <w:lang w:val="en-US" w:eastAsia="zh-CN"/>
              </w:rPr>
              <w:t>经减振、厂房隔</w:t>
            </w:r>
            <w:r>
              <w:rPr>
                <w:rFonts w:hint="eastAsia"/>
                <w:color w:val="auto"/>
                <w:lang w:val="en-US" w:eastAsia="zh-CN"/>
              </w:rPr>
              <w:t>声</w:t>
            </w:r>
            <w:r>
              <w:rPr>
                <w:color w:val="auto"/>
                <w:lang w:val="en-US" w:eastAsia="zh-CN"/>
              </w:rPr>
              <w:t>等措施治理后，</w:t>
            </w:r>
            <w:r>
              <w:rPr>
                <w:rFonts w:hint="eastAsia"/>
                <w:color w:val="auto"/>
                <w:lang w:val="en-US" w:eastAsia="zh-CN"/>
              </w:rPr>
              <w:t>各厂界噪声均能够达到《工业企业厂界环境噪声排放标准》（GB12348-2008）3类昼间65dB(A)、夜间55dB(A)标准的要求。</w:t>
            </w:r>
          </w:p>
        </w:tc>
      </w:tr>
      <w:tr w14:paraId="129C6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879" w:type="dxa"/>
            <w:vAlign w:val="center"/>
          </w:tcPr>
          <w:p w14:paraId="782324E9">
            <w:pPr>
              <w:pStyle w:val="69"/>
              <w:adjustRightInd w:val="0"/>
              <w:rPr>
                <w:color w:val="auto"/>
                <w:lang w:val="en-US" w:eastAsia="zh-CN"/>
              </w:rPr>
            </w:pPr>
            <w:r>
              <w:rPr>
                <w:color w:val="auto"/>
                <w:lang w:val="en-US" w:eastAsia="zh-CN"/>
              </w:rPr>
              <w:t>固废</w:t>
            </w:r>
          </w:p>
        </w:tc>
        <w:tc>
          <w:tcPr>
            <w:tcW w:w="7483" w:type="dxa"/>
            <w:vAlign w:val="center"/>
          </w:tcPr>
          <w:p w14:paraId="477731F2">
            <w:pPr>
              <w:pStyle w:val="69"/>
              <w:adjustRightInd w:val="0"/>
              <w:ind w:firstLine="420" w:firstLineChars="200"/>
              <w:jc w:val="both"/>
              <w:rPr>
                <w:color w:val="auto"/>
                <w:lang w:val="en-US" w:eastAsia="zh-CN"/>
              </w:rPr>
            </w:pPr>
            <w:r>
              <w:rPr>
                <w:rFonts w:hint="eastAsia"/>
                <w:color w:val="auto"/>
                <w:lang w:val="en-US" w:eastAsia="zh-CN"/>
              </w:rPr>
              <w:t>该工程营运期间产生的固废包括一般固废和危险废物两大类其中一般固废包括废边角料、废钢带、生化污泥、废过滤器、废活性炭、废RO膜；危险废物主要包括废包装物、废拉伸油、除油槽废油渣、重金属预处理系统污泥、镀槽及退镀槽废槽液、废槽渣、电镀槽液过滤装置废滤芯、污水处理气浮池废油渣、含镍废水处理设施含镍废活性炭、含镍废过滤膜、含镍污泥、含铬废水处理设施含铬废活性炭、含铬废过滤膜、含铬污泥、含锌废水处理设施含锌废活性炭、含锌废过滤膜、含锌污泥、含高COD废水处理设施含铬镍废活性炭、含铬镍废过滤膜、含铬镍污泥、蒸发浓液。</w:t>
            </w:r>
          </w:p>
          <w:p w14:paraId="1A003E94">
            <w:pPr>
              <w:pStyle w:val="69"/>
              <w:adjustRightInd w:val="0"/>
              <w:ind w:firstLine="420" w:firstLineChars="200"/>
              <w:jc w:val="both"/>
              <w:rPr>
                <w:color w:val="auto"/>
                <w:lang w:val="en-US" w:eastAsia="zh-CN"/>
              </w:rPr>
            </w:pPr>
            <w:r>
              <w:rPr>
                <w:rFonts w:hint="eastAsia"/>
                <w:color w:val="auto"/>
                <w:lang w:val="en-US" w:eastAsia="zh-CN"/>
              </w:rPr>
              <w:t>废边角料、废钢带和污泥集中收集后出售，废过滤器、废活性炭、废RO膜经厂家回收；危险废物</w:t>
            </w:r>
            <w:r>
              <w:rPr>
                <w:color w:val="auto"/>
                <w:lang w:val="en-US" w:eastAsia="zh-CN"/>
              </w:rPr>
              <w:t>专用容器收集，在危废储存间分类暂存</w:t>
            </w:r>
            <w:r>
              <w:rPr>
                <w:rFonts w:hint="eastAsia"/>
                <w:color w:val="auto"/>
                <w:lang w:val="en-US" w:eastAsia="zh-CN"/>
              </w:rPr>
              <w:t>，</w:t>
            </w:r>
            <w:r>
              <w:rPr>
                <w:color w:val="auto"/>
                <w:lang w:val="en-US" w:eastAsia="zh-CN"/>
              </w:rPr>
              <w:t>定期送有</w:t>
            </w:r>
            <w:r>
              <w:rPr>
                <w:rFonts w:hint="eastAsia"/>
                <w:color w:val="auto"/>
                <w:lang w:val="en-US" w:eastAsia="zh-CN"/>
              </w:rPr>
              <w:t>相应</w:t>
            </w:r>
            <w:r>
              <w:rPr>
                <w:color w:val="auto"/>
                <w:lang w:val="en-US" w:eastAsia="zh-CN"/>
              </w:rPr>
              <w:t>危废</w:t>
            </w:r>
            <w:r>
              <w:rPr>
                <w:rFonts w:hint="eastAsia"/>
                <w:color w:val="auto"/>
                <w:lang w:val="en-US" w:eastAsia="zh-CN"/>
              </w:rPr>
              <w:t>处置</w:t>
            </w:r>
            <w:r>
              <w:rPr>
                <w:color w:val="auto"/>
                <w:lang w:val="en-US" w:eastAsia="zh-CN"/>
              </w:rPr>
              <w:t>资质的单位</w:t>
            </w:r>
            <w:r>
              <w:rPr>
                <w:rFonts w:hint="eastAsia"/>
                <w:color w:val="auto"/>
                <w:lang w:val="en-US" w:eastAsia="zh-CN"/>
              </w:rPr>
              <w:t>处置。</w:t>
            </w:r>
          </w:p>
        </w:tc>
      </w:tr>
      <w:tr w14:paraId="1C676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879" w:type="dxa"/>
            <w:vAlign w:val="center"/>
          </w:tcPr>
          <w:p w14:paraId="1A322B47">
            <w:pPr>
              <w:pStyle w:val="69"/>
              <w:adjustRightInd w:val="0"/>
              <w:rPr>
                <w:color w:val="auto"/>
                <w:lang w:val="en-US" w:eastAsia="zh-CN"/>
              </w:rPr>
            </w:pPr>
            <w:r>
              <w:rPr>
                <w:rFonts w:hint="eastAsia"/>
                <w:color w:val="auto"/>
                <w:lang w:val="en-US" w:eastAsia="zh-CN"/>
              </w:rPr>
              <w:t>风险</w:t>
            </w:r>
          </w:p>
        </w:tc>
        <w:tc>
          <w:tcPr>
            <w:tcW w:w="7483" w:type="dxa"/>
            <w:vAlign w:val="center"/>
          </w:tcPr>
          <w:p w14:paraId="11B308DB">
            <w:pPr>
              <w:pStyle w:val="69"/>
              <w:adjustRightInd w:val="0"/>
              <w:ind w:firstLine="420" w:firstLineChars="200"/>
              <w:jc w:val="both"/>
              <w:rPr>
                <w:color w:val="auto"/>
                <w:lang w:val="en-US"/>
              </w:rPr>
            </w:pPr>
            <w:r>
              <w:rPr>
                <w:rFonts w:hint="eastAsia"/>
                <w:color w:val="auto"/>
              </w:rPr>
              <w:t>本项目的原料具有一定的毒性和腐蚀性，其生产、贮存过程中存在一定泄漏风险。但风险事故发生概率比较低，发生事故对周围敏感目标的危害后果较小，在采取风险防范措施后，项目的风险可防控。</w:t>
            </w:r>
          </w:p>
        </w:tc>
      </w:tr>
      <w:tr w14:paraId="43D9A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879" w:type="dxa"/>
            <w:vAlign w:val="center"/>
          </w:tcPr>
          <w:p w14:paraId="79C1718E">
            <w:pPr>
              <w:pStyle w:val="69"/>
              <w:adjustRightInd w:val="0"/>
              <w:rPr>
                <w:color w:val="auto"/>
                <w:lang w:val="en-US" w:eastAsia="zh-CN"/>
              </w:rPr>
            </w:pPr>
            <w:r>
              <w:rPr>
                <w:rFonts w:hint="eastAsia"/>
                <w:color w:val="auto"/>
                <w:lang w:val="en-US" w:eastAsia="zh-CN"/>
              </w:rPr>
              <w:t>环保投资</w:t>
            </w:r>
          </w:p>
        </w:tc>
        <w:tc>
          <w:tcPr>
            <w:tcW w:w="7483" w:type="dxa"/>
            <w:vAlign w:val="center"/>
          </w:tcPr>
          <w:p w14:paraId="0D2E4A01">
            <w:pPr>
              <w:pStyle w:val="69"/>
              <w:adjustRightInd w:val="0"/>
              <w:ind w:firstLine="420" w:firstLineChars="200"/>
              <w:jc w:val="both"/>
              <w:rPr>
                <w:color w:val="auto"/>
                <w:lang w:val="en-US"/>
              </w:rPr>
            </w:pPr>
            <w:r>
              <w:rPr>
                <w:color w:val="auto"/>
                <w:lang w:val="en-US"/>
              </w:rPr>
              <w:t>工程环保投资</w:t>
            </w:r>
            <w:r>
              <w:rPr>
                <w:rFonts w:hint="eastAsia"/>
                <w:color w:val="auto"/>
                <w:lang w:val="en-US"/>
              </w:rPr>
              <w:t>500</w:t>
            </w:r>
            <w:r>
              <w:rPr>
                <w:color w:val="auto"/>
                <w:lang w:val="en-US"/>
              </w:rPr>
              <w:t>万元，占工程总投资的</w:t>
            </w:r>
            <w:r>
              <w:rPr>
                <w:rFonts w:hint="eastAsia"/>
                <w:color w:val="auto"/>
                <w:lang w:val="en-US"/>
              </w:rPr>
              <w:t>25</w:t>
            </w:r>
            <w:r>
              <w:rPr>
                <w:color w:val="auto"/>
                <w:lang w:val="en-US"/>
              </w:rPr>
              <w:t>%，建设单位应认真落实评价提出的各项污染防治措施，确保落实到位，严格执行环保“三同时”制度。</w:t>
            </w:r>
          </w:p>
        </w:tc>
      </w:tr>
      <w:tr w14:paraId="76D6F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879" w:type="dxa"/>
            <w:vAlign w:val="center"/>
          </w:tcPr>
          <w:p w14:paraId="2AE6BD5D">
            <w:pPr>
              <w:pStyle w:val="69"/>
              <w:adjustRightInd w:val="0"/>
              <w:rPr>
                <w:color w:val="auto"/>
                <w:lang w:val="en-US" w:eastAsia="zh-CN"/>
              </w:rPr>
            </w:pPr>
            <w:r>
              <w:rPr>
                <w:color w:val="auto"/>
                <w:lang w:val="en-US" w:eastAsia="zh-CN"/>
              </w:rPr>
              <w:t>公众参与</w:t>
            </w:r>
          </w:p>
        </w:tc>
        <w:tc>
          <w:tcPr>
            <w:tcW w:w="7483" w:type="dxa"/>
            <w:vAlign w:val="center"/>
          </w:tcPr>
          <w:p w14:paraId="70FB6177">
            <w:pPr>
              <w:pStyle w:val="69"/>
              <w:adjustRightInd w:val="0"/>
              <w:ind w:firstLine="420" w:firstLineChars="200"/>
              <w:jc w:val="both"/>
              <w:rPr>
                <w:color w:val="auto"/>
                <w:lang w:val="en-US"/>
              </w:rPr>
            </w:pPr>
            <w:r>
              <w:rPr>
                <w:rFonts w:hint="eastAsia"/>
                <w:color w:val="auto"/>
              </w:rPr>
              <w:t>建设单位已按照《环境影响评价公众参与办法》中的相关要求进行了公众参与工作，公示期间，未收到反对意见。建设单位的公参真实性、有效性、代表性、公正性符合相关环保要求。</w:t>
            </w:r>
          </w:p>
        </w:tc>
      </w:tr>
      <w:tr w14:paraId="7F009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879" w:type="dxa"/>
            <w:vAlign w:val="center"/>
          </w:tcPr>
          <w:p w14:paraId="2D23E596">
            <w:pPr>
              <w:pStyle w:val="69"/>
              <w:adjustRightInd w:val="0"/>
              <w:rPr>
                <w:color w:val="auto"/>
                <w:lang w:val="en-US" w:eastAsia="zh-CN"/>
              </w:rPr>
            </w:pPr>
            <w:r>
              <w:rPr>
                <w:color w:val="auto"/>
                <w:lang w:val="en-US" w:eastAsia="zh-CN"/>
              </w:rPr>
              <w:t>总量控制指标</w:t>
            </w:r>
          </w:p>
        </w:tc>
        <w:tc>
          <w:tcPr>
            <w:tcW w:w="7483" w:type="dxa"/>
            <w:vAlign w:val="center"/>
          </w:tcPr>
          <w:p w14:paraId="6CF37BE9">
            <w:pPr>
              <w:pStyle w:val="69"/>
              <w:adjustRightInd w:val="0"/>
              <w:ind w:firstLine="420" w:firstLineChars="200"/>
              <w:jc w:val="both"/>
              <w:rPr>
                <w:color w:val="auto"/>
                <w:lang w:val="en-US" w:eastAsia="zh-CN"/>
              </w:rPr>
            </w:pPr>
            <w:r>
              <w:rPr>
                <w:color w:val="auto"/>
                <w:lang w:val="en-US" w:eastAsia="zh-CN"/>
              </w:rPr>
              <w:t>评价建议将项目污染物排放量纳入总量指标进行控制：</w:t>
            </w:r>
          </w:p>
          <w:p w14:paraId="76007B20">
            <w:pPr>
              <w:pStyle w:val="69"/>
              <w:adjustRightInd w:val="0"/>
              <w:ind w:firstLine="420" w:firstLineChars="200"/>
              <w:jc w:val="both"/>
              <w:rPr>
                <w:color w:val="auto"/>
                <w:lang w:val="en-US" w:eastAsia="zh-CN"/>
              </w:rPr>
            </w:pPr>
            <w:r>
              <w:rPr>
                <w:rFonts w:hint="eastAsia"/>
                <w:color w:val="auto"/>
                <w:lang w:val="en-US" w:eastAsia="zh-CN"/>
              </w:rPr>
              <w:t>①本项目建成后废水经大块镇污水处理厂/凤泉区污水处理厂处理后，全厂污染物总量指标为：</w:t>
            </w:r>
            <w:r>
              <w:rPr>
                <w:color w:val="auto"/>
                <w:lang w:val="en-US" w:eastAsia="zh-CN"/>
              </w:rPr>
              <w:t>COD3.4159t/a</w:t>
            </w:r>
            <w:r>
              <w:rPr>
                <w:rFonts w:hint="eastAsia"/>
                <w:color w:val="auto"/>
                <w:lang w:val="en-US" w:eastAsia="zh-CN"/>
              </w:rPr>
              <w:t>，氨氮</w:t>
            </w:r>
            <w:r>
              <w:rPr>
                <w:color w:val="auto"/>
                <w:lang w:val="en-US" w:eastAsia="zh-CN"/>
              </w:rPr>
              <w:t>0.1707t/a</w:t>
            </w:r>
            <w:r>
              <w:rPr>
                <w:rFonts w:hint="eastAsia"/>
                <w:color w:val="auto"/>
                <w:lang w:val="en-US" w:eastAsia="zh-CN"/>
              </w:rPr>
              <w:t>，总磷</w:t>
            </w:r>
            <w:r>
              <w:rPr>
                <w:color w:val="auto"/>
                <w:lang w:val="en-US" w:eastAsia="zh-CN"/>
              </w:rPr>
              <w:t>0.0341t/a</w:t>
            </w:r>
            <w:r>
              <w:rPr>
                <w:rFonts w:hint="eastAsia"/>
                <w:color w:val="auto"/>
                <w:lang w:val="en-US" w:eastAsia="zh-CN"/>
              </w:rPr>
              <w:t>、</w:t>
            </w:r>
            <w:r>
              <w:rPr>
                <w:color w:val="auto"/>
                <w:lang w:val="en-US" w:eastAsia="zh-CN"/>
              </w:rPr>
              <w:t>TN1.0908t/a</w:t>
            </w:r>
            <w:r>
              <w:rPr>
                <w:rFonts w:hint="eastAsia"/>
                <w:color w:val="auto"/>
                <w:lang w:val="en-US" w:eastAsia="zh-CN"/>
              </w:rPr>
              <w:t>；</w:t>
            </w:r>
          </w:p>
          <w:p w14:paraId="5E0E01C7">
            <w:pPr>
              <w:pStyle w:val="69"/>
              <w:adjustRightInd w:val="0"/>
              <w:ind w:firstLine="420" w:firstLineChars="200"/>
              <w:jc w:val="both"/>
              <w:rPr>
                <w:color w:val="auto"/>
                <w:lang w:val="en-US" w:eastAsia="zh-CN"/>
              </w:rPr>
            </w:pPr>
            <w:r>
              <w:rPr>
                <w:rFonts w:hint="eastAsia"/>
                <w:color w:val="auto"/>
                <w:lang w:val="en-US" w:eastAsia="zh-CN"/>
              </w:rPr>
              <w:t>经大块镇污水处理厂/凤泉区污水处理厂处理后，新增废水重点污染物总量指标为：</w:t>
            </w:r>
            <w:r>
              <w:rPr>
                <w:color w:val="auto"/>
                <w:lang w:val="en-US" w:eastAsia="zh-CN"/>
              </w:rPr>
              <w:t>COD1.0028t/a</w:t>
            </w:r>
            <w:r>
              <w:rPr>
                <w:rFonts w:hint="eastAsia"/>
                <w:color w:val="auto"/>
                <w:lang w:val="en-US" w:eastAsia="zh-CN"/>
              </w:rPr>
              <w:t>，</w:t>
            </w:r>
            <w:bookmarkStart w:id="38" w:name="OLE_LINK379"/>
            <w:r>
              <w:rPr>
                <w:rFonts w:hint="eastAsia"/>
                <w:color w:val="auto"/>
                <w:lang w:val="en-US" w:eastAsia="zh-CN"/>
              </w:rPr>
              <w:t>氨氮</w:t>
            </w:r>
            <w:r>
              <w:rPr>
                <w:color w:val="auto"/>
                <w:lang w:val="en-US" w:eastAsia="zh-CN"/>
              </w:rPr>
              <w:t>0.050</w:t>
            </w:r>
            <w:r>
              <w:rPr>
                <w:rFonts w:hint="eastAsia"/>
                <w:color w:val="auto"/>
                <w:lang w:val="en-US" w:eastAsia="zh-CN"/>
              </w:rPr>
              <w:t>2</w:t>
            </w:r>
            <w:r>
              <w:rPr>
                <w:color w:val="auto"/>
                <w:lang w:val="en-US" w:eastAsia="zh-CN"/>
              </w:rPr>
              <w:t>t/a</w:t>
            </w:r>
            <w:r>
              <w:rPr>
                <w:rFonts w:hint="eastAsia"/>
                <w:color w:val="auto"/>
                <w:lang w:val="en-US" w:eastAsia="zh-CN"/>
              </w:rPr>
              <w:t>，总磷0.0101</w:t>
            </w:r>
            <w:r>
              <w:rPr>
                <w:color w:val="auto"/>
                <w:lang w:val="en-US" w:eastAsia="zh-CN"/>
              </w:rPr>
              <w:t>t/a</w:t>
            </w:r>
            <w:bookmarkEnd w:id="38"/>
            <w:r>
              <w:rPr>
                <w:rFonts w:hint="eastAsia"/>
                <w:color w:val="auto"/>
                <w:lang w:val="en-US" w:eastAsia="zh-CN"/>
              </w:rPr>
              <w:t>，总氮0.376</w:t>
            </w:r>
            <w:r>
              <w:rPr>
                <w:color w:val="auto"/>
                <w:lang w:val="en-US" w:eastAsia="zh-CN"/>
              </w:rPr>
              <w:t>t/a</w:t>
            </w:r>
            <w:r>
              <w:rPr>
                <w:rFonts w:hint="eastAsia"/>
                <w:color w:val="auto"/>
                <w:lang w:val="en-US" w:eastAsia="zh-CN"/>
              </w:rPr>
              <w:t>。</w:t>
            </w:r>
          </w:p>
          <w:p w14:paraId="2E02E990">
            <w:pPr>
              <w:pStyle w:val="69"/>
              <w:adjustRightInd w:val="0"/>
              <w:ind w:firstLine="420" w:firstLineChars="200"/>
              <w:jc w:val="both"/>
              <w:rPr>
                <w:color w:val="auto"/>
                <w:lang w:val="en-US" w:eastAsia="zh-CN"/>
              </w:rPr>
            </w:pPr>
            <w:r>
              <w:rPr>
                <w:rFonts w:hint="eastAsia"/>
                <w:color w:val="auto"/>
                <w:lang w:val="en-US" w:eastAsia="zh-CN"/>
              </w:rPr>
              <w:t>②本项目建成后全厂废气污染物总量控制指标：颗粒物0.0438</w:t>
            </w:r>
            <w:r>
              <w:rPr>
                <w:color w:val="auto"/>
                <w:lang w:val="en-US" w:eastAsia="zh-CN"/>
              </w:rPr>
              <w:t>t/a</w:t>
            </w:r>
            <w:r>
              <w:rPr>
                <w:rFonts w:hint="eastAsia"/>
                <w:color w:val="auto"/>
                <w:lang w:val="en-US" w:eastAsia="zh-CN"/>
              </w:rPr>
              <w:t>，</w:t>
            </w:r>
            <w:r>
              <w:rPr>
                <w:color w:val="auto"/>
                <w:lang w:val="en-US" w:eastAsia="zh-CN"/>
              </w:rPr>
              <w:t>SO</w:t>
            </w:r>
            <w:r>
              <w:rPr>
                <w:color w:val="auto"/>
                <w:vertAlign w:val="subscript"/>
                <w:lang w:val="en-US" w:eastAsia="zh-CN"/>
              </w:rPr>
              <w:t>2</w:t>
            </w:r>
            <w:r>
              <w:rPr>
                <w:color w:val="auto"/>
                <w:lang w:val="en-US" w:eastAsia="zh-CN"/>
              </w:rPr>
              <w:t xml:space="preserve"> 0.</w:t>
            </w:r>
            <w:r>
              <w:rPr>
                <w:rFonts w:hint="eastAsia"/>
                <w:color w:val="auto"/>
                <w:lang w:val="en-US" w:eastAsia="zh-CN"/>
              </w:rPr>
              <w:t>0879</w:t>
            </w:r>
            <w:r>
              <w:rPr>
                <w:color w:val="auto"/>
                <w:lang w:val="en-US" w:eastAsia="zh-CN"/>
              </w:rPr>
              <w:t>t/a</w:t>
            </w:r>
            <w:r>
              <w:rPr>
                <w:rFonts w:hint="eastAsia"/>
                <w:color w:val="auto"/>
                <w:lang w:val="en-US" w:eastAsia="zh-CN"/>
              </w:rPr>
              <w:t>，</w:t>
            </w:r>
            <w:r>
              <w:rPr>
                <w:color w:val="auto"/>
                <w:lang w:val="en-US" w:eastAsia="zh-CN"/>
              </w:rPr>
              <w:t>NOx 0.</w:t>
            </w:r>
            <w:r>
              <w:rPr>
                <w:rFonts w:hint="eastAsia"/>
                <w:color w:val="auto"/>
                <w:lang w:val="en-US" w:eastAsia="zh-CN"/>
              </w:rPr>
              <w:t>2429</w:t>
            </w:r>
            <w:r>
              <w:rPr>
                <w:color w:val="auto"/>
                <w:lang w:val="en-US" w:eastAsia="zh-CN"/>
              </w:rPr>
              <w:t>t/a</w:t>
            </w:r>
            <w:r>
              <w:rPr>
                <w:rFonts w:hint="eastAsia"/>
                <w:color w:val="auto"/>
                <w:lang w:val="en-US" w:eastAsia="zh-CN"/>
              </w:rPr>
              <w:t>。</w:t>
            </w:r>
          </w:p>
          <w:p w14:paraId="59E85DD4">
            <w:pPr>
              <w:pStyle w:val="69"/>
              <w:adjustRightInd w:val="0"/>
              <w:ind w:firstLine="420" w:firstLineChars="200"/>
              <w:jc w:val="both"/>
              <w:rPr>
                <w:color w:val="auto"/>
                <w:lang w:val="en-US" w:eastAsia="zh-CN"/>
              </w:rPr>
            </w:pPr>
            <w:r>
              <w:rPr>
                <w:rFonts w:hint="eastAsia"/>
                <w:color w:val="auto"/>
                <w:lang w:val="en-US" w:eastAsia="zh-CN"/>
              </w:rPr>
              <w:t>本项目不涉及新增废气重点污染物总量指标。</w:t>
            </w:r>
          </w:p>
          <w:p w14:paraId="33DE1463">
            <w:pPr>
              <w:pStyle w:val="69"/>
              <w:adjustRightInd w:val="0"/>
              <w:ind w:firstLine="420" w:firstLineChars="200"/>
              <w:jc w:val="both"/>
              <w:rPr>
                <w:color w:val="auto"/>
                <w:lang w:val="en-US" w:eastAsia="zh-CN"/>
              </w:rPr>
            </w:pPr>
            <w:r>
              <w:rPr>
                <w:rFonts w:hint="eastAsia"/>
                <w:color w:val="auto"/>
                <w:lang w:val="en-US" w:eastAsia="zh-CN"/>
              </w:rPr>
              <w:t>本项目建成后全厂新增污染物排放量为</w:t>
            </w:r>
            <w:r>
              <w:rPr>
                <w:color w:val="auto"/>
                <w:lang w:val="en-US" w:eastAsia="zh-CN"/>
              </w:rPr>
              <w:t>COD1.0028t/a</w:t>
            </w:r>
            <w:r>
              <w:rPr>
                <w:rFonts w:hint="eastAsia"/>
                <w:color w:val="auto"/>
                <w:lang w:val="en-US" w:eastAsia="zh-CN"/>
              </w:rPr>
              <w:t>，氨氮</w:t>
            </w:r>
            <w:r>
              <w:rPr>
                <w:color w:val="auto"/>
                <w:lang w:val="en-US" w:eastAsia="zh-CN"/>
              </w:rPr>
              <w:t>0.050</w:t>
            </w:r>
            <w:r>
              <w:rPr>
                <w:rFonts w:hint="eastAsia"/>
                <w:color w:val="auto"/>
                <w:lang w:val="en-US" w:eastAsia="zh-CN"/>
              </w:rPr>
              <w:t>2</w:t>
            </w:r>
            <w:r>
              <w:rPr>
                <w:color w:val="auto"/>
                <w:lang w:val="en-US" w:eastAsia="zh-CN"/>
              </w:rPr>
              <w:t>t/a</w:t>
            </w:r>
            <w:r>
              <w:rPr>
                <w:rFonts w:hint="eastAsia"/>
                <w:color w:val="auto"/>
                <w:lang w:val="en-US" w:eastAsia="zh-CN"/>
              </w:rPr>
              <w:t>，总磷0.0101</w:t>
            </w:r>
            <w:r>
              <w:rPr>
                <w:color w:val="auto"/>
                <w:lang w:val="en-US" w:eastAsia="zh-CN"/>
              </w:rPr>
              <w:t>t/a</w:t>
            </w:r>
            <w:r>
              <w:rPr>
                <w:rFonts w:hint="eastAsia"/>
                <w:color w:val="auto"/>
                <w:lang w:val="en-US" w:eastAsia="zh-CN"/>
              </w:rPr>
              <w:t>，总氮0.376</w:t>
            </w:r>
            <w:r>
              <w:rPr>
                <w:color w:val="auto"/>
                <w:lang w:val="en-US" w:eastAsia="zh-CN"/>
              </w:rPr>
              <w:t>t/a</w:t>
            </w:r>
            <w:r>
              <w:rPr>
                <w:rFonts w:hint="eastAsia"/>
                <w:color w:val="auto"/>
                <w:lang w:val="en-US" w:eastAsia="zh-CN"/>
              </w:rPr>
              <w:t>，其中废水</w:t>
            </w:r>
            <w:r>
              <w:rPr>
                <w:color w:val="auto"/>
                <w:lang w:val="en-US" w:eastAsia="zh-CN"/>
              </w:rPr>
              <w:t>COD</w:t>
            </w:r>
            <w:r>
              <w:rPr>
                <w:rFonts w:hint="eastAsia"/>
                <w:color w:val="auto"/>
                <w:lang w:val="en-US" w:eastAsia="zh-CN"/>
              </w:rPr>
              <w:t>、</w:t>
            </w:r>
            <w:r>
              <w:rPr>
                <w:color w:val="auto"/>
                <w:lang w:val="en-US" w:eastAsia="zh-CN"/>
              </w:rPr>
              <w:t>NH</w:t>
            </w:r>
            <w:r>
              <w:rPr>
                <w:color w:val="auto"/>
                <w:vertAlign w:val="subscript"/>
                <w:lang w:val="en-US" w:eastAsia="zh-CN"/>
              </w:rPr>
              <w:t>3</w:t>
            </w:r>
            <w:r>
              <w:rPr>
                <w:color w:val="auto"/>
                <w:lang w:val="en-US" w:eastAsia="zh-CN"/>
              </w:rPr>
              <w:t>-N</w:t>
            </w:r>
            <w:r>
              <w:rPr>
                <w:rFonts w:hint="eastAsia"/>
                <w:color w:val="auto"/>
                <w:lang w:val="en-US" w:eastAsia="zh-CN"/>
              </w:rPr>
              <w:t>进行双倍替代，COD、氨氮总量替代来自原阳县产业集聚区2023年进水量增加的减排量剩余量COD424.2339t、氨氮32.60896t。</w:t>
            </w:r>
          </w:p>
        </w:tc>
      </w:tr>
      <w:tr w14:paraId="36123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879" w:type="dxa"/>
            <w:vAlign w:val="center"/>
          </w:tcPr>
          <w:p w14:paraId="50DEFF42">
            <w:pPr>
              <w:pStyle w:val="69"/>
              <w:adjustRightInd w:val="0"/>
              <w:rPr>
                <w:color w:val="auto"/>
                <w:lang w:val="en-US" w:eastAsia="zh-CN"/>
              </w:rPr>
            </w:pPr>
            <w:r>
              <w:rPr>
                <w:rFonts w:hint="eastAsia"/>
                <w:color w:val="auto"/>
                <w:lang w:val="en-US" w:eastAsia="zh-CN"/>
              </w:rPr>
              <w:t>建议</w:t>
            </w:r>
          </w:p>
        </w:tc>
        <w:tc>
          <w:tcPr>
            <w:tcW w:w="7483" w:type="dxa"/>
            <w:vAlign w:val="center"/>
          </w:tcPr>
          <w:p w14:paraId="23BD4346">
            <w:pPr>
              <w:pStyle w:val="69"/>
              <w:adjustRightInd w:val="0"/>
              <w:ind w:firstLine="420" w:firstLineChars="200"/>
              <w:jc w:val="both"/>
              <w:rPr>
                <w:color w:val="auto"/>
                <w:lang w:val="en-US"/>
              </w:rPr>
            </w:pPr>
            <w:r>
              <w:rPr>
                <w:rFonts w:hint="eastAsia"/>
                <w:color w:val="auto"/>
                <w:lang w:val="en-US"/>
              </w:rPr>
              <w:t>（1）建设单位应严格执行环保“三同时”制度，确保环保资金落实到位。</w:t>
            </w:r>
          </w:p>
          <w:p w14:paraId="780B8EB9">
            <w:pPr>
              <w:pStyle w:val="69"/>
              <w:adjustRightInd w:val="0"/>
              <w:ind w:firstLine="420" w:firstLineChars="200"/>
              <w:jc w:val="both"/>
              <w:rPr>
                <w:color w:val="auto"/>
                <w:lang w:val="en-US"/>
              </w:rPr>
            </w:pPr>
            <w:r>
              <w:rPr>
                <w:rFonts w:hint="eastAsia"/>
                <w:color w:val="auto"/>
                <w:lang w:val="en-US"/>
              </w:rPr>
              <w:t>（2）建立健全安全生产和管理制度，积极消除事故隐患，杜绝事故发生。</w:t>
            </w:r>
          </w:p>
          <w:p w14:paraId="735790B8">
            <w:pPr>
              <w:pStyle w:val="69"/>
              <w:adjustRightInd w:val="0"/>
              <w:ind w:firstLine="420" w:firstLineChars="200"/>
              <w:jc w:val="both"/>
              <w:rPr>
                <w:color w:val="auto"/>
                <w:lang w:val="en-US"/>
              </w:rPr>
            </w:pPr>
            <w:r>
              <w:rPr>
                <w:rFonts w:hint="eastAsia"/>
                <w:color w:val="auto"/>
                <w:lang w:val="en-US"/>
              </w:rPr>
              <w:t>（3）加强公司清洁生产工作，认真实施各项清洁生产措施，提高原料利用率，减少污染物的排放量。</w:t>
            </w:r>
          </w:p>
          <w:p w14:paraId="76905E34">
            <w:pPr>
              <w:pStyle w:val="69"/>
              <w:adjustRightInd w:val="0"/>
              <w:ind w:firstLine="420" w:firstLineChars="200"/>
              <w:jc w:val="both"/>
              <w:rPr>
                <w:color w:val="auto"/>
                <w:lang w:val="en-US"/>
              </w:rPr>
            </w:pPr>
            <w:r>
              <w:rPr>
                <w:rFonts w:hint="eastAsia"/>
                <w:color w:val="auto"/>
                <w:lang w:val="en-US"/>
              </w:rPr>
              <w:t>（4）加强厂区及周围的环境绿化，利用绿色植物阻滞粉尘、吸音降噪作用，有效降低噪声对外环境的影响。</w:t>
            </w:r>
          </w:p>
          <w:p w14:paraId="3D2D0727">
            <w:pPr>
              <w:pStyle w:val="69"/>
              <w:adjustRightInd w:val="0"/>
              <w:ind w:firstLine="420" w:firstLineChars="200"/>
              <w:jc w:val="both"/>
              <w:rPr>
                <w:color w:val="auto"/>
                <w:lang w:val="en-US"/>
              </w:rPr>
            </w:pPr>
            <w:r>
              <w:rPr>
                <w:rFonts w:hint="eastAsia"/>
                <w:color w:val="auto"/>
                <w:lang w:val="en-US"/>
              </w:rPr>
              <w:t>（5）加强环境保护机构建设，健全环保规章制度，加强对各种污染防治设施的运行管理，定期维护检修，确保其正常稳定运行。</w:t>
            </w:r>
          </w:p>
          <w:p w14:paraId="258B1020">
            <w:pPr>
              <w:pStyle w:val="69"/>
              <w:adjustRightInd w:val="0"/>
              <w:ind w:firstLine="420" w:firstLineChars="200"/>
              <w:jc w:val="both"/>
              <w:rPr>
                <w:color w:val="auto"/>
                <w:lang w:val="en-US"/>
              </w:rPr>
            </w:pPr>
            <w:r>
              <w:rPr>
                <w:rFonts w:hint="eastAsia"/>
                <w:color w:val="auto"/>
                <w:lang w:val="en-US"/>
              </w:rPr>
              <w:t>（6）规范员工的岗位操作章程制度、增强员工的安全意识。</w:t>
            </w:r>
          </w:p>
          <w:p w14:paraId="5FEDEB9D">
            <w:pPr>
              <w:pStyle w:val="69"/>
              <w:adjustRightInd w:val="0"/>
              <w:ind w:firstLine="420" w:firstLineChars="200"/>
              <w:jc w:val="both"/>
              <w:rPr>
                <w:color w:val="auto"/>
                <w:lang w:val="en-US"/>
              </w:rPr>
            </w:pPr>
            <w:r>
              <w:rPr>
                <w:rFonts w:hint="eastAsia"/>
                <w:color w:val="auto"/>
                <w:lang w:val="en-US"/>
              </w:rPr>
              <w:t>（7）加强废气排放烟囱和固体废物暂存间地的规范化管理，按规定设置明显标志牌和便于监督监测的采样孔。</w:t>
            </w:r>
          </w:p>
        </w:tc>
      </w:tr>
    </w:tbl>
    <w:p w14:paraId="19A876CF">
      <w:pPr>
        <w:ind w:firstLine="0" w:firstLineChars="0"/>
        <w:contextualSpacing/>
        <w:jc w:val="both"/>
        <w:rPr>
          <w:rFonts w:hint="eastAsia" w:cs="Times New Roman" w:hAnsiTheme="majorEastAsia" w:eastAsiaTheme="majorEastAsia"/>
          <w:bCs/>
          <w:color w:val="FF0000"/>
        </w:rPr>
      </w:pPr>
      <w:r>
        <w:rPr>
          <w:rFonts w:cs="Times New Roman" w:hAnsiTheme="majorEastAsia" w:eastAsiaTheme="majorEastAsia"/>
          <w:bCs/>
          <w:color w:val="FF0000"/>
        </w:rPr>
        <w:br w:type="page"/>
      </w:r>
    </w:p>
    <w:p w14:paraId="515A4DAB">
      <w:pPr>
        <w:pStyle w:val="3"/>
        <w:spacing w:before="163" w:after="163"/>
        <w:ind w:firstLine="643"/>
        <w:rPr>
          <w:rFonts w:cs="Times New Roman"/>
          <w:color w:val="auto"/>
        </w:rPr>
      </w:pPr>
      <w:bookmarkStart w:id="39" w:name="_Toc172712299"/>
      <w:r>
        <w:rPr>
          <w:rFonts w:cs="Times New Roman"/>
          <w:color w:val="auto"/>
        </w:rPr>
        <w:t>5.2审批部门审批决定</w:t>
      </w:r>
      <w:bookmarkEnd w:id="39"/>
    </w:p>
    <w:p w14:paraId="10626AF2">
      <w:pPr>
        <w:ind w:firstLine="600"/>
        <w:jc w:val="center"/>
        <w:rPr>
          <w:color w:val="auto"/>
          <w:sz w:val="30"/>
          <w:szCs w:val="30"/>
        </w:rPr>
      </w:pPr>
      <w:r>
        <w:rPr>
          <w:rFonts w:hint="eastAsia"/>
          <w:color w:val="auto"/>
          <w:sz w:val="30"/>
          <w:szCs w:val="30"/>
        </w:rPr>
        <w:t>新乡市生态环境局文件</w:t>
      </w:r>
    </w:p>
    <w:p w14:paraId="06957F7A">
      <w:pPr>
        <w:ind w:firstLine="480"/>
        <w:jc w:val="center"/>
        <w:rPr>
          <w:color w:val="auto"/>
          <w:szCs w:val="24"/>
        </w:rPr>
      </w:pPr>
      <w:r>
        <w:rPr>
          <w:rFonts w:hint="eastAsia"/>
          <w:color w:val="auto"/>
          <w:szCs w:val="24"/>
        </w:rPr>
        <w:t>新环书审[</w:t>
      </w:r>
      <w:r>
        <w:rPr>
          <w:color w:val="auto"/>
          <w:szCs w:val="24"/>
        </w:rPr>
        <w:t>20</w:t>
      </w:r>
      <w:r>
        <w:rPr>
          <w:rFonts w:hint="eastAsia"/>
          <w:color w:val="auto"/>
          <w:szCs w:val="24"/>
          <w:lang w:val="en-US" w:eastAsia="zh-CN"/>
        </w:rPr>
        <w:t>25</w:t>
      </w:r>
      <w:r>
        <w:rPr>
          <w:color w:val="auto"/>
          <w:szCs w:val="24"/>
        </w:rPr>
        <w:t>]</w:t>
      </w:r>
      <w:r>
        <w:rPr>
          <w:rFonts w:hint="eastAsia"/>
          <w:color w:val="auto"/>
          <w:szCs w:val="24"/>
          <w:lang w:val="en-US" w:eastAsia="zh-CN"/>
        </w:rPr>
        <w:t>6</w:t>
      </w:r>
      <w:r>
        <w:rPr>
          <w:rFonts w:hint="eastAsia"/>
          <w:color w:val="auto"/>
          <w:szCs w:val="24"/>
        </w:rPr>
        <w:t>号</w:t>
      </w:r>
    </w:p>
    <w:p w14:paraId="30FFB38F">
      <w:pPr>
        <w:spacing w:line="400" w:lineRule="exact"/>
        <w:ind w:firstLine="480"/>
        <w:jc w:val="center"/>
        <w:rPr>
          <w:color w:val="auto"/>
          <w:szCs w:val="24"/>
        </w:rPr>
      </w:pPr>
    </w:p>
    <w:p w14:paraId="083D7F26">
      <w:pPr>
        <w:ind w:left="0" w:leftChars="0" w:firstLine="0" w:firstLineChars="0"/>
        <w:jc w:val="center"/>
        <w:rPr>
          <w:b/>
          <w:bCs/>
          <w:color w:val="auto"/>
        </w:rPr>
      </w:pPr>
      <w:r>
        <w:rPr>
          <w:rFonts w:hint="eastAsia"/>
          <w:b/>
          <w:bCs/>
          <w:color w:val="auto"/>
        </w:rPr>
        <w:t>新乡市生态环境局关于《新乡市万宝科技有限公司年产2万吨五金件、2万吨汽车配件、800吨钢带、5亿只电池钢壳项目环境影响报告书》的批复</w:t>
      </w:r>
    </w:p>
    <w:p w14:paraId="5BBA985C">
      <w:pPr>
        <w:spacing w:line="400" w:lineRule="exact"/>
        <w:ind w:firstLine="480"/>
        <w:rPr>
          <w:color w:val="auto"/>
        </w:rPr>
      </w:pPr>
    </w:p>
    <w:p w14:paraId="3A4386BF">
      <w:pPr>
        <w:ind w:firstLine="480"/>
        <w:jc w:val="both"/>
        <w:rPr>
          <w:color w:val="auto"/>
        </w:rPr>
      </w:pPr>
      <w:r>
        <w:rPr>
          <w:rFonts w:hint="eastAsia"/>
          <w:color w:val="auto"/>
        </w:rPr>
        <w:t>新乡市万宝科技有限公司：</w:t>
      </w:r>
    </w:p>
    <w:p w14:paraId="2D0DFD07">
      <w:pPr>
        <w:ind w:firstLine="480"/>
        <w:jc w:val="both"/>
        <w:rPr>
          <w:rFonts w:hint="eastAsia"/>
          <w:color w:val="auto"/>
        </w:rPr>
      </w:pPr>
      <w:r>
        <w:rPr>
          <w:color w:val="auto"/>
        </w:rPr>
        <w:t>你单位上报的由新乡市世青环境技术有限公司环评工程师杜俊平主持编制完成的《新乡市万宝科技有限公司年产2万吨五金件、2万吨汽车配件、800吨钢带、5亿只电池钢壳项目环境影响报告书》(以下简称《报告书》)、新乡市生态环境局凤泉分局的审查意见均收悉，并已在我局网站公示期满。根据《中华人民共和国环境保护法》、《中华人民共和国行政许可法》、《中华人民共和国环境影响评价法》、《建设项目环境保护管理条例》等法律法规规定，经研</w:t>
      </w:r>
      <w:r>
        <w:rPr>
          <w:rFonts w:hint="eastAsia"/>
          <w:color w:val="auto"/>
        </w:rPr>
        <w:t>究，批复如下：</w:t>
      </w:r>
    </w:p>
    <w:p w14:paraId="57E83FEA">
      <w:pPr>
        <w:ind w:firstLine="480"/>
        <w:jc w:val="both"/>
        <w:rPr>
          <w:rFonts w:hint="eastAsia"/>
          <w:color w:val="auto"/>
          <w:lang w:val="en-US" w:eastAsia="en-US"/>
        </w:rPr>
      </w:pPr>
      <w:r>
        <w:rPr>
          <w:rFonts w:hint="eastAsia"/>
          <w:color w:val="auto"/>
          <w:lang w:val="en-US" w:eastAsia="en-US"/>
        </w:rPr>
        <w:t>一、该《报告书》内容符合建设项目环境管理规定，评价结论可信。我局批准该《报告书》</w:t>
      </w:r>
      <w:r>
        <w:rPr>
          <w:rFonts w:hint="eastAsia"/>
          <w:color w:val="auto"/>
          <w:lang w:val="en-US" w:eastAsia="zh-CN"/>
        </w:rPr>
        <w:t>，</w:t>
      </w:r>
      <w:r>
        <w:rPr>
          <w:rFonts w:hint="eastAsia"/>
          <w:color w:val="auto"/>
          <w:lang w:val="en-US" w:eastAsia="en-US"/>
        </w:rPr>
        <w:t>原则同意你公司按照《报告书》所列项目的性质、规模、地点、采用的原料、生产工艺和环境保护对策措施进行项目建设。项目总投资2000万元，在新乡市万宝科技有限公司现有厂区内建设年产2万吨五金件、2万吨汽车配件、800吨钢带、5亿只电池钢壳项目。</w:t>
      </w:r>
    </w:p>
    <w:p w14:paraId="7032E3A2">
      <w:pPr>
        <w:ind w:firstLine="480"/>
        <w:jc w:val="both"/>
        <w:rPr>
          <w:rFonts w:hint="eastAsia"/>
          <w:color w:val="auto"/>
          <w:lang w:val="en-US" w:eastAsia="en-US"/>
        </w:rPr>
      </w:pPr>
      <w:r>
        <w:rPr>
          <w:rFonts w:hint="eastAsia"/>
          <w:color w:val="auto"/>
          <w:lang w:val="en-US" w:eastAsia="en-US"/>
        </w:rPr>
        <w:t>二、你单位应向社会公众主动公开已经批准的《报告书》</w:t>
      </w:r>
      <w:r>
        <w:rPr>
          <w:rFonts w:hint="eastAsia"/>
          <w:color w:val="auto"/>
          <w:lang w:val="en-US" w:eastAsia="zh-CN"/>
        </w:rPr>
        <w:t>，</w:t>
      </w:r>
      <w:r>
        <w:rPr>
          <w:rFonts w:hint="eastAsia"/>
          <w:color w:val="auto"/>
          <w:lang w:val="en-US" w:eastAsia="en-US"/>
        </w:rPr>
        <w:t>并接受相关方的咨询。</w:t>
      </w:r>
    </w:p>
    <w:p w14:paraId="3D1F43F7">
      <w:pPr>
        <w:ind w:firstLine="480"/>
        <w:jc w:val="both"/>
        <w:rPr>
          <w:rFonts w:hint="eastAsia"/>
          <w:color w:val="auto"/>
          <w:lang w:val="en-US" w:eastAsia="en-US"/>
        </w:rPr>
      </w:pPr>
      <w:r>
        <w:rPr>
          <w:rFonts w:hint="eastAsia"/>
          <w:color w:val="auto"/>
          <w:lang w:val="en-US" w:eastAsia="en-US"/>
        </w:rPr>
        <w:t>三、你单位应全面落实《报告书》提出的各项环保对策措施及环保设施投资概算，确保各项环境保护设施与主体工程同时设计、同时施工、同时投入使用，确保各项污染物达标排放。</w:t>
      </w:r>
    </w:p>
    <w:p w14:paraId="4485EDCB">
      <w:pPr>
        <w:ind w:firstLine="480"/>
        <w:jc w:val="both"/>
        <w:rPr>
          <w:rFonts w:hint="eastAsia"/>
          <w:color w:val="auto"/>
          <w:lang w:val="en-US" w:eastAsia="en-US"/>
        </w:rPr>
      </w:pPr>
      <w:r>
        <w:rPr>
          <w:rFonts w:hint="eastAsia"/>
          <w:color w:val="auto"/>
          <w:lang w:val="en-US" w:eastAsia="en-US"/>
        </w:rPr>
        <w:t>(一)向设计单位提供《报告书》和本批复文件，确保项目设计按照环境保护设计规范要求，落实防治环境污染和生态破坏的措施以及环保设施投资概算。</w:t>
      </w:r>
    </w:p>
    <w:p w14:paraId="66080969">
      <w:pPr>
        <w:ind w:firstLine="480"/>
        <w:jc w:val="both"/>
        <w:rPr>
          <w:rFonts w:hint="eastAsia"/>
          <w:color w:val="auto"/>
          <w:lang w:val="en-US" w:eastAsia="en-US"/>
        </w:rPr>
      </w:pPr>
      <w:r>
        <w:rPr>
          <w:rFonts w:hint="eastAsia"/>
          <w:color w:val="auto"/>
          <w:lang w:val="en-US" w:eastAsia="en-US"/>
        </w:rPr>
        <w:t>(二)依据《报告书》和本批复文件，对项目建设过程中产生的废水、废气、固体废物、噪声等污染，采取相应的防治措施。</w:t>
      </w:r>
    </w:p>
    <w:p w14:paraId="1D85A84A">
      <w:pPr>
        <w:ind w:firstLine="480"/>
        <w:jc w:val="both"/>
        <w:rPr>
          <w:rFonts w:hint="eastAsia"/>
          <w:color w:val="auto"/>
          <w:lang w:val="en-US" w:eastAsia="en-US"/>
        </w:rPr>
      </w:pPr>
      <w:r>
        <w:rPr>
          <w:rFonts w:hint="eastAsia"/>
          <w:color w:val="auto"/>
          <w:lang w:val="en-US" w:eastAsia="en-US"/>
        </w:rPr>
        <w:t>(三)项目运行时，外排污染物应满足以下要求：</w:t>
      </w:r>
    </w:p>
    <w:p w14:paraId="188B8091">
      <w:pPr>
        <w:ind w:firstLine="480"/>
        <w:jc w:val="both"/>
        <w:rPr>
          <w:rFonts w:hint="eastAsia"/>
          <w:color w:val="auto"/>
          <w:lang w:val="en-US" w:eastAsia="en-US"/>
        </w:rPr>
      </w:pPr>
      <w:r>
        <w:rPr>
          <w:rFonts w:hint="eastAsia"/>
          <w:color w:val="auto"/>
          <w:lang w:val="en-US" w:eastAsia="en-US"/>
        </w:rPr>
        <w:t>1、废水：含铬废水、酸雾吸收塔废水经“调节+还原+混凝沉淀+砂滤+碳滤+超滤+反渗透+蒸发”工艺处理后回用，不外排。含镍、含锌废水分别采用“调节+混凝沉淀+砂滤+碳滤+超滤+反渗透+蒸发”工艺处理后回用，不外排。含高COD废水、车间地面清洗废水经“调节+芬顿高级氧化+混凝沉淀+砂滤+碳滤+超滤+反渗透+蒸发”工艺处理后回用，不外排。含油废水采用“破乳+气浮”预处理，含酸废水采用“还原+二级化学沉淀”预处理，预处理后的含油、含酸废水经“调节+混凝沉淀+水解酸化+接触氧化+二次沉淀”工艺处理后和化粪池处理后的生活废水、纯水制备浓水、冲压冷却水共同通过厂区污水总排口排入大块镇污水处理厂，远期待凤泉污水处理厂建成后，外排废水排入凤泉污水处理厂，外排废水水质须同时满足《电镀污染物排放标准》(GB21900-2008)与污水处理厂收水标准的限值要求。</w:t>
      </w:r>
    </w:p>
    <w:p w14:paraId="01BAE1EC">
      <w:pPr>
        <w:ind w:firstLine="480"/>
        <w:jc w:val="both"/>
        <w:rPr>
          <w:rFonts w:hint="eastAsia"/>
          <w:color w:val="auto"/>
          <w:lang w:val="en-US" w:eastAsia="en-US"/>
        </w:rPr>
      </w:pPr>
      <w:r>
        <w:rPr>
          <w:rFonts w:hint="eastAsia"/>
          <w:color w:val="auto"/>
          <w:lang w:val="en-US" w:eastAsia="en-US"/>
        </w:rPr>
        <w:t>2、废气：滚镀锌线、挂镀锌线的酸洗、活化及槽液调配间的酸性废气及退锌线的酸性废气、钢带线活化及槽液调配间的酸性废气、钢壳线酸洗及槽液调配间的酸性废气均采用两级酸雾吸收塔处理，废气排放须满足《电镀污染物排放标准》(GB21900-2008)氯化氢30mg/m³、硫酸雾30mg/m³的限值要求和《河南省重污染天气重点行业应急减排措施制定技术指南(2024年修订)》中A级企业氯化氢10mg/m³、硫酸雾10mg/m³的限值要求。</w:t>
      </w:r>
    </w:p>
    <w:p w14:paraId="55A21069">
      <w:pPr>
        <w:ind w:firstLine="480"/>
        <w:jc w:val="both"/>
        <w:rPr>
          <w:rFonts w:hint="eastAsia"/>
          <w:color w:val="auto"/>
          <w:lang w:val="en-US" w:eastAsia="en-US"/>
        </w:rPr>
      </w:pPr>
      <w:r>
        <w:rPr>
          <w:rFonts w:hint="eastAsia"/>
          <w:color w:val="auto"/>
          <w:lang w:val="en-US" w:eastAsia="en-US"/>
        </w:rPr>
        <w:t>污水处理站产生的恶臭废气经生物除臭塔处理，废气排放须满足《恶臭污染物排放标准》(GB14554-93)硫化氢0.33kg/h、氨4.9kg/h的限值要求。</w:t>
      </w:r>
    </w:p>
    <w:p w14:paraId="295B091B">
      <w:pPr>
        <w:ind w:firstLine="480"/>
        <w:jc w:val="both"/>
        <w:rPr>
          <w:rFonts w:hint="eastAsia"/>
          <w:color w:val="auto"/>
          <w:lang w:val="en-US" w:eastAsia="en-US"/>
        </w:rPr>
      </w:pPr>
      <w:r>
        <w:rPr>
          <w:rFonts w:hint="eastAsia"/>
          <w:color w:val="auto"/>
          <w:lang w:val="en-US" w:eastAsia="en-US"/>
        </w:rPr>
        <w:t>对各污染物产生环节采取有效的废气收集和治理措施，减少废气无组织排放。氯化氢、硫酸雾无组织排放须满足《大气污染物综合排放标准》(GB16297-1996)厂界氯化氢0.2mg/m³、硫酸雾1.2mg/m³的要求，氨、硫化氢无组织排放须满足《恶臭污染物排放标准》(GB14554-93)氨1.5mg/m³、硫化氢0.06mg/m³的要求。</w:t>
      </w:r>
    </w:p>
    <w:p w14:paraId="19A26153">
      <w:pPr>
        <w:ind w:firstLine="480"/>
        <w:jc w:val="both"/>
        <w:rPr>
          <w:rFonts w:hint="eastAsia"/>
          <w:color w:val="auto"/>
          <w:lang w:val="en-US" w:eastAsia="en-US"/>
        </w:rPr>
      </w:pPr>
      <w:r>
        <w:rPr>
          <w:rFonts w:hint="eastAsia"/>
          <w:color w:val="auto"/>
          <w:lang w:val="en-US" w:eastAsia="en-US"/>
        </w:rPr>
        <w:t>3、噪声：对高噪声设备采取降噪措施，厂界噪声满足《工业企业厂界环境噪声排放标准》(GB12348-2008)3类标准要求。</w:t>
      </w:r>
    </w:p>
    <w:p w14:paraId="3774B259">
      <w:pPr>
        <w:ind w:firstLine="480"/>
        <w:jc w:val="both"/>
        <w:rPr>
          <w:rFonts w:hint="eastAsia"/>
          <w:color w:val="auto"/>
          <w:lang w:val="en-US" w:eastAsia="en-US"/>
        </w:rPr>
      </w:pPr>
      <w:r>
        <w:rPr>
          <w:rFonts w:hint="eastAsia"/>
          <w:color w:val="auto"/>
          <w:lang w:val="en-US" w:eastAsia="en-US"/>
        </w:rPr>
        <w:t>4、固废：固体废物须按照《报告书》提出的措施进行处置，各类固体废物贮存、处置应满足《危险废物贮存污染控制标准》(GB18597-2023)、《一般工业固体废物贮存和填埋污染控制标准》(GB18599-2020)要求。危险废物收集后委托有资质单位进行安全处置，避免对环境造成二次污染。</w:t>
      </w:r>
    </w:p>
    <w:p w14:paraId="6CDADC4A">
      <w:pPr>
        <w:ind w:firstLine="480"/>
        <w:jc w:val="both"/>
        <w:rPr>
          <w:rFonts w:hint="eastAsia"/>
          <w:color w:val="auto"/>
          <w:lang w:val="en-US" w:eastAsia="en-US"/>
        </w:rPr>
      </w:pPr>
      <w:r>
        <w:rPr>
          <w:rFonts w:hint="eastAsia"/>
          <w:color w:val="auto"/>
          <w:lang w:val="en-US" w:eastAsia="en-US"/>
        </w:rPr>
        <w:t>(四)落实《报告书》提出的环境风险防范措施，严防环境污染事故发生。</w:t>
      </w:r>
    </w:p>
    <w:p w14:paraId="1866288E">
      <w:pPr>
        <w:ind w:firstLine="480"/>
        <w:jc w:val="both"/>
        <w:rPr>
          <w:rFonts w:hint="eastAsia"/>
          <w:color w:val="auto"/>
          <w:lang w:val="en-US" w:eastAsia="en-US"/>
        </w:rPr>
      </w:pPr>
      <w:r>
        <w:rPr>
          <w:rFonts w:hint="eastAsia"/>
          <w:color w:val="auto"/>
          <w:lang w:val="en-US" w:eastAsia="en-US"/>
        </w:rPr>
        <w:t>(五)按照国家、省、市有关规定设置规范的污染物排放口、安装污染物在线监测及监控设施，并按要求与环保部门联网。</w:t>
      </w:r>
    </w:p>
    <w:p w14:paraId="0C33C5ED">
      <w:pPr>
        <w:ind w:firstLine="480"/>
        <w:jc w:val="both"/>
        <w:rPr>
          <w:rFonts w:hint="eastAsia"/>
          <w:color w:val="auto"/>
          <w:lang w:val="en-US" w:eastAsia="en-US"/>
        </w:rPr>
      </w:pPr>
      <w:r>
        <w:rPr>
          <w:rFonts w:hint="eastAsia"/>
          <w:color w:val="auto"/>
          <w:lang w:val="en-US" w:eastAsia="en-US"/>
        </w:rPr>
        <w:t>四、项目完成后全厂总量控制指标为：COD3.4159t/a、氨氮0.1707t/a</w:t>
      </w:r>
      <w:r>
        <w:rPr>
          <w:rFonts w:hint="eastAsia"/>
          <w:color w:val="auto"/>
          <w:lang w:val="en-US" w:eastAsia="zh-CN"/>
        </w:rPr>
        <w:t>，</w:t>
      </w:r>
      <w:r>
        <w:rPr>
          <w:rFonts w:hint="eastAsia"/>
          <w:color w:val="auto"/>
          <w:lang w:val="en-US" w:eastAsia="en-US"/>
        </w:rPr>
        <w:t>颗粒物0.0438t/a</w:t>
      </w:r>
      <w:r>
        <w:rPr>
          <w:rFonts w:hint="eastAsia"/>
          <w:color w:val="auto"/>
          <w:lang w:val="en-US" w:eastAsia="zh-CN"/>
        </w:rPr>
        <w:t>，</w:t>
      </w:r>
      <w:r>
        <w:rPr>
          <w:rFonts w:hint="eastAsia"/>
          <w:color w:val="auto"/>
          <w:lang w:val="en-US" w:eastAsia="en-US"/>
        </w:rPr>
        <w:t>SO₂0.0879t/a</w:t>
      </w:r>
      <w:r>
        <w:rPr>
          <w:rFonts w:hint="eastAsia"/>
          <w:color w:val="auto"/>
          <w:lang w:val="en-US" w:eastAsia="zh-CN"/>
        </w:rPr>
        <w:t>，</w:t>
      </w:r>
      <w:r>
        <w:rPr>
          <w:rFonts w:hint="eastAsia"/>
          <w:color w:val="auto"/>
          <w:lang w:val="en-US" w:eastAsia="en-US"/>
        </w:rPr>
        <w:t>NOx0.2429t/a。</w:t>
      </w:r>
    </w:p>
    <w:p w14:paraId="581A7CE8">
      <w:pPr>
        <w:ind w:firstLine="480"/>
        <w:jc w:val="both"/>
        <w:rPr>
          <w:rFonts w:hint="eastAsia"/>
          <w:color w:val="auto"/>
          <w:lang w:val="en-US" w:eastAsia="en-US"/>
        </w:rPr>
      </w:pPr>
      <w:r>
        <w:rPr>
          <w:rFonts w:hint="eastAsia"/>
          <w:color w:val="auto"/>
          <w:lang w:val="en-US" w:eastAsia="en-US"/>
        </w:rPr>
        <w:t>五、项目建成后，须按照《固定污染源排污许可分类管理名录》规定的时限及时申报办理排污许可证，按规定程序和标准实施竣工环境保护验收，当地生态环境主管部门负责本项目的“三同时”监督检查和日常监督管理工作。</w:t>
      </w:r>
    </w:p>
    <w:p w14:paraId="060586A5">
      <w:pPr>
        <w:ind w:firstLine="480"/>
        <w:jc w:val="both"/>
        <w:rPr>
          <w:color w:val="auto"/>
        </w:rPr>
      </w:pPr>
      <w:r>
        <w:rPr>
          <w:rFonts w:hint="eastAsia"/>
          <w:color w:val="auto"/>
        </w:rPr>
        <w:t>六、如果今后国家或我省颁布新标准，你单位应按新标准执行。</w:t>
      </w:r>
    </w:p>
    <w:p w14:paraId="0097A025">
      <w:pPr>
        <w:ind w:firstLine="480"/>
        <w:jc w:val="both"/>
        <w:rPr>
          <w:color w:val="auto"/>
        </w:rPr>
      </w:pPr>
      <w:r>
        <w:rPr>
          <w:rFonts w:hint="eastAsia"/>
          <w:color w:val="auto"/>
        </w:rPr>
        <w:t>七、本批复有效期为5年，如该项目逾期开工建设，其环境影响报告书应报我局重新审核。</w:t>
      </w:r>
    </w:p>
    <w:p w14:paraId="6FFFF1BD">
      <w:pPr>
        <w:ind w:firstLine="480"/>
        <w:jc w:val="both"/>
        <w:rPr>
          <w:color w:val="auto"/>
        </w:rPr>
      </w:pPr>
    </w:p>
    <w:p w14:paraId="1EB77371">
      <w:pPr>
        <w:ind w:firstLine="480"/>
        <w:jc w:val="right"/>
        <w:rPr>
          <w:color w:val="auto"/>
        </w:rPr>
      </w:pPr>
      <w:r>
        <w:rPr>
          <w:rFonts w:hint="eastAsia"/>
          <w:color w:val="auto"/>
        </w:rPr>
        <w:t>新乡市生态环境局</w:t>
      </w:r>
    </w:p>
    <w:p w14:paraId="7ED486D2">
      <w:pPr>
        <w:ind w:firstLine="480"/>
        <w:jc w:val="right"/>
        <w:rPr>
          <w:color w:val="auto"/>
        </w:rPr>
      </w:pPr>
      <w:r>
        <w:rPr>
          <w:rFonts w:hint="eastAsia"/>
          <w:color w:val="auto"/>
        </w:rPr>
        <w:t>2</w:t>
      </w:r>
      <w:r>
        <w:rPr>
          <w:color w:val="auto"/>
        </w:rPr>
        <w:t>02</w:t>
      </w:r>
      <w:r>
        <w:rPr>
          <w:rFonts w:hint="eastAsia"/>
          <w:color w:val="auto"/>
          <w:lang w:val="en-US" w:eastAsia="zh-CN"/>
        </w:rPr>
        <w:t>5</w:t>
      </w:r>
      <w:r>
        <w:rPr>
          <w:rFonts w:hint="eastAsia"/>
          <w:color w:val="auto"/>
        </w:rPr>
        <w:t>年</w:t>
      </w:r>
      <w:r>
        <w:rPr>
          <w:rFonts w:hint="eastAsia"/>
          <w:color w:val="auto"/>
          <w:lang w:val="en-US" w:eastAsia="zh-CN"/>
        </w:rPr>
        <w:t>8</w:t>
      </w:r>
      <w:r>
        <w:rPr>
          <w:rFonts w:hint="eastAsia"/>
          <w:color w:val="auto"/>
        </w:rPr>
        <w:t>月</w:t>
      </w:r>
      <w:r>
        <w:rPr>
          <w:rFonts w:hint="eastAsia"/>
          <w:color w:val="auto"/>
          <w:lang w:val="en-US" w:eastAsia="zh-CN"/>
        </w:rPr>
        <w:t>7</w:t>
      </w:r>
      <w:r>
        <w:rPr>
          <w:rFonts w:hint="eastAsia"/>
          <w:color w:val="auto"/>
        </w:rPr>
        <w:t>日</w:t>
      </w:r>
    </w:p>
    <w:p w14:paraId="08C8CE33">
      <w:pPr>
        <w:pStyle w:val="2"/>
        <w:ind w:firstLine="643"/>
        <w:rPr>
          <w:rFonts w:cs="Times New Roman"/>
          <w:color w:val="auto"/>
        </w:rPr>
      </w:pPr>
      <w:bookmarkStart w:id="40" w:name="_Toc172712300"/>
      <w:r>
        <w:rPr>
          <w:rFonts w:cs="Times New Roman"/>
          <w:color w:val="auto"/>
        </w:rPr>
        <w:t>6验收执行标准</w:t>
      </w:r>
      <w:bookmarkEnd w:id="40"/>
    </w:p>
    <w:p w14:paraId="1A9B2264">
      <w:pPr>
        <w:ind w:firstLine="480"/>
        <w:rPr>
          <w:rFonts w:cs="Times New Roman"/>
          <w:color w:val="auto"/>
        </w:rPr>
      </w:pPr>
      <w:r>
        <w:rPr>
          <w:rFonts w:cs="Times New Roman"/>
          <w:color w:val="auto"/>
        </w:rPr>
        <w:t>本项目执行的污染物排放标准见下表：</w:t>
      </w:r>
    </w:p>
    <w:p w14:paraId="76927E12">
      <w:pPr>
        <w:pStyle w:val="40"/>
        <w:adjustRightInd w:val="0"/>
        <w:snapToGrid w:val="0"/>
        <w:spacing w:beforeLines="0" w:line="520" w:lineRule="exact"/>
        <w:rPr>
          <w:color w:val="auto"/>
        </w:rPr>
      </w:pPr>
      <w:r>
        <w:rPr>
          <w:color w:val="auto"/>
        </w:rPr>
        <w:t>表6-1                               污染物排放标准</w:t>
      </w:r>
    </w:p>
    <w:tbl>
      <w:tblPr>
        <w:tblStyle w:val="26"/>
        <w:tblW w:w="5018" w:type="pct"/>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autofit"/>
        <w:tblCellMar>
          <w:top w:w="0" w:type="dxa"/>
          <w:left w:w="0" w:type="dxa"/>
          <w:bottom w:w="0" w:type="dxa"/>
          <w:right w:w="0" w:type="dxa"/>
        </w:tblCellMar>
      </w:tblPr>
      <w:tblGrid>
        <w:gridCol w:w="750"/>
        <w:gridCol w:w="2535"/>
        <w:gridCol w:w="1547"/>
        <w:gridCol w:w="1719"/>
        <w:gridCol w:w="2592"/>
      </w:tblGrid>
      <w:tr w14:paraId="0559F97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atLeast"/>
          <w:tblHeader/>
          <w:jc w:val="center"/>
        </w:trPr>
        <w:tc>
          <w:tcPr>
            <w:tcW w:w="410" w:type="pct"/>
            <w:tcBorders>
              <w:top w:val="single" w:color="000000" w:sz="8" w:space="0"/>
              <w:left w:val="single" w:color="000000" w:sz="8" w:space="0"/>
              <w:bottom w:val="single" w:color="000000" w:sz="4" w:space="0"/>
              <w:right w:val="single" w:color="000000" w:sz="4" w:space="0"/>
            </w:tcBorders>
            <w:vAlign w:val="center"/>
          </w:tcPr>
          <w:p w14:paraId="3106FC29">
            <w:pPr>
              <w:widowControl w:val="0"/>
              <w:adjustRightInd/>
              <w:snapToGrid/>
              <w:spacing w:line="240" w:lineRule="auto"/>
              <w:ind w:firstLine="0" w:firstLineChars="0"/>
              <w:contextualSpacing/>
              <w:jc w:val="center"/>
              <w:textAlignment w:val="baseline"/>
              <w:rPr>
                <w:rFonts w:ascii="Times New Roman" w:hAnsi="Times New Roman" w:eastAsia="宋体" w:cs="Times New Roman"/>
                <w:b/>
                <w:bCs/>
                <w:sz w:val="21"/>
                <w:szCs w:val="21"/>
                <w:lang w:val="en-US" w:eastAsia="zh-CN" w:bidi="ar-SA"/>
              </w:rPr>
            </w:pPr>
            <w:r>
              <w:rPr>
                <w:rFonts w:hint="eastAsia" w:ascii="Times New Roman" w:hAnsi="Times New Roman" w:eastAsia="宋体" w:cs="Times New Roman"/>
                <w:b/>
                <w:bCs/>
                <w:sz w:val="21"/>
                <w:szCs w:val="21"/>
                <w:lang w:val="en-US" w:eastAsia="zh-CN" w:bidi="ar-SA"/>
              </w:rPr>
              <w:t>污染物</w:t>
            </w:r>
          </w:p>
        </w:tc>
        <w:tc>
          <w:tcPr>
            <w:tcW w:w="1386" w:type="pct"/>
            <w:tcBorders>
              <w:top w:val="single" w:color="000000" w:sz="8" w:space="0"/>
              <w:left w:val="single" w:color="000000" w:sz="4" w:space="0"/>
              <w:bottom w:val="single" w:color="000000" w:sz="4" w:space="0"/>
              <w:right w:val="single" w:color="000000" w:sz="4" w:space="0"/>
            </w:tcBorders>
            <w:vAlign w:val="center"/>
          </w:tcPr>
          <w:p w14:paraId="4FF07FF8">
            <w:pPr>
              <w:widowControl w:val="0"/>
              <w:adjustRightInd/>
              <w:snapToGrid/>
              <w:spacing w:line="240" w:lineRule="auto"/>
              <w:ind w:firstLine="0" w:firstLineChars="0"/>
              <w:contextualSpacing/>
              <w:jc w:val="center"/>
              <w:textAlignment w:val="baseline"/>
              <w:rPr>
                <w:rFonts w:ascii="Times New Roman" w:hAnsi="Times New Roman" w:eastAsia="宋体" w:cs="Times New Roman"/>
                <w:b/>
                <w:bCs/>
                <w:sz w:val="21"/>
                <w:szCs w:val="21"/>
                <w:lang w:val="en-US" w:eastAsia="zh-CN" w:bidi="ar-SA"/>
              </w:rPr>
            </w:pPr>
            <w:r>
              <w:rPr>
                <w:rFonts w:hint="eastAsia" w:ascii="Times New Roman" w:hAnsi="Times New Roman" w:eastAsia="宋体" w:cs="Times New Roman"/>
                <w:b/>
                <w:bCs/>
                <w:sz w:val="21"/>
                <w:szCs w:val="21"/>
                <w:lang w:val="en-US" w:eastAsia="zh-CN" w:bidi="ar-SA"/>
              </w:rPr>
              <w:t>标准名称</w:t>
            </w:r>
          </w:p>
        </w:tc>
        <w:tc>
          <w:tcPr>
            <w:tcW w:w="846" w:type="pct"/>
            <w:tcBorders>
              <w:top w:val="single" w:color="000000" w:sz="8" w:space="0"/>
              <w:left w:val="single" w:color="000000" w:sz="4" w:space="0"/>
              <w:bottom w:val="single" w:color="000000" w:sz="4" w:space="0"/>
              <w:right w:val="single" w:color="000000" w:sz="4" w:space="0"/>
            </w:tcBorders>
            <w:vAlign w:val="center"/>
          </w:tcPr>
          <w:p w14:paraId="3E731F9B">
            <w:pPr>
              <w:widowControl w:val="0"/>
              <w:adjustRightInd/>
              <w:snapToGrid/>
              <w:spacing w:line="240" w:lineRule="auto"/>
              <w:ind w:firstLine="0" w:firstLineChars="0"/>
              <w:contextualSpacing/>
              <w:jc w:val="center"/>
              <w:textAlignment w:val="baseline"/>
              <w:rPr>
                <w:rFonts w:ascii="Times New Roman" w:hAnsi="Times New Roman" w:eastAsia="宋体" w:cs="Times New Roman"/>
                <w:b/>
                <w:bCs/>
                <w:sz w:val="21"/>
                <w:szCs w:val="21"/>
                <w:lang w:val="en-US" w:eastAsia="zh-CN" w:bidi="ar-SA"/>
              </w:rPr>
            </w:pPr>
            <w:r>
              <w:rPr>
                <w:rFonts w:hint="eastAsia" w:ascii="Times New Roman" w:hAnsi="Times New Roman" w:eastAsia="宋体" w:cs="Times New Roman"/>
                <w:b/>
                <w:bCs/>
                <w:sz w:val="21"/>
                <w:szCs w:val="21"/>
                <w:lang w:val="en-US" w:eastAsia="zh-CN" w:bidi="ar-SA"/>
              </w:rPr>
              <w:t>级</w:t>
            </w:r>
            <w:r>
              <w:rPr>
                <w:rFonts w:ascii="Times New Roman" w:hAnsi="Times New Roman" w:eastAsia="宋体" w:cs="Times New Roman"/>
                <w:b/>
                <w:bCs/>
                <w:sz w:val="21"/>
                <w:szCs w:val="21"/>
                <w:lang w:val="en-US" w:eastAsia="zh-CN" w:bidi="ar-SA"/>
              </w:rPr>
              <w:t>(</w:t>
            </w:r>
            <w:r>
              <w:rPr>
                <w:rFonts w:hint="eastAsia" w:ascii="Times New Roman" w:hAnsi="Times New Roman" w:eastAsia="宋体" w:cs="Times New Roman"/>
                <w:b/>
                <w:bCs/>
                <w:sz w:val="21"/>
                <w:szCs w:val="21"/>
                <w:lang w:val="en-US" w:eastAsia="zh-CN" w:bidi="ar-SA"/>
              </w:rPr>
              <w:t>类</w:t>
            </w:r>
            <w:r>
              <w:rPr>
                <w:rFonts w:ascii="Times New Roman" w:hAnsi="Times New Roman" w:eastAsia="宋体" w:cs="Times New Roman"/>
                <w:b/>
                <w:bCs/>
                <w:sz w:val="21"/>
                <w:szCs w:val="21"/>
                <w:lang w:val="en-US" w:eastAsia="zh-CN" w:bidi="ar-SA"/>
              </w:rPr>
              <w:t>)</w:t>
            </w:r>
            <w:r>
              <w:rPr>
                <w:rFonts w:hint="eastAsia" w:ascii="Times New Roman" w:hAnsi="Times New Roman" w:eastAsia="宋体" w:cs="Times New Roman"/>
                <w:b/>
                <w:bCs/>
                <w:sz w:val="21"/>
                <w:szCs w:val="21"/>
                <w:lang w:val="en-US" w:eastAsia="zh-CN" w:bidi="ar-SA"/>
              </w:rPr>
              <w:t>别</w:t>
            </w:r>
          </w:p>
        </w:tc>
        <w:tc>
          <w:tcPr>
            <w:tcW w:w="940" w:type="pct"/>
            <w:tcBorders>
              <w:top w:val="single" w:color="000000" w:sz="8" w:space="0"/>
              <w:left w:val="single" w:color="000000" w:sz="4" w:space="0"/>
              <w:bottom w:val="single" w:color="000000" w:sz="4" w:space="0"/>
              <w:right w:val="single" w:color="000000" w:sz="4" w:space="0"/>
            </w:tcBorders>
            <w:tcMar>
              <w:top w:w="0" w:type="dxa"/>
              <w:left w:w="28" w:type="dxa"/>
              <w:bottom w:w="0" w:type="dxa"/>
              <w:right w:w="28" w:type="dxa"/>
            </w:tcMar>
            <w:vAlign w:val="center"/>
          </w:tcPr>
          <w:p w14:paraId="141F0411">
            <w:pPr>
              <w:widowControl w:val="0"/>
              <w:adjustRightInd/>
              <w:snapToGrid/>
              <w:spacing w:line="240" w:lineRule="auto"/>
              <w:ind w:firstLine="0" w:firstLineChars="0"/>
              <w:contextualSpacing/>
              <w:jc w:val="center"/>
              <w:textAlignment w:val="baseline"/>
              <w:rPr>
                <w:rFonts w:ascii="Times New Roman" w:hAnsi="Times New Roman" w:eastAsia="宋体" w:cs="Times New Roman"/>
                <w:b/>
                <w:bCs/>
                <w:sz w:val="21"/>
                <w:szCs w:val="21"/>
                <w:lang w:val="en-US" w:eastAsia="zh-CN" w:bidi="ar-SA"/>
              </w:rPr>
            </w:pPr>
            <w:r>
              <w:rPr>
                <w:rFonts w:hint="eastAsia" w:ascii="Times New Roman" w:hAnsi="Times New Roman" w:eastAsia="宋体" w:cs="Times New Roman"/>
                <w:b/>
                <w:bCs/>
                <w:sz w:val="21"/>
                <w:szCs w:val="21"/>
                <w:lang w:val="en-US" w:eastAsia="zh-CN" w:bidi="ar-SA"/>
              </w:rPr>
              <w:t>污染因子</w:t>
            </w:r>
          </w:p>
        </w:tc>
        <w:tc>
          <w:tcPr>
            <w:tcW w:w="1417" w:type="pct"/>
            <w:tcBorders>
              <w:top w:val="single" w:color="000000" w:sz="8" w:space="0"/>
              <w:left w:val="single" w:color="000000" w:sz="4" w:space="0"/>
              <w:bottom w:val="single" w:color="000000" w:sz="4" w:space="0"/>
              <w:right w:val="single" w:color="000000" w:sz="8" w:space="0"/>
            </w:tcBorders>
            <w:tcMar>
              <w:top w:w="0" w:type="dxa"/>
              <w:left w:w="28" w:type="dxa"/>
              <w:bottom w:w="0" w:type="dxa"/>
              <w:right w:w="28" w:type="dxa"/>
            </w:tcMar>
            <w:vAlign w:val="center"/>
          </w:tcPr>
          <w:p w14:paraId="495D4A68">
            <w:pPr>
              <w:widowControl w:val="0"/>
              <w:adjustRightInd/>
              <w:snapToGrid/>
              <w:spacing w:line="240" w:lineRule="auto"/>
              <w:ind w:firstLine="0" w:firstLineChars="0"/>
              <w:contextualSpacing/>
              <w:jc w:val="center"/>
              <w:textAlignment w:val="baseline"/>
              <w:rPr>
                <w:rFonts w:ascii="Times New Roman" w:hAnsi="Times New Roman" w:eastAsia="宋体" w:cs="Times New Roman"/>
                <w:b/>
                <w:bCs/>
                <w:sz w:val="21"/>
                <w:szCs w:val="21"/>
                <w:lang w:val="en-US" w:eastAsia="zh-CN" w:bidi="ar-SA"/>
              </w:rPr>
            </w:pPr>
            <w:r>
              <w:rPr>
                <w:rFonts w:hint="eastAsia" w:ascii="Times New Roman" w:hAnsi="Times New Roman" w:eastAsia="宋体" w:cs="Times New Roman"/>
                <w:b/>
                <w:bCs/>
                <w:sz w:val="21"/>
                <w:szCs w:val="21"/>
                <w:lang w:val="en-US" w:eastAsia="zh-CN" w:bidi="ar-SA"/>
              </w:rPr>
              <w:t>标准限值</w:t>
            </w:r>
          </w:p>
        </w:tc>
      </w:tr>
      <w:tr w14:paraId="6BFAC95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410" w:type="pct"/>
            <w:vMerge w:val="restart"/>
            <w:tcBorders>
              <w:top w:val="single" w:color="000000" w:sz="4" w:space="0"/>
              <w:left w:val="single" w:color="000000" w:sz="8" w:space="0"/>
              <w:bottom w:val="single" w:color="000000" w:sz="4" w:space="0"/>
              <w:right w:val="single" w:color="000000" w:sz="4" w:space="0"/>
            </w:tcBorders>
            <w:vAlign w:val="center"/>
          </w:tcPr>
          <w:p w14:paraId="5D685059">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lang w:val="en-US" w:eastAsia="zh-CN" w:bidi="ar-SA"/>
              </w:rPr>
            </w:pPr>
            <w:r>
              <w:rPr>
                <w:rFonts w:hint="eastAsia" w:ascii="Times New Roman" w:hAnsi="Times New Roman" w:eastAsia="宋体" w:cs="Times New Roman"/>
                <w:sz w:val="21"/>
                <w:szCs w:val="21"/>
                <w:lang w:val="en-US" w:eastAsia="zh-CN" w:bidi="ar-SA"/>
              </w:rPr>
              <w:t>废气</w:t>
            </w:r>
          </w:p>
        </w:tc>
        <w:tc>
          <w:tcPr>
            <w:tcW w:w="1386" w:type="pct"/>
            <w:vMerge w:val="restart"/>
            <w:tcBorders>
              <w:top w:val="single" w:color="000000" w:sz="4" w:space="0"/>
              <w:left w:val="single" w:color="000000" w:sz="4" w:space="0"/>
              <w:bottom w:val="single" w:color="000000" w:sz="4" w:space="0"/>
              <w:right w:val="single" w:color="000000" w:sz="4" w:space="0"/>
            </w:tcBorders>
            <w:vAlign w:val="center"/>
          </w:tcPr>
          <w:p w14:paraId="0037F5DF">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lang w:val="en-US" w:eastAsia="zh-CN" w:bidi="ar-SA"/>
              </w:rPr>
            </w:pPr>
            <w:r>
              <w:rPr>
                <w:rFonts w:hint="eastAsia" w:ascii="Times New Roman" w:hAnsi="Times New Roman" w:eastAsia="宋体" w:cs="Times New Roman"/>
                <w:sz w:val="21"/>
                <w:szCs w:val="21"/>
                <w:lang w:val="en-US" w:eastAsia="zh-CN" w:bidi="ar-SA"/>
              </w:rPr>
              <w:t>《电镀污染物排放标准》（</w:t>
            </w:r>
            <w:r>
              <w:rPr>
                <w:rFonts w:ascii="Times New Roman" w:hAnsi="Times New Roman" w:eastAsia="宋体" w:cs="Times New Roman"/>
                <w:sz w:val="21"/>
                <w:szCs w:val="21"/>
                <w:lang w:val="en-US" w:eastAsia="zh-CN" w:bidi="ar-SA"/>
              </w:rPr>
              <w:t>GB21900-2008</w:t>
            </w:r>
            <w:r>
              <w:rPr>
                <w:rFonts w:hint="eastAsia" w:ascii="Times New Roman" w:hAnsi="Times New Roman" w:eastAsia="宋体" w:cs="Times New Roman"/>
                <w:sz w:val="21"/>
                <w:szCs w:val="21"/>
                <w:lang w:val="en-US" w:eastAsia="zh-CN" w:bidi="ar-SA"/>
              </w:rPr>
              <w:t>）</w:t>
            </w:r>
          </w:p>
        </w:tc>
        <w:tc>
          <w:tcPr>
            <w:tcW w:w="846" w:type="pct"/>
            <w:vMerge w:val="restart"/>
            <w:tcBorders>
              <w:top w:val="single" w:color="000000" w:sz="4" w:space="0"/>
              <w:left w:val="single" w:color="000000" w:sz="4" w:space="0"/>
              <w:bottom w:val="single" w:color="000000" w:sz="4" w:space="0"/>
              <w:right w:val="single" w:color="000000" w:sz="4" w:space="0"/>
            </w:tcBorders>
            <w:vAlign w:val="center"/>
          </w:tcPr>
          <w:p w14:paraId="7AF36633">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highlight w:val="yellow"/>
                <w:lang w:val="en-US" w:eastAsia="zh-CN" w:bidi="ar-SA"/>
              </w:rPr>
            </w:pPr>
            <w:r>
              <w:rPr>
                <w:rFonts w:hint="eastAsia" w:ascii="Times New Roman" w:hAnsi="Times New Roman" w:eastAsia="宋体" w:cs="Times New Roman"/>
                <w:sz w:val="21"/>
                <w:szCs w:val="21"/>
                <w:lang w:val="en-US" w:eastAsia="zh-CN" w:bidi="ar-SA"/>
              </w:rPr>
              <w:t>表</w:t>
            </w:r>
            <w:r>
              <w:rPr>
                <w:rFonts w:ascii="Times New Roman" w:hAnsi="Times New Roman" w:eastAsia="宋体" w:cs="Times New Roman"/>
                <w:sz w:val="21"/>
                <w:szCs w:val="21"/>
                <w:lang w:val="en-US" w:eastAsia="zh-CN" w:bidi="ar-SA"/>
              </w:rPr>
              <w:t>5</w:t>
            </w:r>
          </w:p>
        </w:tc>
        <w:tc>
          <w:tcPr>
            <w:tcW w:w="940" w:type="pct"/>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14:paraId="6E76F8D6">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lang w:val="en-US" w:eastAsia="zh-CN" w:bidi="ar-SA"/>
              </w:rPr>
            </w:pPr>
            <w:r>
              <w:rPr>
                <w:rFonts w:hint="eastAsia" w:ascii="Times New Roman" w:hAnsi="Times New Roman" w:eastAsia="宋体" w:cs="Times New Roman"/>
                <w:sz w:val="21"/>
                <w:szCs w:val="21"/>
                <w:lang w:val="en-US" w:eastAsia="zh-CN" w:bidi="ar-SA"/>
              </w:rPr>
              <w:t>氯化氢</w:t>
            </w:r>
          </w:p>
        </w:tc>
        <w:tc>
          <w:tcPr>
            <w:tcW w:w="1417" w:type="pct"/>
            <w:tcBorders>
              <w:top w:val="single" w:color="000000" w:sz="4" w:space="0"/>
              <w:left w:val="single" w:color="000000" w:sz="4" w:space="0"/>
              <w:bottom w:val="single" w:color="000000" w:sz="4" w:space="0"/>
              <w:right w:val="single" w:color="000000" w:sz="8" w:space="0"/>
            </w:tcBorders>
            <w:tcMar>
              <w:top w:w="0" w:type="dxa"/>
              <w:left w:w="28" w:type="dxa"/>
              <w:bottom w:w="0" w:type="dxa"/>
              <w:right w:w="28" w:type="dxa"/>
            </w:tcMar>
            <w:vAlign w:val="center"/>
          </w:tcPr>
          <w:p w14:paraId="45F9D735">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lang w:val="en-US" w:eastAsia="zh-CN" w:bidi="ar-SA"/>
              </w:rPr>
            </w:pPr>
            <w:r>
              <w:rPr>
                <w:rFonts w:ascii="Times New Roman" w:hAnsi="Times New Roman" w:eastAsia="宋体" w:cs="Times New Roman"/>
                <w:sz w:val="21"/>
                <w:szCs w:val="21"/>
                <w:lang w:val="en-US" w:eastAsia="zh-CN" w:bidi="ar-SA"/>
              </w:rPr>
              <w:t>30mg/m</w:t>
            </w:r>
            <w:r>
              <w:rPr>
                <w:rFonts w:ascii="Times New Roman" w:hAnsi="Times New Roman" w:eastAsia="宋体" w:cs="Times New Roman"/>
                <w:sz w:val="21"/>
                <w:szCs w:val="21"/>
                <w:vertAlign w:val="superscript"/>
                <w:lang w:val="en-US" w:eastAsia="zh-CN" w:bidi="ar-SA"/>
              </w:rPr>
              <w:t>3</w:t>
            </w:r>
            <w:r>
              <w:rPr>
                <w:rFonts w:ascii="Times New Roman" w:hAnsi="Times New Roman" w:eastAsia="宋体" w:cs="Times New Roman"/>
                <w:bCs/>
                <w:sz w:val="21"/>
                <w:szCs w:val="21"/>
                <w:lang w:val="en-US" w:eastAsia="zh-CN" w:bidi="ar-SA"/>
              </w:rPr>
              <w:t>(15m</w:t>
            </w:r>
            <w:r>
              <w:rPr>
                <w:rFonts w:hint="eastAsia" w:ascii="Times New Roman" w:hAnsi="Times New Roman" w:eastAsia="宋体" w:cs="Times New Roman"/>
                <w:bCs/>
                <w:sz w:val="21"/>
                <w:szCs w:val="21"/>
                <w:lang w:val="en-US" w:eastAsia="zh-CN" w:bidi="ar-SA"/>
              </w:rPr>
              <w:t>排气筒</w:t>
            </w:r>
            <w:r>
              <w:rPr>
                <w:rFonts w:ascii="Times New Roman" w:hAnsi="Times New Roman" w:eastAsia="宋体" w:cs="Times New Roman"/>
                <w:bCs/>
                <w:sz w:val="21"/>
                <w:szCs w:val="21"/>
                <w:lang w:val="en-US" w:eastAsia="zh-CN" w:bidi="ar-SA"/>
              </w:rPr>
              <w:t>)</w:t>
            </w:r>
          </w:p>
        </w:tc>
      </w:tr>
      <w:tr w14:paraId="0EF53DF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410" w:type="pct"/>
            <w:vMerge w:val="continue"/>
            <w:tcBorders>
              <w:top w:val="single" w:color="000000" w:sz="4" w:space="0"/>
              <w:left w:val="single" w:color="000000" w:sz="8" w:space="0"/>
              <w:bottom w:val="single" w:color="000000" w:sz="4" w:space="0"/>
              <w:right w:val="single" w:color="000000" w:sz="4" w:space="0"/>
            </w:tcBorders>
            <w:vAlign w:val="center"/>
          </w:tcPr>
          <w:p w14:paraId="5D8F1A37">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lang w:val="en-US" w:eastAsia="zh-CN" w:bidi="ar-SA"/>
              </w:rPr>
            </w:pPr>
          </w:p>
        </w:tc>
        <w:tc>
          <w:tcPr>
            <w:tcW w:w="1386" w:type="pct"/>
            <w:vMerge w:val="continue"/>
            <w:tcBorders>
              <w:top w:val="single" w:color="000000" w:sz="4" w:space="0"/>
              <w:left w:val="single" w:color="000000" w:sz="4" w:space="0"/>
              <w:bottom w:val="single" w:color="000000" w:sz="4" w:space="0"/>
              <w:right w:val="single" w:color="000000" w:sz="4" w:space="0"/>
            </w:tcBorders>
            <w:vAlign w:val="center"/>
          </w:tcPr>
          <w:p w14:paraId="4DE76708">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lang w:val="en-US" w:eastAsia="zh-CN" w:bidi="ar-SA"/>
              </w:rPr>
            </w:pPr>
          </w:p>
        </w:tc>
        <w:tc>
          <w:tcPr>
            <w:tcW w:w="846" w:type="pct"/>
            <w:vMerge w:val="continue"/>
            <w:tcBorders>
              <w:top w:val="single" w:color="000000" w:sz="4" w:space="0"/>
              <w:left w:val="single" w:color="000000" w:sz="4" w:space="0"/>
              <w:bottom w:val="single" w:color="000000" w:sz="4" w:space="0"/>
              <w:right w:val="single" w:color="000000" w:sz="4" w:space="0"/>
            </w:tcBorders>
            <w:vAlign w:val="center"/>
          </w:tcPr>
          <w:p w14:paraId="277A850B">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highlight w:val="yellow"/>
                <w:lang w:val="en-US" w:eastAsia="zh-CN" w:bidi="ar-SA"/>
              </w:rPr>
            </w:pPr>
          </w:p>
        </w:tc>
        <w:tc>
          <w:tcPr>
            <w:tcW w:w="940" w:type="pct"/>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14:paraId="3BE5F92C">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lang w:val="en-US" w:eastAsia="zh-CN" w:bidi="ar-SA"/>
              </w:rPr>
            </w:pPr>
            <w:r>
              <w:rPr>
                <w:rFonts w:hint="eastAsia" w:ascii="Times New Roman" w:hAnsi="Times New Roman" w:eastAsia="宋体" w:cs="Times New Roman"/>
                <w:sz w:val="21"/>
                <w:szCs w:val="21"/>
                <w:lang w:val="en-US" w:eastAsia="zh-CN" w:bidi="ar-SA"/>
              </w:rPr>
              <w:t>硫酸雾</w:t>
            </w:r>
          </w:p>
        </w:tc>
        <w:tc>
          <w:tcPr>
            <w:tcW w:w="1417" w:type="pct"/>
            <w:tcBorders>
              <w:top w:val="single" w:color="000000" w:sz="4" w:space="0"/>
              <w:left w:val="single" w:color="000000" w:sz="4" w:space="0"/>
              <w:bottom w:val="single" w:color="000000" w:sz="4" w:space="0"/>
              <w:right w:val="single" w:color="000000" w:sz="8" w:space="0"/>
            </w:tcBorders>
            <w:tcMar>
              <w:top w:w="0" w:type="dxa"/>
              <w:left w:w="28" w:type="dxa"/>
              <w:bottom w:w="0" w:type="dxa"/>
              <w:right w:w="28" w:type="dxa"/>
            </w:tcMar>
            <w:vAlign w:val="center"/>
          </w:tcPr>
          <w:p w14:paraId="769D2929">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lang w:val="en-US" w:eastAsia="zh-CN" w:bidi="ar-SA"/>
              </w:rPr>
            </w:pPr>
            <w:r>
              <w:rPr>
                <w:rFonts w:ascii="Times New Roman" w:hAnsi="Times New Roman" w:eastAsia="宋体" w:cs="Times New Roman"/>
                <w:sz w:val="21"/>
                <w:szCs w:val="21"/>
                <w:lang w:val="en-US" w:eastAsia="zh-CN" w:bidi="ar-SA"/>
              </w:rPr>
              <w:t>30mg/m</w:t>
            </w:r>
            <w:r>
              <w:rPr>
                <w:rFonts w:ascii="Times New Roman" w:hAnsi="Times New Roman" w:eastAsia="宋体" w:cs="Times New Roman"/>
                <w:sz w:val="21"/>
                <w:szCs w:val="21"/>
                <w:vertAlign w:val="superscript"/>
                <w:lang w:val="en-US" w:eastAsia="zh-CN" w:bidi="ar-SA"/>
              </w:rPr>
              <w:t>3</w:t>
            </w:r>
            <w:r>
              <w:rPr>
                <w:rFonts w:ascii="Times New Roman" w:hAnsi="Times New Roman" w:eastAsia="宋体" w:cs="Times New Roman"/>
                <w:bCs/>
                <w:sz w:val="21"/>
                <w:szCs w:val="21"/>
                <w:lang w:val="en-US" w:eastAsia="zh-CN" w:bidi="ar-SA"/>
              </w:rPr>
              <w:t>(15m</w:t>
            </w:r>
            <w:r>
              <w:rPr>
                <w:rFonts w:hint="eastAsia" w:ascii="Times New Roman" w:hAnsi="Times New Roman" w:eastAsia="宋体" w:cs="Times New Roman"/>
                <w:bCs/>
                <w:sz w:val="21"/>
                <w:szCs w:val="21"/>
                <w:lang w:val="en-US" w:eastAsia="zh-CN" w:bidi="ar-SA"/>
              </w:rPr>
              <w:t>排气筒</w:t>
            </w:r>
            <w:r>
              <w:rPr>
                <w:rFonts w:ascii="Times New Roman" w:hAnsi="Times New Roman" w:eastAsia="宋体" w:cs="Times New Roman"/>
                <w:bCs/>
                <w:sz w:val="21"/>
                <w:szCs w:val="21"/>
                <w:lang w:val="en-US" w:eastAsia="zh-CN" w:bidi="ar-SA"/>
              </w:rPr>
              <w:t>)</w:t>
            </w:r>
          </w:p>
        </w:tc>
      </w:tr>
      <w:tr w14:paraId="717FB5B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410" w:type="pct"/>
            <w:vMerge w:val="continue"/>
            <w:tcBorders>
              <w:top w:val="single" w:color="000000" w:sz="4" w:space="0"/>
              <w:left w:val="single" w:color="000000" w:sz="8" w:space="0"/>
              <w:bottom w:val="single" w:color="000000" w:sz="4" w:space="0"/>
              <w:right w:val="single" w:color="000000" w:sz="4" w:space="0"/>
            </w:tcBorders>
            <w:vAlign w:val="center"/>
          </w:tcPr>
          <w:p w14:paraId="14484478">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lang w:val="en-US" w:eastAsia="zh-CN" w:bidi="ar-SA"/>
              </w:rPr>
            </w:pPr>
          </w:p>
        </w:tc>
        <w:tc>
          <w:tcPr>
            <w:tcW w:w="1386" w:type="pct"/>
            <w:vMerge w:val="continue"/>
            <w:tcBorders>
              <w:top w:val="single" w:color="000000" w:sz="4" w:space="0"/>
              <w:left w:val="single" w:color="000000" w:sz="4" w:space="0"/>
              <w:bottom w:val="single" w:color="000000" w:sz="4" w:space="0"/>
              <w:right w:val="single" w:color="000000" w:sz="4" w:space="0"/>
            </w:tcBorders>
            <w:vAlign w:val="center"/>
          </w:tcPr>
          <w:p w14:paraId="729712E7">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lang w:val="en-US" w:eastAsia="zh-CN" w:bidi="ar-SA"/>
              </w:rPr>
            </w:pPr>
          </w:p>
        </w:tc>
        <w:tc>
          <w:tcPr>
            <w:tcW w:w="846" w:type="pct"/>
            <w:vMerge w:val="continue"/>
            <w:tcBorders>
              <w:top w:val="single" w:color="000000" w:sz="4" w:space="0"/>
              <w:left w:val="single" w:color="000000" w:sz="4" w:space="0"/>
              <w:bottom w:val="single" w:color="000000" w:sz="4" w:space="0"/>
              <w:right w:val="single" w:color="000000" w:sz="4" w:space="0"/>
            </w:tcBorders>
            <w:vAlign w:val="center"/>
          </w:tcPr>
          <w:p w14:paraId="2749AB20">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highlight w:val="yellow"/>
                <w:lang w:val="en-US" w:eastAsia="zh-CN" w:bidi="ar-SA"/>
              </w:rPr>
            </w:pPr>
          </w:p>
        </w:tc>
        <w:tc>
          <w:tcPr>
            <w:tcW w:w="940" w:type="pct"/>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14:paraId="51DEEEC3">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lang w:val="en-US" w:eastAsia="zh-CN" w:bidi="ar-SA"/>
              </w:rPr>
            </w:pPr>
            <w:r>
              <w:rPr>
                <w:rFonts w:hint="eastAsia" w:ascii="Times New Roman" w:hAnsi="Times New Roman" w:eastAsia="宋体" w:cs="Times New Roman"/>
                <w:sz w:val="21"/>
                <w:szCs w:val="21"/>
                <w:lang w:val="en-US" w:eastAsia="zh-CN" w:bidi="ar-SA"/>
              </w:rPr>
              <w:t>铬酸雾</w:t>
            </w:r>
          </w:p>
        </w:tc>
        <w:tc>
          <w:tcPr>
            <w:tcW w:w="1417" w:type="pct"/>
            <w:tcBorders>
              <w:top w:val="single" w:color="000000" w:sz="4" w:space="0"/>
              <w:left w:val="single" w:color="000000" w:sz="4" w:space="0"/>
              <w:bottom w:val="single" w:color="000000" w:sz="4" w:space="0"/>
              <w:right w:val="single" w:color="000000" w:sz="8" w:space="0"/>
            </w:tcBorders>
            <w:tcMar>
              <w:top w:w="0" w:type="dxa"/>
              <w:left w:w="28" w:type="dxa"/>
              <w:bottom w:w="0" w:type="dxa"/>
              <w:right w:w="28" w:type="dxa"/>
            </w:tcMar>
            <w:vAlign w:val="center"/>
          </w:tcPr>
          <w:p w14:paraId="20E7029B">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lang w:val="en-US" w:eastAsia="zh-CN" w:bidi="ar-SA"/>
              </w:rPr>
            </w:pPr>
            <w:r>
              <w:rPr>
                <w:rFonts w:ascii="Times New Roman" w:hAnsi="Times New Roman" w:eastAsia="宋体" w:cs="Times New Roman"/>
                <w:sz w:val="21"/>
                <w:szCs w:val="21"/>
                <w:lang w:val="en-US" w:eastAsia="zh-CN" w:bidi="ar-SA"/>
              </w:rPr>
              <w:t>0.05mg/m</w:t>
            </w:r>
            <w:r>
              <w:rPr>
                <w:rFonts w:ascii="Times New Roman" w:hAnsi="Times New Roman" w:eastAsia="宋体" w:cs="Times New Roman"/>
                <w:sz w:val="21"/>
                <w:szCs w:val="21"/>
                <w:vertAlign w:val="superscript"/>
                <w:lang w:val="en-US" w:eastAsia="zh-CN" w:bidi="ar-SA"/>
              </w:rPr>
              <w:t>3</w:t>
            </w:r>
            <w:r>
              <w:rPr>
                <w:rFonts w:ascii="Times New Roman" w:hAnsi="Times New Roman" w:eastAsia="宋体" w:cs="Times New Roman"/>
                <w:bCs/>
                <w:sz w:val="21"/>
                <w:szCs w:val="21"/>
                <w:lang w:val="en-US" w:eastAsia="zh-CN" w:bidi="ar-SA"/>
              </w:rPr>
              <w:t>(15m</w:t>
            </w:r>
            <w:r>
              <w:rPr>
                <w:rFonts w:hint="eastAsia" w:ascii="Times New Roman" w:hAnsi="Times New Roman" w:eastAsia="宋体" w:cs="Times New Roman"/>
                <w:bCs/>
                <w:sz w:val="21"/>
                <w:szCs w:val="21"/>
                <w:lang w:val="en-US" w:eastAsia="zh-CN" w:bidi="ar-SA"/>
              </w:rPr>
              <w:t>排气筒</w:t>
            </w:r>
            <w:r>
              <w:rPr>
                <w:rFonts w:ascii="Times New Roman" w:hAnsi="Times New Roman" w:eastAsia="宋体" w:cs="Times New Roman"/>
                <w:bCs/>
                <w:sz w:val="21"/>
                <w:szCs w:val="21"/>
                <w:lang w:val="en-US" w:eastAsia="zh-CN" w:bidi="ar-SA"/>
              </w:rPr>
              <w:t>)</w:t>
            </w:r>
          </w:p>
        </w:tc>
      </w:tr>
      <w:tr w14:paraId="7A7EF9A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410" w:type="pct"/>
            <w:vMerge w:val="continue"/>
            <w:tcBorders>
              <w:top w:val="single" w:color="000000" w:sz="4" w:space="0"/>
              <w:left w:val="single" w:color="000000" w:sz="8" w:space="0"/>
              <w:bottom w:val="single" w:color="000000" w:sz="4" w:space="0"/>
              <w:right w:val="single" w:color="000000" w:sz="4" w:space="0"/>
            </w:tcBorders>
            <w:vAlign w:val="center"/>
          </w:tcPr>
          <w:p w14:paraId="39E65DF5">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lang w:val="en-US" w:eastAsia="zh-CN" w:bidi="ar-SA"/>
              </w:rPr>
            </w:pPr>
          </w:p>
        </w:tc>
        <w:tc>
          <w:tcPr>
            <w:tcW w:w="1386" w:type="pct"/>
            <w:vMerge w:val="continue"/>
            <w:tcBorders>
              <w:top w:val="single" w:color="000000" w:sz="4" w:space="0"/>
              <w:left w:val="single" w:color="000000" w:sz="4" w:space="0"/>
              <w:bottom w:val="single" w:color="000000" w:sz="4" w:space="0"/>
              <w:right w:val="single" w:color="000000" w:sz="4" w:space="0"/>
            </w:tcBorders>
            <w:vAlign w:val="center"/>
          </w:tcPr>
          <w:p w14:paraId="50FB7320">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lang w:val="en-US" w:eastAsia="zh-CN" w:bidi="ar-SA"/>
              </w:rPr>
            </w:pPr>
          </w:p>
        </w:tc>
        <w:tc>
          <w:tcPr>
            <w:tcW w:w="846" w:type="pct"/>
            <w:vMerge w:val="restart"/>
            <w:tcBorders>
              <w:top w:val="single" w:color="000000" w:sz="4" w:space="0"/>
              <w:left w:val="single" w:color="000000" w:sz="4" w:space="0"/>
              <w:right w:val="single" w:color="000000" w:sz="4" w:space="0"/>
            </w:tcBorders>
            <w:vAlign w:val="center"/>
          </w:tcPr>
          <w:p w14:paraId="7CFCC6EC">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lang w:val="en-US" w:eastAsia="zh-CN" w:bidi="ar-SA"/>
              </w:rPr>
            </w:pPr>
            <w:r>
              <w:rPr>
                <w:rFonts w:hint="eastAsia" w:ascii="Times New Roman" w:hAnsi="Times New Roman" w:eastAsia="宋体" w:cs="Times New Roman"/>
                <w:sz w:val="21"/>
                <w:szCs w:val="21"/>
                <w:lang w:val="en-US" w:eastAsia="zh-CN" w:bidi="ar-SA"/>
              </w:rPr>
              <w:t>表</w:t>
            </w:r>
            <w:r>
              <w:rPr>
                <w:rFonts w:ascii="Times New Roman" w:hAnsi="Times New Roman" w:eastAsia="宋体" w:cs="Times New Roman"/>
                <w:sz w:val="21"/>
                <w:szCs w:val="21"/>
                <w:lang w:val="en-US" w:eastAsia="zh-CN" w:bidi="ar-SA"/>
              </w:rPr>
              <w:t>6</w:t>
            </w:r>
            <w:r>
              <w:rPr>
                <w:rFonts w:hint="eastAsia" w:ascii="Times New Roman" w:hAnsi="Times New Roman" w:eastAsia="宋体" w:cs="Times New Roman"/>
                <w:sz w:val="21"/>
                <w:szCs w:val="21"/>
                <w:lang w:val="en-US" w:eastAsia="zh-CN" w:bidi="ar-SA"/>
              </w:rPr>
              <w:t>其他镀种</w:t>
            </w:r>
          </w:p>
        </w:tc>
        <w:tc>
          <w:tcPr>
            <w:tcW w:w="940" w:type="pct"/>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14:paraId="62D06C34">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lang w:val="en-US" w:eastAsia="zh-CN" w:bidi="ar-SA"/>
              </w:rPr>
            </w:pPr>
            <w:r>
              <w:rPr>
                <w:rFonts w:hint="eastAsia" w:ascii="Times New Roman" w:hAnsi="Times New Roman" w:eastAsia="宋体" w:cs="Times New Roman"/>
                <w:sz w:val="21"/>
                <w:szCs w:val="21"/>
                <w:lang w:val="en-US" w:eastAsia="zh-CN" w:bidi="ar-SA"/>
              </w:rPr>
              <w:t>镀锌</w:t>
            </w:r>
          </w:p>
        </w:tc>
        <w:tc>
          <w:tcPr>
            <w:tcW w:w="1417" w:type="pct"/>
            <w:tcBorders>
              <w:top w:val="single" w:color="000000" w:sz="4" w:space="0"/>
              <w:left w:val="single" w:color="000000" w:sz="4" w:space="0"/>
              <w:bottom w:val="single" w:color="000000" w:sz="4" w:space="0"/>
              <w:right w:val="single" w:color="000000" w:sz="8" w:space="0"/>
            </w:tcBorders>
            <w:tcMar>
              <w:top w:w="0" w:type="dxa"/>
              <w:left w:w="28" w:type="dxa"/>
              <w:bottom w:w="0" w:type="dxa"/>
              <w:right w:w="28" w:type="dxa"/>
            </w:tcMar>
            <w:vAlign w:val="center"/>
          </w:tcPr>
          <w:p w14:paraId="5B591894">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lang w:val="en-US" w:eastAsia="zh-CN" w:bidi="ar-SA"/>
              </w:rPr>
            </w:pPr>
            <w:r>
              <w:rPr>
                <w:rFonts w:ascii="Times New Roman" w:hAnsi="Times New Roman" w:eastAsia="等线" w:cs="Times New Roman"/>
                <w:sz w:val="21"/>
                <w:szCs w:val="21"/>
                <w:lang w:val="en-US" w:eastAsia="zh-CN" w:bidi="ar-SA"/>
              </w:rPr>
              <w:t>18.6</w:t>
            </w:r>
            <w:r>
              <w:rPr>
                <w:rFonts w:ascii="Times New Roman" w:hAnsi="Times New Roman" w:eastAsia="宋体" w:cs="Times New Roman"/>
                <w:sz w:val="21"/>
                <w:szCs w:val="21"/>
                <w:lang w:val="en-US" w:eastAsia="zh-CN" w:bidi="ar-SA"/>
              </w:rPr>
              <w:t xml:space="preserve"> m</w:t>
            </w:r>
            <w:r>
              <w:rPr>
                <w:rFonts w:ascii="Times New Roman" w:hAnsi="Times New Roman" w:eastAsia="宋体" w:cs="Times New Roman"/>
                <w:sz w:val="21"/>
                <w:szCs w:val="21"/>
                <w:vertAlign w:val="superscript"/>
                <w:lang w:val="en-US" w:eastAsia="zh-CN" w:bidi="ar-SA"/>
              </w:rPr>
              <w:t>3</w:t>
            </w:r>
            <w:r>
              <w:rPr>
                <w:rFonts w:ascii="Times New Roman" w:hAnsi="Times New Roman" w:eastAsia="宋体" w:cs="Times New Roman"/>
                <w:sz w:val="21"/>
                <w:szCs w:val="21"/>
                <w:lang w:val="en-US" w:eastAsia="zh-CN" w:bidi="ar-SA"/>
              </w:rPr>
              <w:t>/m</w:t>
            </w:r>
            <w:r>
              <w:rPr>
                <w:rFonts w:ascii="Times New Roman" w:hAnsi="Times New Roman" w:eastAsia="宋体" w:cs="Times New Roman"/>
                <w:sz w:val="21"/>
                <w:szCs w:val="21"/>
                <w:vertAlign w:val="superscript"/>
                <w:lang w:val="en-US" w:eastAsia="zh-CN" w:bidi="ar-SA"/>
              </w:rPr>
              <w:t>2</w:t>
            </w:r>
            <w:r>
              <w:rPr>
                <w:rFonts w:ascii="Times New Roman" w:hAnsi="Times New Roman" w:eastAsia="宋体" w:cs="Times New Roman"/>
                <w:bCs/>
                <w:sz w:val="21"/>
                <w:szCs w:val="21"/>
                <w:lang w:val="en-US" w:eastAsia="zh-CN" w:bidi="ar-SA"/>
              </w:rPr>
              <w:t>(</w:t>
            </w:r>
            <w:r>
              <w:rPr>
                <w:rFonts w:hint="eastAsia" w:ascii="Times New Roman" w:hAnsi="Times New Roman" w:eastAsia="宋体" w:cs="Times New Roman"/>
                <w:bCs/>
                <w:sz w:val="21"/>
                <w:szCs w:val="21"/>
                <w:lang w:val="en-US" w:eastAsia="zh-CN" w:bidi="ar-SA"/>
              </w:rPr>
              <w:t>单位产品基准排气量</w:t>
            </w:r>
            <w:r>
              <w:rPr>
                <w:rFonts w:ascii="Times New Roman" w:hAnsi="Times New Roman" w:eastAsia="宋体" w:cs="Times New Roman"/>
                <w:bCs/>
                <w:sz w:val="21"/>
                <w:szCs w:val="21"/>
                <w:lang w:val="en-US" w:eastAsia="zh-CN" w:bidi="ar-SA"/>
              </w:rPr>
              <w:t>)</w:t>
            </w:r>
          </w:p>
        </w:tc>
      </w:tr>
      <w:tr w14:paraId="2FAD783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410" w:type="pct"/>
            <w:vMerge w:val="continue"/>
            <w:tcBorders>
              <w:top w:val="single" w:color="000000" w:sz="4" w:space="0"/>
              <w:left w:val="single" w:color="000000" w:sz="8" w:space="0"/>
              <w:bottom w:val="single" w:color="000000" w:sz="4" w:space="0"/>
              <w:right w:val="single" w:color="000000" w:sz="4" w:space="0"/>
            </w:tcBorders>
            <w:vAlign w:val="center"/>
          </w:tcPr>
          <w:p w14:paraId="06D671CD">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lang w:val="en-US" w:eastAsia="zh-CN" w:bidi="ar-SA"/>
              </w:rPr>
            </w:pPr>
          </w:p>
        </w:tc>
        <w:tc>
          <w:tcPr>
            <w:tcW w:w="1386" w:type="pct"/>
            <w:vMerge w:val="continue"/>
            <w:tcBorders>
              <w:top w:val="single" w:color="000000" w:sz="4" w:space="0"/>
              <w:left w:val="single" w:color="000000" w:sz="4" w:space="0"/>
              <w:bottom w:val="single" w:color="000000" w:sz="4" w:space="0"/>
              <w:right w:val="single" w:color="000000" w:sz="4" w:space="0"/>
            </w:tcBorders>
            <w:vAlign w:val="center"/>
          </w:tcPr>
          <w:p w14:paraId="19F37153">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lang w:val="en-US" w:eastAsia="zh-CN" w:bidi="ar-SA"/>
              </w:rPr>
            </w:pPr>
          </w:p>
        </w:tc>
        <w:tc>
          <w:tcPr>
            <w:tcW w:w="846" w:type="pct"/>
            <w:vMerge w:val="continue"/>
            <w:tcBorders>
              <w:left w:val="single" w:color="000000" w:sz="4" w:space="0"/>
              <w:bottom w:val="single" w:color="000000" w:sz="4" w:space="0"/>
              <w:right w:val="single" w:color="000000" w:sz="4" w:space="0"/>
            </w:tcBorders>
            <w:vAlign w:val="center"/>
          </w:tcPr>
          <w:p w14:paraId="4AADA54F">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highlight w:val="yellow"/>
                <w:lang w:val="en-US" w:eastAsia="zh-CN" w:bidi="ar-SA"/>
              </w:rPr>
            </w:pPr>
          </w:p>
        </w:tc>
        <w:tc>
          <w:tcPr>
            <w:tcW w:w="940" w:type="pct"/>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14:paraId="224DB43B">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lang w:val="en-US" w:eastAsia="zh-CN" w:bidi="ar-SA"/>
              </w:rPr>
            </w:pPr>
            <w:r>
              <w:rPr>
                <w:rFonts w:hint="eastAsia" w:ascii="Times New Roman" w:hAnsi="Times New Roman" w:eastAsia="宋体" w:cs="Times New Roman"/>
                <w:sz w:val="21"/>
                <w:szCs w:val="21"/>
                <w:lang w:val="en-US" w:eastAsia="zh-CN" w:bidi="ar-SA"/>
              </w:rPr>
              <w:t>镀镍</w:t>
            </w:r>
          </w:p>
        </w:tc>
        <w:tc>
          <w:tcPr>
            <w:tcW w:w="1417" w:type="pct"/>
            <w:tcBorders>
              <w:top w:val="single" w:color="000000" w:sz="4" w:space="0"/>
              <w:left w:val="single" w:color="000000" w:sz="4" w:space="0"/>
              <w:bottom w:val="single" w:color="000000" w:sz="4" w:space="0"/>
              <w:right w:val="single" w:color="000000" w:sz="8" w:space="0"/>
            </w:tcBorders>
            <w:tcMar>
              <w:top w:w="0" w:type="dxa"/>
              <w:left w:w="28" w:type="dxa"/>
              <w:bottom w:w="0" w:type="dxa"/>
              <w:right w:w="28" w:type="dxa"/>
            </w:tcMar>
            <w:vAlign w:val="center"/>
          </w:tcPr>
          <w:p w14:paraId="166BBB2E">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lang w:val="en-US" w:eastAsia="zh-CN" w:bidi="ar-SA"/>
              </w:rPr>
            </w:pPr>
            <w:r>
              <w:rPr>
                <w:rFonts w:ascii="Times New Roman" w:hAnsi="Times New Roman" w:eastAsia="宋体" w:cs="Times New Roman"/>
                <w:sz w:val="21"/>
                <w:szCs w:val="21"/>
                <w:lang w:val="en-US" w:eastAsia="zh-CN" w:bidi="ar-SA"/>
              </w:rPr>
              <w:t>37.3m</w:t>
            </w:r>
            <w:r>
              <w:rPr>
                <w:rFonts w:ascii="Times New Roman" w:hAnsi="Times New Roman" w:eastAsia="宋体" w:cs="Times New Roman"/>
                <w:sz w:val="21"/>
                <w:szCs w:val="21"/>
                <w:vertAlign w:val="superscript"/>
                <w:lang w:val="en-US" w:eastAsia="zh-CN" w:bidi="ar-SA"/>
              </w:rPr>
              <w:t>3</w:t>
            </w:r>
            <w:r>
              <w:rPr>
                <w:rFonts w:ascii="Times New Roman" w:hAnsi="Times New Roman" w:eastAsia="宋体" w:cs="Times New Roman"/>
                <w:sz w:val="21"/>
                <w:szCs w:val="21"/>
                <w:lang w:val="en-US" w:eastAsia="zh-CN" w:bidi="ar-SA"/>
              </w:rPr>
              <w:t>/m</w:t>
            </w:r>
            <w:r>
              <w:rPr>
                <w:rFonts w:ascii="Times New Roman" w:hAnsi="Times New Roman" w:eastAsia="宋体" w:cs="Times New Roman"/>
                <w:sz w:val="21"/>
                <w:szCs w:val="21"/>
                <w:vertAlign w:val="superscript"/>
                <w:lang w:val="en-US" w:eastAsia="zh-CN" w:bidi="ar-SA"/>
              </w:rPr>
              <w:t>2</w:t>
            </w:r>
            <w:r>
              <w:rPr>
                <w:rFonts w:ascii="Times New Roman" w:hAnsi="Times New Roman" w:eastAsia="宋体" w:cs="Times New Roman"/>
                <w:bCs/>
                <w:sz w:val="21"/>
                <w:szCs w:val="21"/>
                <w:lang w:val="en-US" w:eastAsia="zh-CN" w:bidi="ar-SA"/>
              </w:rPr>
              <w:t>(</w:t>
            </w:r>
            <w:r>
              <w:rPr>
                <w:rFonts w:hint="eastAsia" w:ascii="Times New Roman" w:hAnsi="Times New Roman" w:eastAsia="宋体" w:cs="Times New Roman"/>
                <w:bCs/>
                <w:sz w:val="21"/>
                <w:szCs w:val="21"/>
                <w:lang w:val="en-US" w:eastAsia="zh-CN" w:bidi="ar-SA"/>
              </w:rPr>
              <w:t>单位产品基准排气量</w:t>
            </w:r>
            <w:r>
              <w:rPr>
                <w:rFonts w:ascii="Times New Roman" w:hAnsi="Times New Roman" w:eastAsia="宋体" w:cs="Times New Roman"/>
                <w:bCs/>
                <w:sz w:val="21"/>
                <w:szCs w:val="21"/>
                <w:lang w:val="en-US" w:eastAsia="zh-CN" w:bidi="ar-SA"/>
              </w:rPr>
              <w:t>)</w:t>
            </w:r>
          </w:p>
        </w:tc>
      </w:tr>
      <w:tr w14:paraId="49E4AA3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410" w:type="pct"/>
            <w:vMerge w:val="continue"/>
            <w:tcBorders>
              <w:top w:val="single" w:color="000000" w:sz="4" w:space="0"/>
              <w:left w:val="single" w:color="000000" w:sz="8" w:space="0"/>
              <w:bottom w:val="single" w:color="000000" w:sz="4" w:space="0"/>
              <w:right w:val="single" w:color="000000" w:sz="4" w:space="0"/>
            </w:tcBorders>
            <w:vAlign w:val="center"/>
          </w:tcPr>
          <w:p w14:paraId="2FD2FFC2">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lang w:val="en-US" w:eastAsia="zh-CN" w:bidi="ar-SA"/>
              </w:rPr>
            </w:pPr>
          </w:p>
        </w:tc>
        <w:tc>
          <w:tcPr>
            <w:tcW w:w="1386" w:type="pct"/>
            <w:vMerge w:val="restart"/>
            <w:tcBorders>
              <w:top w:val="single" w:color="000000" w:sz="4" w:space="0"/>
              <w:left w:val="single" w:color="000000" w:sz="4" w:space="0"/>
              <w:bottom w:val="single" w:color="000000" w:sz="4" w:space="0"/>
              <w:right w:val="single" w:color="000000" w:sz="4" w:space="0"/>
            </w:tcBorders>
            <w:vAlign w:val="center"/>
          </w:tcPr>
          <w:p w14:paraId="2C42D78A">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highlight w:val="yellow"/>
                <w:lang w:val="en-US" w:eastAsia="zh-CN" w:bidi="ar-SA"/>
              </w:rPr>
            </w:pPr>
            <w:r>
              <w:rPr>
                <w:rFonts w:hint="eastAsia" w:ascii="Times New Roman" w:hAnsi="Times New Roman" w:eastAsia="宋体" w:cs="Times New Roman"/>
                <w:sz w:val="21"/>
                <w:szCs w:val="21"/>
                <w:lang w:val="en-US" w:eastAsia="zh-CN" w:bidi="ar-SA"/>
              </w:rPr>
              <w:t>《河南省重污染天气重点行业应急减排措施制定技术指南（</w:t>
            </w:r>
            <w:r>
              <w:rPr>
                <w:rFonts w:ascii="Times New Roman" w:hAnsi="Times New Roman" w:eastAsia="宋体" w:cs="Times New Roman"/>
                <w:sz w:val="21"/>
                <w:szCs w:val="21"/>
                <w:lang w:val="en-US" w:eastAsia="zh-CN" w:bidi="ar-SA"/>
              </w:rPr>
              <w:t>20</w:t>
            </w:r>
            <w:r>
              <w:rPr>
                <w:rFonts w:hint="eastAsia" w:ascii="Times New Roman" w:hAnsi="Times New Roman" w:eastAsia="宋体" w:cs="Times New Roman"/>
                <w:sz w:val="21"/>
                <w:szCs w:val="21"/>
                <w:lang w:val="en-US" w:eastAsia="zh-CN" w:bidi="ar-SA"/>
              </w:rPr>
              <w:t>24年修订）》</w:t>
            </w:r>
          </w:p>
        </w:tc>
        <w:tc>
          <w:tcPr>
            <w:tcW w:w="846" w:type="pct"/>
            <w:vMerge w:val="restart"/>
            <w:tcBorders>
              <w:top w:val="single" w:color="000000" w:sz="4" w:space="0"/>
              <w:left w:val="single" w:color="000000" w:sz="4" w:space="0"/>
              <w:bottom w:val="single" w:color="000000" w:sz="4" w:space="0"/>
              <w:right w:val="single" w:color="000000" w:sz="4" w:space="0"/>
            </w:tcBorders>
            <w:vAlign w:val="center"/>
          </w:tcPr>
          <w:p w14:paraId="2D7EB0B6">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lang w:val="en-US" w:eastAsia="zh-CN" w:bidi="ar-SA"/>
              </w:rPr>
            </w:pPr>
            <w:r>
              <w:rPr>
                <w:rFonts w:hint="eastAsia" w:ascii="Times New Roman" w:hAnsi="Times New Roman" w:eastAsia="宋体" w:cs="Times New Roman"/>
                <w:sz w:val="21"/>
                <w:szCs w:val="21"/>
                <w:lang w:val="en-US" w:eastAsia="zh-CN" w:bidi="ar-SA"/>
              </w:rPr>
              <w:t>金属表面处理及热处理加工</w:t>
            </w:r>
          </w:p>
        </w:tc>
        <w:tc>
          <w:tcPr>
            <w:tcW w:w="940" w:type="pct"/>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14:paraId="1D6FD647">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lang w:val="en-US" w:eastAsia="zh-CN" w:bidi="ar-SA"/>
              </w:rPr>
            </w:pPr>
            <w:r>
              <w:rPr>
                <w:rFonts w:hint="eastAsia" w:ascii="Times New Roman" w:hAnsi="Times New Roman" w:eastAsia="宋体" w:cs="Times New Roman"/>
                <w:sz w:val="21"/>
                <w:szCs w:val="21"/>
                <w:lang w:val="en-US" w:eastAsia="zh-CN" w:bidi="ar-SA"/>
              </w:rPr>
              <w:t>氯化氢</w:t>
            </w:r>
          </w:p>
        </w:tc>
        <w:tc>
          <w:tcPr>
            <w:tcW w:w="1417" w:type="pct"/>
            <w:tcBorders>
              <w:top w:val="single" w:color="000000" w:sz="4" w:space="0"/>
              <w:left w:val="single" w:color="000000" w:sz="4" w:space="0"/>
              <w:bottom w:val="single" w:color="000000" w:sz="4" w:space="0"/>
              <w:right w:val="single" w:color="000000" w:sz="8" w:space="0"/>
            </w:tcBorders>
            <w:tcMar>
              <w:top w:w="0" w:type="dxa"/>
              <w:left w:w="28" w:type="dxa"/>
              <w:bottom w:w="0" w:type="dxa"/>
              <w:right w:w="28" w:type="dxa"/>
            </w:tcMar>
            <w:vAlign w:val="center"/>
          </w:tcPr>
          <w:p w14:paraId="7752623B">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lang w:val="en-US" w:eastAsia="zh-CN" w:bidi="ar-SA"/>
              </w:rPr>
            </w:pPr>
            <w:r>
              <w:rPr>
                <w:rFonts w:ascii="Times New Roman" w:hAnsi="Times New Roman" w:eastAsia="宋体" w:cs="Times New Roman"/>
                <w:sz w:val="21"/>
                <w:szCs w:val="21"/>
                <w:lang w:val="en-US" w:eastAsia="zh-CN" w:bidi="ar-SA"/>
              </w:rPr>
              <w:t>10mg/m</w:t>
            </w:r>
            <w:r>
              <w:rPr>
                <w:rFonts w:ascii="Times New Roman" w:hAnsi="Times New Roman" w:eastAsia="宋体" w:cs="Times New Roman"/>
                <w:sz w:val="21"/>
                <w:szCs w:val="21"/>
                <w:vertAlign w:val="superscript"/>
                <w:lang w:val="en-US" w:eastAsia="zh-CN" w:bidi="ar-SA"/>
              </w:rPr>
              <w:t>3</w:t>
            </w:r>
          </w:p>
        </w:tc>
      </w:tr>
      <w:tr w14:paraId="0281826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410" w:type="pct"/>
            <w:vMerge w:val="continue"/>
            <w:tcBorders>
              <w:top w:val="single" w:color="000000" w:sz="4" w:space="0"/>
              <w:left w:val="single" w:color="000000" w:sz="8" w:space="0"/>
              <w:bottom w:val="single" w:color="000000" w:sz="4" w:space="0"/>
              <w:right w:val="single" w:color="000000" w:sz="4" w:space="0"/>
            </w:tcBorders>
            <w:vAlign w:val="center"/>
          </w:tcPr>
          <w:p w14:paraId="49F8FC0B">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lang w:val="en-US" w:eastAsia="zh-CN" w:bidi="ar-SA"/>
              </w:rPr>
            </w:pPr>
          </w:p>
        </w:tc>
        <w:tc>
          <w:tcPr>
            <w:tcW w:w="1386" w:type="pct"/>
            <w:vMerge w:val="continue"/>
            <w:tcBorders>
              <w:top w:val="single" w:color="000000" w:sz="4" w:space="0"/>
              <w:left w:val="single" w:color="000000" w:sz="4" w:space="0"/>
              <w:bottom w:val="single" w:color="000000" w:sz="4" w:space="0"/>
              <w:right w:val="single" w:color="000000" w:sz="4" w:space="0"/>
            </w:tcBorders>
            <w:vAlign w:val="center"/>
          </w:tcPr>
          <w:p w14:paraId="5DF959F6">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highlight w:val="yellow"/>
                <w:lang w:val="en-US" w:eastAsia="zh-CN" w:bidi="ar-SA"/>
              </w:rPr>
            </w:pPr>
          </w:p>
        </w:tc>
        <w:tc>
          <w:tcPr>
            <w:tcW w:w="846" w:type="pct"/>
            <w:vMerge w:val="continue"/>
            <w:tcBorders>
              <w:top w:val="single" w:color="000000" w:sz="4" w:space="0"/>
              <w:left w:val="single" w:color="000000" w:sz="4" w:space="0"/>
              <w:bottom w:val="single" w:color="000000" w:sz="4" w:space="0"/>
              <w:right w:val="single" w:color="000000" w:sz="4" w:space="0"/>
            </w:tcBorders>
            <w:vAlign w:val="center"/>
          </w:tcPr>
          <w:p w14:paraId="5A8EB883">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lang w:val="en-US" w:eastAsia="zh-CN" w:bidi="ar-SA"/>
              </w:rPr>
            </w:pPr>
          </w:p>
        </w:tc>
        <w:tc>
          <w:tcPr>
            <w:tcW w:w="940" w:type="pct"/>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14:paraId="51A2BCB7">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lang w:val="en-US" w:eastAsia="zh-CN" w:bidi="ar-SA"/>
              </w:rPr>
            </w:pPr>
            <w:r>
              <w:rPr>
                <w:rFonts w:hint="eastAsia" w:ascii="Times New Roman" w:hAnsi="Times New Roman" w:eastAsia="宋体" w:cs="Times New Roman"/>
                <w:sz w:val="21"/>
                <w:szCs w:val="21"/>
                <w:lang w:val="en-US" w:eastAsia="zh-CN" w:bidi="ar-SA"/>
              </w:rPr>
              <w:t>硫酸雾</w:t>
            </w:r>
          </w:p>
        </w:tc>
        <w:tc>
          <w:tcPr>
            <w:tcW w:w="1417" w:type="pct"/>
            <w:tcBorders>
              <w:top w:val="single" w:color="000000" w:sz="4" w:space="0"/>
              <w:left w:val="single" w:color="000000" w:sz="4" w:space="0"/>
              <w:bottom w:val="single" w:color="000000" w:sz="4" w:space="0"/>
              <w:right w:val="single" w:color="000000" w:sz="8" w:space="0"/>
            </w:tcBorders>
            <w:tcMar>
              <w:top w:w="0" w:type="dxa"/>
              <w:left w:w="28" w:type="dxa"/>
              <w:bottom w:w="0" w:type="dxa"/>
              <w:right w:w="28" w:type="dxa"/>
            </w:tcMar>
            <w:vAlign w:val="center"/>
          </w:tcPr>
          <w:p w14:paraId="1B9F2A48">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lang w:val="en-US" w:eastAsia="zh-CN" w:bidi="ar-SA"/>
              </w:rPr>
            </w:pPr>
            <w:r>
              <w:rPr>
                <w:rFonts w:ascii="Times New Roman" w:hAnsi="Times New Roman" w:eastAsia="宋体" w:cs="Times New Roman"/>
                <w:sz w:val="21"/>
                <w:szCs w:val="21"/>
                <w:lang w:val="en-US" w:eastAsia="zh-CN" w:bidi="ar-SA"/>
              </w:rPr>
              <w:t>10mg/m</w:t>
            </w:r>
            <w:r>
              <w:rPr>
                <w:rFonts w:ascii="Times New Roman" w:hAnsi="Times New Roman" w:eastAsia="宋体" w:cs="Times New Roman"/>
                <w:sz w:val="21"/>
                <w:szCs w:val="21"/>
                <w:vertAlign w:val="superscript"/>
                <w:lang w:val="en-US" w:eastAsia="zh-CN" w:bidi="ar-SA"/>
              </w:rPr>
              <w:t>3</w:t>
            </w:r>
          </w:p>
        </w:tc>
      </w:tr>
      <w:tr w14:paraId="3D08C5A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410" w:type="pct"/>
            <w:vMerge w:val="continue"/>
            <w:tcBorders>
              <w:top w:val="single" w:color="000000" w:sz="4" w:space="0"/>
              <w:left w:val="single" w:color="000000" w:sz="8" w:space="0"/>
              <w:bottom w:val="single" w:color="000000" w:sz="4" w:space="0"/>
              <w:right w:val="single" w:color="000000" w:sz="4" w:space="0"/>
            </w:tcBorders>
            <w:vAlign w:val="center"/>
          </w:tcPr>
          <w:p w14:paraId="441D9403">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lang w:val="en-US" w:eastAsia="zh-CN" w:bidi="ar-SA"/>
              </w:rPr>
            </w:pPr>
          </w:p>
        </w:tc>
        <w:tc>
          <w:tcPr>
            <w:tcW w:w="1386" w:type="pct"/>
            <w:vMerge w:val="continue"/>
            <w:tcBorders>
              <w:top w:val="single" w:color="000000" w:sz="4" w:space="0"/>
              <w:left w:val="single" w:color="000000" w:sz="4" w:space="0"/>
              <w:bottom w:val="single" w:color="000000" w:sz="4" w:space="0"/>
              <w:right w:val="single" w:color="000000" w:sz="4" w:space="0"/>
            </w:tcBorders>
            <w:vAlign w:val="center"/>
          </w:tcPr>
          <w:p w14:paraId="323E59C7">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highlight w:val="yellow"/>
                <w:lang w:val="en-US" w:eastAsia="zh-CN" w:bidi="ar-SA"/>
              </w:rPr>
            </w:pPr>
          </w:p>
        </w:tc>
        <w:tc>
          <w:tcPr>
            <w:tcW w:w="846" w:type="pct"/>
            <w:vMerge w:val="continue"/>
            <w:tcBorders>
              <w:top w:val="single" w:color="000000" w:sz="4" w:space="0"/>
              <w:left w:val="single" w:color="000000" w:sz="4" w:space="0"/>
              <w:bottom w:val="single" w:color="000000" w:sz="4" w:space="0"/>
              <w:right w:val="single" w:color="000000" w:sz="4" w:space="0"/>
            </w:tcBorders>
            <w:vAlign w:val="center"/>
          </w:tcPr>
          <w:p w14:paraId="679418D2">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lang w:val="en-US" w:eastAsia="zh-CN" w:bidi="ar-SA"/>
              </w:rPr>
            </w:pPr>
          </w:p>
        </w:tc>
        <w:tc>
          <w:tcPr>
            <w:tcW w:w="940" w:type="pct"/>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14:paraId="50E10266">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lang w:val="en-US" w:eastAsia="zh-CN" w:bidi="ar-SA"/>
              </w:rPr>
            </w:pPr>
            <w:r>
              <w:rPr>
                <w:rFonts w:hint="eastAsia" w:ascii="Times New Roman" w:hAnsi="Times New Roman" w:eastAsia="宋体" w:cs="Times New Roman"/>
                <w:sz w:val="21"/>
                <w:szCs w:val="21"/>
                <w:lang w:val="en-US" w:eastAsia="zh-CN" w:bidi="ar-SA"/>
              </w:rPr>
              <w:t>铬酸雾</w:t>
            </w:r>
          </w:p>
        </w:tc>
        <w:tc>
          <w:tcPr>
            <w:tcW w:w="1417" w:type="pct"/>
            <w:tcBorders>
              <w:top w:val="single" w:color="000000" w:sz="4" w:space="0"/>
              <w:left w:val="single" w:color="000000" w:sz="4" w:space="0"/>
              <w:bottom w:val="single" w:color="000000" w:sz="4" w:space="0"/>
              <w:right w:val="single" w:color="000000" w:sz="8" w:space="0"/>
            </w:tcBorders>
            <w:tcMar>
              <w:top w:w="0" w:type="dxa"/>
              <w:left w:w="28" w:type="dxa"/>
              <w:bottom w:w="0" w:type="dxa"/>
              <w:right w:w="28" w:type="dxa"/>
            </w:tcMar>
            <w:vAlign w:val="center"/>
          </w:tcPr>
          <w:p w14:paraId="56C81F8A">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lang w:val="en-US" w:eastAsia="zh-CN" w:bidi="ar-SA"/>
              </w:rPr>
            </w:pPr>
            <w:r>
              <w:rPr>
                <w:rFonts w:ascii="Times New Roman" w:hAnsi="Times New Roman" w:eastAsia="宋体" w:cs="Times New Roman"/>
                <w:sz w:val="21"/>
                <w:szCs w:val="21"/>
                <w:lang w:val="en-US" w:eastAsia="zh-CN" w:bidi="ar-SA"/>
              </w:rPr>
              <w:t>0.05mg/m</w:t>
            </w:r>
            <w:r>
              <w:rPr>
                <w:rFonts w:ascii="Times New Roman" w:hAnsi="Times New Roman" w:eastAsia="宋体" w:cs="Times New Roman"/>
                <w:sz w:val="21"/>
                <w:szCs w:val="21"/>
                <w:vertAlign w:val="superscript"/>
                <w:lang w:val="en-US" w:eastAsia="zh-CN" w:bidi="ar-SA"/>
              </w:rPr>
              <w:t>3</w:t>
            </w:r>
          </w:p>
        </w:tc>
      </w:tr>
      <w:tr w14:paraId="15E4F76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410" w:type="pct"/>
            <w:vMerge w:val="continue"/>
            <w:tcBorders>
              <w:top w:val="single" w:color="000000" w:sz="4" w:space="0"/>
              <w:left w:val="single" w:color="000000" w:sz="8" w:space="0"/>
              <w:bottom w:val="single" w:color="000000" w:sz="4" w:space="0"/>
              <w:right w:val="single" w:color="000000" w:sz="4" w:space="0"/>
            </w:tcBorders>
            <w:vAlign w:val="center"/>
          </w:tcPr>
          <w:p w14:paraId="126289FD">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lang w:val="en-US" w:eastAsia="zh-CN" w:bidi="ar-SA"/>
              </w:rPr>
            </w:pPr>
          </w:p>
        </w:tc>
        <w:tc>
          <w:tcPr>
            <w:tcW w:w="1386" w:type="pct"/>
            <w:vMerge w:val="restart"/>
            <w:tcBorders>
              <w:top w:val="single" w:color="000000" w:sz="4" w:space="0"/>
              <w:left w:val="single" w:color="000000" w:sz="4" w:space="0"/>
              <w:bottom w:val="single" w:color="000000" w:sz="4" w:space="0"/>
              <w:right w:val="single" w:color="000000" w:sz="4" w:space="0"/>
            </w:tcBorders>
            <w:vAlign w:val="center"/>
          </w:tcPr>
          <w:p w14:paraId="0A2F9553">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highlight w:val="yellow"/>
                <w:lang w:val="en-US" w:eastAsia="zh-CN" w:bidi="ar-SA"/>
              </w:rPr>
            </w:pPr>
            <w:r>
              <w:rPr>
                <w:rFonts w:hint="eastAsia" w:ascii="Times New Roman" w:hAnsi="Times New Roman" w:eastAsia="宋体" w:cs="Times New Roman"/>
                <w:sz w:val="21"/>
                <w:szCs w:val="21"/>
                <w:lang w:val="en-US" w:eastAsia="zh-CN" w:bidi="ar-SA"/>
              </w:rPr>
              <w:t>《大气污染物综合排放标准》（</w:t>
            </w:r>
            <w:r>
              <w:rPr>
                <w:rFonts w:ascii="Times New Roman" w:hAnsi="Times New Roman" w:eastAsia="宋体" w:cs="Times New Roman"/>
                <w:sz w:val="21"/>
                <w:szCs w:val="21"/>
                <w:lang w:val="en-US" w:eastAsia="zh-CN" w:bidi="ar-SA"/>
              </w:rPr>
              <w:t>GB16297-1996</w:t>
            </w:r>
            <w:r>
              <w:rPr>
                <w:rFonts w:hint="eastAsia" w:ascii="Times New Roman" w:hAnsi="Times New Roman" w:eastAsia="宋体" w:cs="Times New Roman"/>
                <w:sz w:val="21"/>
                <w:szCs w:val="21"/>
                <w:lang w:val="en-US" w:eastAsia="zh-CN" w:bidi="ar-SA"/>
              </w:rPr>
              <w:t>）（参照执行）</w:t>
            </w:r>
          </w:p>
        </w:tc>
        <w:tc>
          <w:tcPr>
            <w:tcW w:w="846" w:type="pct"/>
            <w:vMerge w:val="restart"/>
            <w:tcBorders>
              <w:top w:val="single" w:color="000000" w:sz="4" w:space="0"/>
              <w:left w:val="single" w:color="000000" w:sz="4" w:space="0"/>
              <w:bottom w:val="single" w:color="000000" w:sz="4" w:space="0"/>
              <w:right w:val="single" w:color="000000" w:sz="4" w:space="0"/>
            </w:tcBorders>
            <w:vAlign w:val="center"/>
          </w:tcPr>
          <w:p w14:paraId="6D8F0191">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lang w:val="en-US" w:eastAsia="zh-CN" w:bidi="ar-SA"/>
              </w:rPr>
            </w:pPr>
            <w:r>
              <w:rPr>
                <w:rFonts w:hint="eastAsia" w:ascii="Times New Roman" w:hAnsi="Times New Roman" w:eastAsia="宋体" w:cs="Times New Roman"/>
                <w:sz w:val="21"/>
                <w:szCs w:val="21"/>
                <w:lang w:val="en-US" w:eastAsia="zh-CN" w:bidi="ar-SA"/>
              </w:rPr>
              <w:t>表</w:t>
            </w:r>
            <w:r>
              <w:rPr>
                <w:rFonts w:ascii="Times New Roman" w:hAnsi="Times New Roman" w:eastAsia="宋体" w:cs="Times New Roman"/>
                <w:sz w:val="21"/>
                <w:szCs w:val="21"/>
                <w:lang w:val="en-US" w:eastAsia="zh-CN" w:bidi="ar-SA"/>
              </w:rPr>
              <w:t>2</w:t>
            </w:r>
          </w:p>
        </w:tc>
        <w:tc>
          <w:tcPr>
            <w:tcW w:w="940" w:type="pct"/>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14:paraId="4E59E02A">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lang w:val="en-US" w:eastAsia="zh-CN" w:bidi="ar-SA"/>
              </w:rPr>
            </w:pPr>
            <w:r>
              <w:rPr>
                <w:rFonts w:hint="eastAsia" w:ascii="Times New Roman" w:hAnsi="Times New Roman" w:eastAsia="宋体" w:cs="Times New Roman"/>
                <w:sz w:val="21"/>
                <w:szCs w:val="21"/>
                <w:lang w:val="en-US" w:eastAsia="zh-CN" w:bidi="ar-SA"/>
              </w:rPr>
              <w:t>氯化氢</w:t>
            </w:r>
          </w:p>
        </w:tc>
        <w:tc>
          <w:tcPr>
            <w:tcW w:w="1417" w:type="pct"/>
            <w:tcBorders>
              <w:top w:val="single" w:color="000000" w:sz="4" w:space="0"/>
              <w:left w:val="single" w:color="000000" w:sz="4" w:space="0"/>
              <w:bottom w:val="single" w:color="000000" w:sz="4" w:space="0"/>
              <w:right w:val="single" w:color="000000" w:sz="8" w:space="0"/>
            </w:tcBorders>
            <w:tcMar>
              <w:top w:w="0" w:type="dxa"/>
              <w:left w:w="28" w:type="dxa"/>
              <w:bottom w:w="0" w:type="dxa"/>
              <w:right w:w="28" w:type="dxa"/>
            </w:tcMar>
            <w:vAlign w:val="center"/>
          </w:tcPr>
          <w:p w14:paraId="7E607424">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lang w:val="en-US" w:eastAsia="zh-CN" w:bidi="ar-SA"/>
              </w:rPr>
            </w:pPr>
            <w:r>
              <w:rPr>
                <w:rFonts w:hint="eastAsia" w:ascii="Times New Roman" w:hAnsi="Times New Roman" w:eastAsia="宋体" w:cs="Times New Roman"/>
                <w:sz w:val="21"/>
                <w:szCs w:val="21"/>
                <w:lang w:val="en-US" w:eastAsia="zh-CN" w:bidi="ar-SA"/>
              </w:rPr>
              <w:t>厂界</w:t>
            </w:r>
            <w:r>
              <w:rPr>
                <w:rFonts w:ascii="Times New Roman" w:hAnsi="Times New Roman" w:eastAsia="宋体" w:cs="Times New Roman"/>
                <w:sz w:val="21"/>
                <w:szCs w:val="21"/>
                <w:lang w:val="en-US" w:eastAsia="zh-CN" w:bidi="ar-SA"/>
              </w:rPr>
              <w:t>0.2mg/m</w:t>
            </w:r>
            <w:r>
              <w:rPr>
                <w:rFonts w:ascii="Times New Roman" w:hAnsi="Times New Roman" w:eastAsia="宋体" w:cs="Times New Roman"/>
                <w:sz w:val="21"/>
                <w:szCs w:val="21"/>
                <w:vertAlign w:val="superscript"/>
                <w:lang w:val="en-US" w:eastAsia="zh-CN" w:bidi="ar-SA"/>
              </w:rPr>
              <w:t>3</w:t>
            </w:r>
          </w:p>
        </w:tc>
      </w:tr>
      <w:tr w14:paraId="78FDE47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410" w:type="pct"/>
            <w:vMerge w:val="continue"/>
            <w:tcBorders>
              <w:top w:val="single" w:color="000000" w:sz="4" w:space="0"/>
              <w:left w:val="single" w:color="000000" w:sz="8" w:space="0"/>
              <w:bottom w:val="single" w:color="000000" w:sz="4" w:space="0"/>
              <w:right w:val="single" w:color="000000" w:sz="4" w:space="0"/>
            </w:tcBorders>
            <w:vAlign w:val="center"/>
          </w:tcPr>
          <w:p w14:paraId="1049B720">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lang w:val="en-US" w:eastAsia="zh-CN" w:bidi="ar-SA"/>
              </w:rPr>
            </w:pPr>
          </w:p>
        </w:tc>
        <w:tc>
          <w:tcPr>
            <w:tcW w:w="1386" w:type="pct"/>
            <w:vMerge w:val="continue"/>
            <w:tcBorders>
              <w:top w:val="single" w:color="000000" w:sz="4" w:space="0"/>
              <w:left w:val="single" w:color="000000" w:sz="4" w:space="0"/>
              <w:bottom w:val="single" w:color="000000" w:sz="4" w:space="0"/>
              <w:right w:val="single" w:color="000000" w:sz="4" w:space="0"/>
            </w:tcBorders>
            <w:vAlign w:val="center"/>
          </w:tcPr>
          <w:p w14:paraId="1923BBCE">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highlight w:val="yellow"/>
                <w:lang w:val="en-US" w:eastAsia="zh-CN" w:bidi="ar-SA"/>
              </w:rPr>
            </w:pPr>
          </w:p>
        </w:tc>
        <w:tc>
          <w:tcPr>
            <w:tcW w:w="846" w:type="pct"/>
            <w:vMerge w:val="continue"/>
            <w:tcBorders>
              <w:top w:val="single" w:color="000000" w:sz="4" w:space="0"/>
              <w:left w:val="single" w:color="000000" w:sz="4" w:space="0"/>
              <w:bottom w:val="single" w:color="000000" w:sz="4" w:space="0"/>
              <w:right w:val="single" w:color="000000" w:sz="4" w:space="0"/>
            </w:tcBorders>
            <w:vAlign w:val="center"/>
          </w:tcPr>
          <w:p w14:paraId="1BEA2D84">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lang w:val="en-US" w:eastAsia="zh-CN" w:bidi="ar-SA"/>
              </w:rPr>
            </w:pPr>
          </w:p>
        </w:tc>
        <w:tc>
          <w:tcPr>
            <w:tcW w:w="940" w:type="pct"/>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14:paraId="27326A9E">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lang w:val="en-US" w:eastAsia="zh-CN" w:bidi="ar-SA"/>
              </w:rPr>
            </w:pPr>
            <w:r>
              <w:rPr>
                <w:rFonts w:hint="eastAsia" w:ascii="Times New Roman" w:hAnsi="Times New Roman" w:eastAsia="宋体" w:cs="Times New Roman"/>
                <w:sz w:val="21"/>
                <w:szCs w:val="21"/>
                <w:lang w:val="en-US" w:eastAsia="zh-CN" w:bidi="ar-SA"/>
              </w:rPr>
              <w:t>硫酸雾</w:t>
            </w:r>
          </w:p>
        </w:tc>
        <w:tc>
          <w:tcPr>
            <w:tcW w:w="1417" w:type="pct"/>
            <w:tcBorders>
              <w:top w:val="single" w:color="000000" w:sz="4" w:space="0"/>
              <w:left w:val="single" w:color="000000" w:sz="4" w:space="0"/>
              <w:bottom w:val="single" w:color="000000" w:sz="4" w:space="0"/>
              <w:right w:val="single" w:color="000000" w:sz="8" w:space="0"/>
            </w:tcBorders>
            <w:tcMar>
              <w:top w:w="0" w:type="dxa"/>
              <w:left w:w="28" w:type="dxa"/>
              <w:bottom w:w="0" w:type="dxa"/>
              <w:right w:w="28" w:type="dxa"/>
            </w:tcMar>
            <w:vAlign w:val="center"/>
          </w:tcPr>
          <w:p w14:paraId="6F06035C">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lang w:val="en-US" w:eastAsia="zh-CN" w:bidi="ar-SA"/>
              </w:rPr>
            </w:pPr>
            <w:r>
              <w:rPr>
                <w:rFonts w:hint="eastAsia" w:ascii="Times New Roman" w:hAnsi="Times New Roman" w:eastAsia="宋体" w:cs="Times New Roman"/>
                <w:sz w:val="21"/>
                <w:szCs w:val="21"/>
                <w:lang w:val="en-US" w:eastAsia="zh-CN" w:bidi="ar-SA"/>
              </w:rPr>
              <w:t>厂界</w:t>
            </w:r>
            <w:r>
              <w:rPr>
                <w:rFonts w:ascii="Times New Roman" w:hAnsi="Times New Roman" w:eastAsia="宋体" w:cs="Times New Roman"/>
                <w:sz w:val="21"/>
                <w:szCs w:val="21"/>
                <w:lang w:val="en-US" w:eastAsia="zh-CN" w:bidi="ar-SA"/>
              </w:rPr>
              <w:t>1.2mg/m</w:t>
            </w:r>
            <w:r>
              <w:rPr>
                <w:rFonts w:ascii="Times New Roman" w:hAnsi="Times New Roman" w:eastAsia="宋体" w:cs="Times New Roman"/>
                <w:sz w:val="21"/>
                <w:szCs w:val="21"/>
                <w:vertAlign w:val="superscript"/>
                <w:lang w:val="en-US" w:eastAsia="zh-CN" w:bidi="ar-SA"/>
              </w:rPr>
              <w:t>3</w:t>
            </w:r>
          </w:p>
        </w:tc>
      </w:tr>
      <w:tr w14:paraId="45F29EB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410" w:type="pct"/>
            <w:vMerge w:val="continue"/>
            <w:tcBorders>
              <w:top w:val="single" w:color="000000" w:sz="4" w:space="0"/>
              <w:left w:val="single" w:color="000000" w:sz="8" w:space="0"/>
              <w:bottom w:val="single" w:color="000000" w:sz="4" w:space="0"/>
              <w:right w:val="single" w:color="000000" w:sz="4" w:space="0"/>
            </w:tcBorders>
            <w:vAlign w:val="center"/>
          </w:tcPr>
          <w:p w14:paraId="364F0895">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lang w:val="en-US" w:eastAsia="zh-CN" w:bidi="ar-SA"/>
              </w:rPr>
            </w:pPr>
          </w:p>
        </w:tc>
        <w:tc>
          <w:tcPr>
            <w:tcW w:w="1386" w:type="pct"/>
            <w:vMerge w:val="restart"/>
            <w:tcBorders>
              <w:top w:val="single" w:color="000000" w:sz="4" w:space="0"/>
              <w:left w:val="single" w:color="000000" w:sz="4" w:space="0"/>
              <w:bottom w:val="single" w:color="000000" w:sz="4" w:space="0"/>
              <w:right w:val="single" w:color="000000" w:sz="4" w:space="0"/>
            </w:tcBorders>
            <w:vAlign w:val="center"/>
          </w:tcPr>
          <w:p w14:paraId="227CF8B9">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highlight w:val="yellow"/>
                <w:lang w:val="en-US" w:eastAsia="zh-CN" w:bidi="ar-SA"/>
              </w:rPr>
            </w:pPr>
            <w:r>
              <w:rPr>
                <w:rFonts w:hint="eastAsia" w:ascii="Times New Roman" w:hAnsi="Times New Roman" w:eastAsia="宋体" w:cs="Times New Roman"/>
                <w:sz w:val="21"/>
                <w:szCs w:val="21"/>
                <w:lang w:val="en-US" w:eastAsia="zh-CN" w:bidi="ar-SA"/>
              </w:rPr>
              <w:t>《恶臭污染物排放标准》（</w:t>
            </w:r>
            <w:r>
              <w:rPr>
                <w:rFonts w:ascii="Times New Roman" w:hAnsi="Times New Roman" w:eastAsia="宋体" w:cs="Times New Roman"/>
                <w:sz w:val="21"/>
                <w:szCs w:val="21"/>
                <w:lang w:val="en-US" w:eastAsia="zh-CN" w:bidi="ar-SA"/>
              </w:rPr>
              <w:t>GB14554-93</w:t>
            </w:r>
            <w:r>
              <w:rPr>
                <w:rFonts w:hint="eastAsia" w:ascii="Times New Roman" w:hAnsi="Times New Roman" w:eastAsia="宋体" w:cs="Times New Roman"/>
                <w:sz w:val="21"/>
                <w:szCs w:val="21"/>
                <w:lang w:val="en-US" w:eastAsia="zh-CN" w:bidi="ar-SA"/>
              </w:rPr>
              <w:t>）</w:t>
            </w:r>
          </w:p>
        </w:tc>
        <w:tc>
          <w:tcPr>
            <w:tcW w:w="846" w:type="pct"/>
            <w:vMerge w:val="restart"/>
            <w:tcBorders>
              <w:top w:val="single" w:color="000000" w:sz="4" w:space="0"/>
              <w:left w:val="single" w:color="000000" w:sz="4" w:space="0"/>
              <w:bottom w:val="single" w:color="000000" w:sz="4" w:space="0"/>
              <w:right w:val="single" w:color="000000" w:sz="4" w:space="0"/>
            </w:tcBorders>
            <w:vAlign w:val="center"/>
          </w:tcPr>
          <w:p w14:paraId="4777AC8F">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lang w:val="en-US" w:eastAsia="zh-CN" w:bidi="ar-SA"/>
              </w:rPr>
            </w:pPr>
            <w:r>
              <w:rPr>
                <w:rFonts w:hint="eastAsia" w:ascii="Times New Roman" w:hAnsi="Times New Roman" w:eastAsia="宋体" w:cs="Times New Roman"/>
                <w:sz w:val="21"/>
                <w:szCs w:val="21"/>
                <w:lang w:val="en-US" w:eastAsia="zh-CN" w:bidi="ar-SA"/>
              </w:rPr>
              <w:t>表</w:t>
            </w:r>
            <w:r>
              <w:rPr>
                <w:rFonts w:ascii="Times New Roman" w:hAnsi="Times New Roman" w:eastAsia="宋体" w:cs="Times New Roman"/>
                <w:sz w:val="21"/>
                <w:szCs w:val="21"/>
                <w:lang w:val="en-US" w:eastAsia="zh-CN" w:bidi="ar-SA"/>
              </w:rPr>
              <w:t>2</w:t>
            </w:r>
          </w:p>
        </w:tc>
        <w:tc>
          <w:tcPr>
            <w:tcW w:w="940" w:type="pct"/>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14:paraId="0388068E">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lang w:val="en-US" w:eastAsia="zh-CN" w:bidi="ar-SA"/>
              </w:rPr>
            </w:pPr>
            <w:r>
              <w:rPr>
                <w:rFonts w:hint="eastAsia" w:ascii="Times New Roman" w:hAnsi="Times New Roman" w:eastAsia="宋体" w:cs="Times New Roman"/>
                <w:bCs/>
                <w:sz w:val="21"/>
                <w:szCs w:val="21"/>
                <w:lang w:val="en-US" w:eastAsia="zh-CN" w:bidi="ar-SA"/>
              </w:rPr>
              <w:t>硫化氢</w:t>
            </w:r>
          </w:p>
        </w:tc>
        <w:tc>
          <w:tcPr>
            <w:tcW w:w="1417" w:type="pct"/>
            <w:tcBorders>
              <w:top w:val="single" w:color="000000" w:sz="4" w:space="0"/>
              <w:left w:val="single" w:color="000000" w:sz="4" w:space="0"/>
              <w:bottom w:val="single" w:color="000000" w:sz="4" w:space="0"/>
              <w:right w:val="single" w:color="000000" w:sz="8" w:space="0"/>
            </w:tcBorders>
            <w:tcMar>
              <w:top w:w="0" w:type="dxa"/>
              <w:left w:w="28" w:type="dxa"/>
              <w:bottom w:w="0" w:type="dxa"/>
              <w:right w:w="28" w:type="dxa"/>
            </w:tcMar>
            <w:vAlign w:val="center"/>
          </w:tcPr>
          <w:p w14:paraId="406ACC13">
            <w:pPr>
              <w:widowControl w:val="0"/>
              <w:adjustRightInd/>
              <w:snapToGrid/>
              <w:spacing w:line="240" w:lineRule="auto"/>
              <w:ind w:firstLine="0" w:firstLineChars="0"/>
              <w:contextualSpacing/>
              <w:jc w:val="center"/>
              <w:textAlignment w:val="baseline"/>
              <w:rPr>
                <w:rFonts w:ascii="Times New Roman" w:hAnsi="Times New Roman" w:eastAsia="宋体" w:cs="Times New Roman"/>
                <w:bCs/>
                <w:sz w:val="21"/>
                <w:szCs w:val="21"/>
                <w:lang w:val="en-US" w:eastAsia="zh-CN" w:bidi="ar-SA"/>
              </w:rPr>
            </w:pPr>
            <w:r>
              <w:rPr>
                <w:rFonts w:ascii="Times New Roman" w:hAnsi="Times New Roman" w:eastAsia="宋体" w:cs="Times New Roman"/>
                <w:bCs/>
                <w:sz w:val="21"/>
                <w:szCs w:val="21"/>
                <w:lang w:val="en-US" w:eastAsia="zh-CN" w:bidi="ar-SA"/>
              </w:rPr>
              <w:t>0.33kg/h(15m</w:t>
            </w:r>
            <w:r>
              <w:rPr>
                <w:rFonts w:hint="eastAsia" w:ascii="Times New Roman" w:hAnsi="Times New Roman" w:eastAsia="宋体" w:cs="Times New Roman"/>
                <w:bCs/>
                <w:sz w:val="21"/>
                <w:szCs w:val="21"/>
                <w:lang w:val="en-US" w:eastAsia="zh-CN" w:bidi="ar-SA"/>
              </w:rPr>
              <w:t>排气筒</w:t>
            </w:r>
            <w:r>
              <w:rPr>
                <w:rFonts w:ascii="Times New Roman" w:hAnsi="Times New Roman" w:eastAsia="宋体" w:cs="Times New Roman"/>
                <w:bCs/>
                <w:sz w:val="21"/>
                <w:szCs w:val="21"/>
                <w:lang w:val="en-US" w:eastAsia="zh-CN" w:bidi="ar-SA"/>
              </w:rPr>
              <w:t>)</w:t>
            </w:r>
          </w:p>
          <w:p w14:paraId="0CBCECEC">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lang w:val="en-US" w:eastAsia="zh-CN" w:bidi="ar-SA"/>
              </w:rPr>
            </w:pPr>
            <w:r>
              <w:rPr>
                <w:rFonts w:hint="eastAsia" w:ascii="Times New Roman" w:hAnsi="Times New Roman" w:eastAsia="宋体" w:cs="Times New Roman"/>
                <w:bCs/>
                <w:sz w:val="21"/>
                <w:szCs w:val="21"/>
                <w:lang w:val="en-US" w:eastAsia="zh-CN" w:bidi="ar-SA"/>
              </w:rPr>
              <w:t>厂界</w:t>
            </w:r>
            <w:r>
              <w:rPr>
                <w:rFonts w:ascii="Times New Roman" w:hAnsi="Times New Roman" w:eastAsia="宋体" w:cs="Times New Roman"/>
                <w:bCs/>
                <w:sz w:val="21"/>
                <w:szCs w:val="21"/>
                <w:lang w:val="en-US" w:eastAsia="zh-CN" w:bidi="ar-SA"/>
              </w:rPr>
              <w:t>0.06</w:t>
            </w:r>
            <w:r>
              <w:rPr>
                <w:rFonts w:ascii="Times New Roman" w:hAnsi="Times New Roman" w:eastAsia="宋体" w:cs="Times New Roman"/>
                <w:sz w:val="21"/>
                <w:szCs w:val="21"/>
                <w:lang w:val="en-US" w:eastAsia="zh-CN" w:bidi="ar-SA"/>
              </w:rPr>
              <w:t>mg/m</w:t>
            </w:r>
            <w:r>
              <w:rPr>
                <w:rFonts w:ascii="Times New Roman" w:hAnsi="Times New Roman" w:eastAsia="宋体" w:cs="Times New Roman"/>
                <w:sz w:val="21"/>
                <w:szCs w:val="21"/>
                <w:vertAlign w:val="superscript"/>
                <w:lang w:val="en-US" w:eastAsia="zh-CN" w:bidi="ar-SA"/>
              </w:rPr>
              <w:t>3</w:t>
            </w:r>
          </w:p>
        </w:tc>
      </w:tr>
      <w:tr w14:paraId="77CF6C5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410" w:type="pct"/>
            <w:vMerge w:val="continue"/>
            <w:tcBorders>
              <w:top w:val="single" w:color="000000" w:sz="4" w:space="0"/>
              <w:left w:val="single" w:color="000000" w:sz="8" w:space="0"/>
              <w:bottom w:val="single" w:color="000000" w:sz="4" w:space="0"/>
              <w:right w:val="single" w:color="000000" w:sz="4" w:space="0"/>
            </w:tcBorders>
            <w:vAlign w:val="center"/>
          </w:tcPr>
          <w:p w14:paraId="6F837357">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lang w:val="en-US" w:eastAsia="zh-CN" w:bidi="ar-SA"/>
              </w:rPr>
            </w:pPr>
          </w:p>
        </w:tc>
        <w:tc>
          <w:tcPr>
            <w:tcW w:w="1386" w:type="pct"/>
            <w:vMerge w:val="continue"/>
            <w:tcBorders>
              <w:top w:val="single" w:color="000000" w:sz="4" w:space="0"/>
              <w:left w:val="single" w:color="000000" w:sz="4" w:space="0"/>
              <w:bottom w:val="single" w:color="000000" w:sz="4" w:space="0"/>
              <w:right w:val="single" w:color="000000" w:sz="4" w:space="0"/>
            </w:tcBorders>
            <w:vAlign w:val="center"/>
          </w:tcPr>
          <w:p w14:paraId="3A4C8B51">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highlight w:val="yellow"/>
                <w:lang w:val="en-US" w:eastAsia="zh-CN" w:bidi="ar-SA"/>
              </w:rPr>
            </w:pPr>
          </w:p>
        </w:tc>
        <w:tc>
          <w:tcPr>
            <w:tcW w:w="846" w:type="pct"/>
            <w:vMerge w:val="continue"/>
            <w:tcBorders>
              <w:top w:val="single" w:color="000000" w:sz="4" w:space="0"/>
              <w:left w:val="single" w:color="000000" w:sz="4" w:space="0"/>
              <w:bottom w:val="single" w:color="000000" w:sz="4" w:space="0"/>
              <w:right w:val="single" w:color="000000" w:sz="4" w:space="0"/>
            </w:tcBorders>
            <w:vAlign w:val="center"/>
          </w:tcPr>
          <w:p w14:paraId="1D6947E7">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lang w:val="en-US" w:eastAsia="zh-CN" w:bidi="ar-SA"/>
              </w:rPr>
            </w:pPr>
          </w:p>
        </w:tc>
        <w:tc>
          <w:tcPr>
            <w:tcW w:w="940" w:type="pct"/>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14:paraId="6F211262">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lang w:val="en-US" w:eastAsia="zh-CN" w:bidi="ar-SA"/>
              </w:rPr>
            </w:pPr>
            <w:r>
              <w:rPr>
                <w:rFonts w:hint="eastAsia" w:ascii="Times New Roman" w:hAnsi="Times New Roman" w:eastAsia="宋体" w:cs="Times New Roman"/>
                <w:bCs/>
                <w:sz w:val="21"/>
                <w:szCs w:val="21"/>
                <w:lang w:val="en-US" w:eastAsia="zh-CN" w:bidi="ar-SA"/>
              </w:rPr>
              <w:t>氨</w:t>
            </w:r>
          </w:p>
        </w:tc>
        <w:tc>
          <w:tcPr>
            <w:tcW w:w="1417" w:type="pct"/>
            <w:tcBorders>
              <w:top w:val="single" w:color="000000" w:sz="4" w:space="0"/>
              <w:left w:val="single" w:color="000000" w:sz="4" w:space="0"/>
              <w:bottom w:val="single" w:color="000000" w:sz="4" w:space="0"/>
              <w:right w:val="single" w:color="000000" w:sz="8" w:space="0"/>
            </w:tcBorders>
            <w:tcMar>
              <w:top w:w="0" w:type="dxa"/>
              <w:left w:w="28" w:type="dxa"/>
              <w:bottom w:w="0" w:type="dxa"/>
              <w:right w:w="28" w:type="dxa"/>
            </w:tcMar>
            <w:vAlign w:val="center"/>
          </w:tcPr>
          <w:p w14:paraId="7280044E">
            <w:pPr>
              <w:widowControl w:val="0"/>
              <w:adjustRightInd/>
              <w:snapToGrid/>
              <w:spacing w:line="240" w:lineRule="auto"/>
              <w:ind w:firstLine="0" w:firstLineChars="0"/>
              <w:contextualSpacing/>
              <w:jc w:val="center"/>
              <w:textAlignment w:val="baseline"/>
              <w:rPr>
                <w:rFonts w:ascii="Times New Roman" w:hAnsi="Times New Roman" w:eastAsia="宋体" w:cs="Times New Roman"/>
                <w:bCs/>
                <w:sz w:val="21"/>
                <w:szCs w:val="21"/>
                <w:lang w:val="en-US" w:eastAsia="zh-CN" w:bidi="ar-SA"/>
              </w:rPr>
            </w:pPr>
            <w:r>
              <w:rPr>
                <w:rFonts w:ascii="Times New Roman" w:hAnsi="Times New Roman" w:eastAsia="宋体" w:cs="Times New Roman"/>
                <w:bCs/>
                <w:sz w:val="21"/>
                <w:szCs w:val="21"/>
                <w:lang w:val="en-US" w:eastAsia="zh-CN" w:bidi="ar-SA"/>
              </w:rPr>
              <w:t>4.9kg/h(15m</w:t>
            </w:r>
            <w:r>
              <w:rPr>
                <w:rFonts w:hint="eastAsia" w:ascii="Times New Roman" w:hAnsi="Times New Roman" w:eastAsia="宋体" w:cs="Times New Roman"/>
                <w:bCs/>
                <w:sz w:val="21"/>
                <w:szCs w:val="21"/>
                <w:lang w:val="en-US" w:eastAsia="zh-CN" w:bidi="ar-SA"/>
              </w:rPr>
              <w:t>排气筒</w:t>
            </w:r>
            <w:r>
              <w:rPr>
                <w:rFonts w:ascii="Times New Roman" w:hAnsi="Times New Roman" w:eastAsia="宋体" w:cs="Times New Roman"/>
                <w:bCs/>
                <w:sz w:val="21"/>
                <w:szCs w:val="21"/>
                <w:lang w:val="en-US" w:eastAsia="zh-CN" w:bidi="ar-SA"/>
              </w:rPr>
              <w:t>)</w:t>
            </w:r>
          </w:p>
          <w:p w14:paraId="5304EC16">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lang w:val="en-US" w:eastAsia="zh-CN" w:bidi="ar-SA"/>
              </w:rPr>
            </w:pPr>
            <w:r>
              <w:rPr>
                <w:rFonts w:hint="eastAsia" w:ascii="Times New Roman" w:hAnsi="Times New Roman" w:eastAsia="宋体" w:cs="Times New Roman"/>
                <w:bCs/>
                <w:sz w:val="21"/>
                <w:szCs w:val="21"/>
                <w:lang w:val="en-US" w:eastAsia="zh-CN" w:bidi="ar-SA"/>
              </w:rPr>
              <w:t>厂界</w:t>
            </w:r>
            <w:r>
              <w:rPr>
                <w:rFonts w:ascii="Times New Roman" w:hAnsi="Times New Roman" w:eastAsia="宋体" w:cs="Times New Roman"/>
                <w:bCs/>
                <w:sz w:val="21"/>
                <w:szCs w:val="21"/>
                <w:lang w:val="en-US" w:eastAsia="zh-CN" w:bidi="ar-SA"/>
              </w:rPr>
              <w:t>1.5</w:t>
            </w:r>
            <w:r>
              <w:rPr>
                <w:rFonts w:ascii="Times New Roman" w:hAnsi="Times New Roman" w:eastAsia="宋体" w:cs="Times New Roman"/>
                <w:sz w:val="21"/>
                <w:szCs w:val="21"/>
                <w:lang w:val="en-US" w:eastAsia="zh-CN" w:bidi="ar-SA"/>
              </w:rPr>
              <w:t>mg/m</w:t>
            </w:r>
            <w:r>
              <w:rPr>
                <w:rFonts w:ascii="Times New Roman" w:hAnsi="Times New Roman" w:eastAsia="宋体" w:cs="Times New Roman"/>
                <w:sz w:val="21"/>
                <w:szCs w:val="21"/>
                <w:vertAlign w:val="superscript"/>
                <w:lang w:val="en-US" w:eastAsia="zh-CN" w:bidi="ar-SA"/>
              </w:rPr>
              <w:t>3</w:t>
            </w:r>
          </w:p>
        </w:tc>
      </w:tr>
      <w:tr w14:paraId="33E45DE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410" w:type="pct"/>
            <w:vMerge w:val="continue"/>
            <w:tcBorders>
              <w:top w:val="single" w:color="000000" w:sz="4" w:space="0"/>
              <w:left w:val="single" w:color="000000" w:sz="8" w:space="0"/>
              <w:bottom w:val="single" w:color="000000" w:sz="4" w:space="0"/>
              <w:right w:val="single" w:color="000000" w:sz="4" w:space="0"/>
            </w:tcBorders>
            <w:vAlign w:val="center"/>
          </w:tcPr>
          <w:p w14:paraId="64EB8775">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lang w:val="en-US" w:eastAsia="zh-CN" w:bidi="ar-SA"/>
              </w:rPr>
            </w:pPr>
          </w:p>
        </w:tc>
        <w:tc>
          <w:tcPr>
            <w:tcW w:w="1386" w:type="pct"/>
            <w:vMerge w:val="continue"/>
            <w:tcBorders>
              <w:top w:val="single" w:color="000000" w:sz="4" w:space="0"/>
              <w:left w:val="single" w:color="000000" w:sz="4" w:space="0"/>
              <w:bottom w:val="single" w:color="000000" w:sz="4" w:space="0"/>
              <w:right w:val="single" w:color="000000" w:sz="4" w:space="0"/>
            </w:tcBorders>
            <w:vAlign w:val="center"/>
          </w:tcPr>
          <w:p w14:paraId="7EDD8EEB">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highlight w:val="yellow"/>
                <w:lang w:val="en-US" w:eastAsia="zh-CN" w:bidi="ar-SA"/>
              </w:rPr>
            </w:pPr>
          </w:p>
        </w:tc>
        <w:tc>
          <w:tcPr>
            <w:tcW w:w="846" w:type="pct"/>
            <w:vMerge w:val="continue"/>
            <w:tcBorders>
              <w:top w:val="single" w:color="000000" w:sz="4" w:space="0"/>
              <w:left w:val="single" w:color="000000" w:sz="4" w:space="0"/>
              <w:bottom w:val="single" w:color="000000" w:sz="4" w:space="0"/>
              <w:right w:val="single" w:color="000000" w:sz="4" w:space="0"/>
            </w:tcBorders>
            <w:vAlign w:val="center"/>
          </w:tcPr>
          <w:p w14:paraId="3431ED80">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lang w:val="en-US" w:eastAsia="zh-CN" w:bidi="ar-SA"/>
              </w:rPr>
            </w:pPr>
          </w:p>
        </w:tc>
        <w:tc>
          <w:tcPr>
            <w:tcW w:w="940" w:type="pct"/>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14:paraId="2F47977C">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lang w:val="en-US" w:eastAsia="zh-CN" w:bidi="ar-SA"/>
              </w:rPr>
            </w:pPr>
            <w:r>
              <w:rPr>
                <w:rFonts w:hint="eastAsia" w:ascii="Times New Roman" w:hAnsi="Times New Roman" w:eastAsia="宋体" w:cs="Times New Roman"/>
                <w:bCs/>
                <w:sz w:val="21"/>
                <w:szCs w:val="21"/>
                <w:lang w:val="en-US" w:eastAsia="zh-CN" w:bidi="ar-SA"/>
              </w:rPr>
              <w:t>臭气浓度</w:t>
            </w:r>
          </w:p>
        </w:tc>
        <w:tc>
          <w:tcPr>
            <w:tcW w:w="1417" w:type="pct"/>
            <w:tcBorders>
              <w:top w:val="single" w:color="000000" w:sz="4" w:space="0"/>
              <w:left w:val="single" w:color="000000" w:sz="4" w:space="0"/>
              <w:bottom w:val="single" w:color="000000" w:sz="4" w:space="0"/>
              <w:right w:val="single" w:color="000000" w:sz="8" w:space="0"/>
            </w:tcBorders>
            <w:tcMar>
              <w:top w:w="0" w:type="dxa"/>
              <w:left w:w="28" w:type="dxa"/>
              <w:bottom w:w="0" w:type="dxa"/>
              <w:right w:w="28" w:type="dxa"/>
            </w:tcMar>
            <w:vAlign w:val="center"/>
          </w:tcPr>
          <w:p w14:paraId="64EF8065">
            <w:pPr>
              <w:widowControl w:val="0"/>
              <w:adjustRightInd/>
              <w:snapToGrid/>
              <w:spacing w:line="240" w:lineRule="auto"/>
              <w:ind w:firstLine="0" w:firstLineChars="0"/>
              <w:contextualSpacing/>
              <w:jc w:val="center"/>
              <w:textAlignment w:val="baseline"/>
              <w:rPr>
                <w:rFonts w:ascii="Times New Roman" w:hAnsi="Times New Roman" w:eastAsia="宋体" w:cs="Times New Roman"/>
                <w:bCs/>
                <w:sz w:val="21"/>
                <w:szCs w:val="21"/>
                <w:lang w:val="en-US" w:eastAsia="zh-CN" w:bidi="ar-SA"/>
              </w:rPr>
            </w:pPr>
            <w:r>
              <w:rPr>
                <w:rFonts w:ascii="Times New Roman" w:hAnsi="Times New Roman" w:eastAsia="宋体" w:cs="Times New Roman"/>
                <w:bCs/>
                <w:sz w:val="21"/>
                <w:szCs w:val="21"/>
                <w:lang w:val="en-US" w:eastAsia="zh-CN" w:bidi="ar-SA"/>
              </w:rPr>
              <w:t>2000(</w:t>
            </w:r>
            <w:r>
              <w:rPr>
                <w:rFonts w:hint="eastAsia" w:ascii="Times New Roman" w:hAnsi="Times New Roman" w:eastAsia="宋体" w:cs="Times New Roman"/>
                <w:bCs/>
                <w:sz w:val="21"/>
                <w:szCs w:val="21"/>
                <w:lang w:val="en-US" w:eastAsia="zh-CN" w:bidi="ar-SA"/>
              </w:rPr>
              <w:t>无量纲</w:t>
            </w:r>
            <w:r>
              <w:rPr>
                <w:rFonts w:ascii="Times New Roman" w:hAnsi="Times New Roman" w:eastAsia="宋体" w:cs="Times New Roman"/>
                <w:bCs/>
                <w:sz w:val="21"/>
                <w:szCs w:val="21"/>
                <w:lang w:val="en-US" w:eastAsia="zh-CN" w:bidi="ar-SA"/>
              </w:rPr>
              <w:t>)</w:t>
            </w:r>
          </w:p>
          <w:p w14:paraId="057DA272">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lang w:val="en-US" w:eastAsia="zh-CN" w:bidi="ar-SA"/>
              </w:rPr>
            </w:pPr>
            <w:r>
              <w:rPr>
                <w:rFonts w:hint="eastAsia" w:ascii="Times New Roman" w:hAnsi="Times New Roman" w:eastAsia="宋体" w:cs="Times New Roman"/>
                <w:bCs/>
                <w:sz w:val="21"/>
                <w:szCs w:val="21"/>
                <w:lang w:val="en-US" w:eastAsia="zh-CN" w:bidi="ar-SA"/>
              </w:rPr>
              <w:t>厂界</w:t>
            </w:r>
            <w:r>
              <w:rPr>
                <w:rFonts w:ascii="Times New Roman" w:hAnsi="Times New Roman" w:eastAsia="宋体" w:cs="Times New Roman"/>
                <w:bCs/>
                <w:sz w:val="21"/>
                <w:szCs w:val="21"/>
                <w:lang w:val="en-US" w:eastAsia="zh-CN" w:bidi="ar-SA"/>
              </w:rPr>
              <w:t>10(</w:t>
            </w:r>
            <w:r>
              <w:rPr>
                <w:rFonts w:hint="eastAsia" w:ascii="Times New Roman" w:hAnsi="Times New Roman" w:eastAsia="宋体" w:cs="Times New Roman"/>
                <w:bCs/>
                <w:sz w:val="21"/>
                <w:szCs w:val="21"/>
                <w:lang w:val="en-US" w:eastAsia="zh-CN" w:bidi="ar-SA"/>
              </w:rPr>
              <w:t>无量纲</w:t>
            </w:r>
            <w:r>
              <w:rPr>
                <w:rFonts w:ascii="Times New Roman" w:hAnsi="Times New Roman" w:eastAsia="宋体" w:cs="Times New Roman"/>
                <w:bCs/>
                <w:sz w:val="21"/>
                <w:szCs w:val="21"/>
                <w:lang w:val="en-US" w:eastAsia="zh-CN" w:bidi="ar-SA"/>
              </w:rPr>
              <w:t>)</w:t>
            </w:r>
          </w:p>
        </w:tc>
      </w:tr>
      <w:tr w14:paraId="27BE87E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410" w:type="pct"/>
            <w:vMerge w:val="restart"/>
            <w:tcBorders>
              <w:top w:val="single" w:color="000000" w:sz="4" w:space="0"/>
              <w:left w:val="single" w:color="000000" w:sz="8" w:space="0"/>
              <w:bottom w:val="single" w:color="000000" w:sz="4" w:space="0"/>
              <w:right w:val="single" w:color="000000" w:sz="4" w:space="0"/>
            </w:tcBorders>
            <w:vAlign w:val="center"/>
          </w:tcPr>
          <w:p w14:paraId="216F601A">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highlight w:val="yellow"/>
                <w:lang w:val="en-US" w:eastAsia="zh-CN" w:bidi="ar-SA"/>
              </w:rPr>
            </w:pPr>
            <w:r>
              <w:rPr>
                <w:rFonts w:hint="eastAsia" w:ascii="Times New Roman" w:hAnsi="Times New Roman" w:eastAsia="宋体" w:cs="Times New Roman"/>
                <w:sz w:val="21"/>
                <w:szCs w:val="21"/>
                <w:lang w:val="en-US" w:eastAsia="zh-CN" w:bidi="ar-SA"/>
              </w:rPr>
              <w:t>废水</w:t>
            </w:r>
          </w:p>
        </w:tc>
        <w:tc>
          <w:tcPr>
            <w:tcW w:w="1386" w:type="pct"/>
            <w:vMerge w:val="restart"/>
            <w:tcBorders>
              <w:top w:val="single" w:color="000000" w:sz="4" w:space="0"/>
              <w:left w:val="single" w:color="000000" w:sz="4" w:space="0"/>
              <w:bottom w:val="single" w:color="000000" w:sz="4" w:space="0"/>
              <w:right w:val="single" w:color="000000" w:sz="4" w:space="0"/>
            </w:tcBorders>
            <w:vAlign w:val="center"/>
          </w:tcPr>
          <w:p w14:paraId="781A06F5">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highlight w:val="yellow"/>
                <w:lang w:val="en-US" w:eastAsia="zh-CN" w:bidi="ar-SA"/>
              </w:rPr>
            </w:pPr>
            <w:r>
              <w:rPr>
                <w:rFonts w:hint="eastAsia" w:ascii="Times New Roman" w:hAnsi="Times New Roman" w:eastAsia="宋体" w:cs="Times New Roman"/>
                <w:sz w:val="21"/>
                <w:szCs w:val="21"/>
                <w:lang w:val="en-US" w:eastAsia="zh-CN" w:bidi="ar-SA"/>
              </w:rPr>
              <w:t>《电镀污染物排放标准》（</w:t>
            </w:r>
            <w:r>
              <w:rPr>
                <w:rFonts w:ascii="Times New Roman" w:hAnsi="Times New Roman" w:eastAsia="宋体" w:cs="Times New Roman"/>
                <w:sz w:val="21"/>
                <w:szCs w:val="21"/>
                <w:lang w:val="en-US" w:eastAsia="zh-CN" w:bidi="ar-SA"/>
              </w:rPr>
              <w:t>GB21900-2008</w:t>
            </w:r>
            <w:r>
              <w:rPr>
                <w:rFonts w:hint="eastAsia" w:ascii="Times New Roman" w:hAnsi="Times New Roman" w:eastAsia="宋体" w:cs="Times New Roman"/>
                <w:sz w:val="21"/>
                <w:szCs w:val="21"/>
                <w:lang w:val="en-US" w:eastAsia="zh-CN" w:bidi="ar-SA"/>
              </w:rPr>
              <w:t>）</w:t>
            </w:r>
          </w:p>
        </w:tc>
        <w:tc>
          <w:tcPr>
            <w:tcW w:w="846" w:type="pct"/>
            <w:vMerge w:val="restart"/>
            <w:tcBorders>
              <w:top w:val="single" w:color="000000" w:sz="4" w:space="0"/>
              <w:left w:val="single" w:color="000000" w:sz="4" w:space="0"/>
              <w:bottom w:val="single" w:color="000000" w:sz="4" w:space="0"/>
              <w:right w:val="single" w:color="000000" w:sz="4" w:space="0"/>
            </w:tcBorders>
            <w:vAlign w:val="center"/>
          </w:tcPr>
          <w:p w14:paraId="3B64FCE3">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highlight w:val="yellow"/>
                <w:lang w:val="en-US" w:eastAsia="zh-CN" w:bidi="ar-SA"/>
              </w:rPr>
            </w:pPr>
            <w:r>
              <w:rPr>
                <w:rFonts w:hint="eastAsia" w:ascii="Times New Roman" w:hAnsi="Times New Roman" w:eastAsia="宋体" w:cs="Times New Roman"/>
                <w:sz w:val="21"/>
                <w:szCs w:val="21"/>
                <w:lang w:val="en-US" w:eastAsia="zh-CN" w:bidi="ar-SA"/>
              </w:rPr>
              <w:t>表</w:t>
            </w:r>
            <w:r>
              <w:rPr>
                <w:rFonts w:ascii="Times New Roman" w:hAnsi="Times New Roman" w:eastAsia="宋体" w:cs="Times New Roman"/>
                <w:sz w:val="21"/>
                <w:szCs w:val="21"/>
                <w:lang w:val="en-US" w:eastAsia="zh-CN" w:bidi="ar-SA"/>
              </w:rPr>
              <w:t>2</w:t>
            </w:r>
          </w:p>
        </w:tc>
        <w:tc>
          <w:tcPr>
            <w:tcW w:w="940" w:type="pct"/>
            <w:tcBorders>
              <w:top w:val="single" w:color="000000" w:sz="4" w:space="0"/>
              <w:left w:val="single" w:color="000000" w:sz="4" w:space="0"/>
              <w:bottom w:val="single" w:color="000000" w:sz="4" w:space="0"/>
              <w:right w:val="single" w:color="000000" w:sz="4" w:space="0"/>
            </w:tcBorders>
            <w:vAlign w:val="center"/>
          </w:tcPr>
          <w:p w14:paraId="2B198BA5">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lang w:val="en-US" w:eastAsia="zh-CN" w:bidi="ar-SA"/>
              </w:rPr>
            </w:pPr>
            <w:r>
              <w:rPr>
                <w:rFonts w:hint="eastAsia" w:ascii="Times New Roman" w:hAnsi="Times New Roman" w:eastAsia="宋体" w:cs="Times New Roman"/>
                <w:sz w:val="21"/>
                <w:szCs w:val="21"/>
                <w:lang w:val="en-US" w:eastAsia="zh-CN" w:bidi="ar-SA"/>
              </w:rPr>
              <w:t>石油类</w:t>
            </w:r>
          </w:p>
        </w:tc>
        <w:tc>
          <w:tcPr>
            <w:tcW w:w="1417" w:type="pct"/>
            <w:tcBorders>
              <w:top w:val="single" w:color="000000" w:sz="4" w:space="0"/>
              <w:left w:val="single" w:color="000000" w:sz="4" w:space="0"/>
              <w:bottom w:val="single" w:color="000000" w:sz="4" w:space="0"/>
              <w:right w:val="single" w:color="000000" w:sz="8" w:space="0"/>
            </w:tcBorders>
            <w:vAlign w:val="center"/>
          </w:tcPr>
          <w:p w14:paraId="4C68C016">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lang w:val="en-US" w:eastAsia="zh-CN" w:bidi="ar-SA"/>
              </w:rPr>
            </w:pPr>
            <w:r>
              <w:rPr>
                <w:rFonts w:ascii="Times New Roman" w:hAnsi="Times New Roman" w:eastAsia="宋体" w:cs="Times New Roman"/>
                <w:sz w:val="21"/>
                <w:szCs w:val="21"/>
                <w:lang w:val="en-US" w:eastAsia="zh-CN" w:bidi="ar-SA"/>
              </w:rPr>
              <w:t>3.0mg/L</w:t>
            </w:r>
          </w:p>
        </w:tc>
      </w:tr>
      <w:tr w14:paraId="2A2D16B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410" w:type="pct"/>
            <w:vMerge w:val="continue"/>
            <w:tcBorders>
              <w:top w:val="single" w:color="000000" w:sz="4" w:space="0"/>
              <w:left w:val="single" w:color="000000" w:sz="8" w:space="0"/>
              <w:bottom w:val="single" w:color="000000" w:sz="4" w:space="0"/>
              <w:right w:val="single" w:color="000000" w:sz="4" w:space="0"/>
            </w:tcBorders>
            <w:vAlign w:val="center"/>
          </w:tcPr>
          <w:p w14:paraId="5E1304AF">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highlight w:val="yellow"/>
                <w:lang w:val="en-US" w:eastAsia="zh-CN" w:bidi="ar-SA"/>
              </w:rPr>
            </w:pPr>
          </w:p>
        </w:tc>
        <w:tc>
          <w:tcPr>
            <w:tcW w:w="1386" w:type="pct"/>
            <w:vMerge w:val="continue"/>
            <w:tcBorders>
              <w:top w:val="single" w:color="000000" w:sz="4" w:space="0"/>
              <w:left w:val="single" w:color="000000" w:sz="4" w:space="0"/>
              <w:bottom w:val="single" w:color="000000" w:sz="4" w:space="0"/>
              <w:right w:val="single" w:color="000000" w:sz="4" w:space="0"/>
            </w:tcBorders>
            <w:vAlign w:val="center"/>
          </w:tcPr>
          <w:p w14:paraId="23765F19">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highlight w:val="yellow"/>
                <w:lang w:val="en-US" w:eastAsia="zh-CN" w:bidi="ar-SA"/>
              </w:rPr>
            </w:pPr>
          </w:p>
        </w:tc>
        <w:tc>
          <w:tcPr>
            <w:tcW w:w="846" w:type="pct"/>
            <w:vMerge w:val="continue"/>
            <w:tcBorders>
              <w:top w:val="single" w:color="000000" w:sz="4" w:space="0"/>
              <w:left w:val="single" w:color="000000" w:sz="4" w:space="0"/>
              <w:bottom w:val="single" w:color="000000" w:sz="4" w:space="0"/>
              <w:right w:val="single" w:color="000000" w:sz="4" w:space="0"/>
            </w:tcBorders>
            <w:vAlign w:val="center"/>
          </w:tcPr>
          <w:p w14:paraId="75E1DA90">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highlight w:val="yellow"/>
                <w:lang w:val="en-US" w:eastAsia="zh-CN" w:bidi="ar-SA"/>
              </w:rPr>
            </w:pPr>
          </w:p>
        </w:tc>
        <w:tc>
          <w:tcPr>
            <w:tcW w:w="940" w:type="pct"/>
            <w:vMerge w:val="restart"/>
            <w:tcBorders>
              <w:top w:val="single" w:color="000000" w:sz="4" w:space="0"/>
              <w:left w:val="single" w:color="000000" w:sz="4" w:space="0"/>
              <w:bottom w:val="single" w:color="000000" w:sz="4" w:space="0"/>
              <w:right w:val="single" w:color="000000" w:sz="4" w:space="0"/>
            </w:tcBorders>
            <w:vAlign w:val="center"/>
          </w:tcPr>
          <w:p w14:paraId="2E9F89DB">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lang w:val="en-US" w:eastAsia="zh-CN" w:bidi="ar-SA"/>
              </w:rPr>
            </w:pPr>
            <w:r>
              <w:rPr>
                <w:rFonts w:hint="eastAsia" w:ascii="Times New Roman" w:hAnsi="Times New Roman" w:eastAsia="宋体" w:cs="Times New Roman"/>
                <w:sz w:val="21"/>
                <w:szCs w:val="21"/>
                <w:lang w:val="en-US" w:eastAsia="zh-CN" w:bidi="ar-SA"/>
              </w:rPr>
              <w:t>单位产品基准排水量，</w:t>
            </w:r>
            <w:r>
              <w:rPr>
                <w:rFonts w:ascii="Times New Roman" w:hAnsi="Times New Roman" w:eastAsia="宋体" w:cs="Times New Roman"/>
                <w:sz w:val="21"/>
                <w:szCs w:val="21"/>
                <w:lang w:val="en-US" w:eastAsia="zh-CN" w:bidi="ar-SA"/>
              </w:rPr>
              <w:t>L/m</w:t>
            </w:r>
            <w:r>
              <w:rPr>
                <w:rFonts w:ascii="Times New Roman" w:hAnsi="Times New Roman" w:eastAsia="宋体" w:cs="Times New Roman"/>
                <w:sz w:val="21"/>
                <w:szCs w:val="21"/>
                <w:vertAlign w:val="superscript"/>
                <w:lang w:val="en-US" w:eastAsia="zh-CN" w:bidi="ar-SA"/>
              </w:rPr>
              <w:t>2</w:t>
            </w:r>
            <w:r>
              <w:rPr>
                <w:rFonts w:hint="eastAsia" w:ascii="Times New Roman" w:hAnsi="Times New Roman" w:eastAsia="宋体" w:cs="Times New Roman"/>
                <w:sz w:val="21"/>
                <w:szCs w:val="21"/>
                <w:lang w:val="en-US" w:eastAsia="zh-CN" w:bidi="ar-SA"/>
              </w:rPr>
              <w:t>（镀件镀层）</w:t>
            </w:r>
          </w:p>
        </w:tc>
        <w:tc>
          <w:tcPr>
            <w:tcW w:w="1417" w:type="pct"/>
            <w:tcBorders>
              <w:top w:val="single" w:color="000000" w:sz="4" w:space="0"/>
              <w:left w:val="single" w:color="000000" w:sz="4" w:space="0"/>
              <w:bottom w:val="single" w:color="000000" w:sz="4" w:space="0"/>
              <w:right w:val="single" w:color="000000" w:sz="8" w:space="0"/>
            </w:tcBorders>
            <w:vAlign w:val="center"/>
          </w:tcPr>
          <w:p w14:paraId="28C501BE">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lang w:val="en-US" w:eastAsia="zh-CN" w:bidi="ar-SA"/>
              </w:rPr>
            </w:pPr>
            <w:r>
              <w:rPr>
                <w:rFonts w:hint="eastAsia" w:ascii="Times New Roman" w:hAnsi="Times New Roman" w:eastAsia="宋体" w:cs="Times New Roman"/>
                <w:sz w:val="21"/>
                <w:szCs w:val="21"/>
                <w:lang w:val="en-US" w:eastAsia="zh-CN" w:bidi="ar-SA"/>
              </w:rPr>
              <w:t>单层镀</w:t>
            </w:r>
            <w:r>
              <w:rPr>
                <w:rFonts w:ascii="Times New Roman" w:hAnsi="Times New Roman" w:eastAsia="宋体" w:cs="Times New Roman"/>
                <w:sz w:val="21"/>
                <w:szCs w:val="21"/>
                <w:lang w:val="en-US" w:eastAsia="zh-CN" w:bidi="ar-SA"/>
              </w:rPr>
              <w:t>200</w:t>
            </w:r>
          </w:p>
        </w:tc>
      </w:tr>
      <w:tr w14:paraId="10CE6C7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410" w:type="pct"/>
            <w:vMerge w:val="continue"/>
            <w:tcBorders>
              <w:top w:val="single" w:color="000000" w:sz="4" w:space="0"/>
              <w:left w:val="single" w:color="000000" w:sz="8" w:space="0"/>
              <w:bottom w:val="single" w:color="000000" w:sz="4" w:space="0"/>
              <w:right w:val="single" w:color="000000" w:sz="4" w:space="0"/>
            </w:tcBorders>
            <w:vAlign w:val="center"/>
          </w:tcPr>
          <w:p w14:paraId="47E26E57">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highlight w:val="yellow"/>
                <w:lang w:val="en-US" w:eastAsia="zh-CN" w:bidi="ar-SA"/>
              </w:rPr>
            </w:pPr>
          </w:p>
        </w:tc>
        <w:tc>
          <w:tcPr>
            <w:tcW w:w="1386" w:type="pct"/>
            <w:vMerge w:val="continue"/>
            <w:tcBorders>
              <w:top w:val="single" w:color="000000" w:sz="4" w:space="0"/>
              <w:left w:val="single" w:color="000000" w:sz="4" w:space="0"/>
              <w:bottom w:val="single" w:color="000000" w:sz="4" w:space="0"/>
              <w:right w:val="single" w:color="000000" w:sz="4" w:space="0"/>
            </w:tcBorders>
            <w:vAlign w:val="center"/>
          </w:tcPr>
          <w:p w14:paraId="0E610F61">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highlight w:val="yellow"/>
                <w:lang w:val="en-US" w:eastAsia="zh-CN" w:bidi="ar-SA"/>
              </w:rPr>
            </w:pPr>
          </w:p>
        </w:tc>
        <w:tc>
          <w:tcPr>
            <w:tcW w:w="846" w:type="pct"/>
            <w:vMerge w:val="continue"/>
            <w:tcBorders>
              <w:top w:val="single" w:color="000000" w:sz="4" w:space="0"/>
              <w:left w:val="single" w:color="000000" w:sz="4" w:space="0"/>
              <w:bottom w:val="single" w:color="000000" w:sz="4" w:space="0"/>
              <w:right w:val="single" w:color="000000" w:sz="4" w:space="0"/>
            </w:tcBorders>
            <w:vAlign w:val="center"/>
          </w:tcPr>
          <w:p w14:paraId="0FEBAA38">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highlight w:val="yellow"/>
                <w:lang w:val="en-US" w:eastAsia="zh-CN" w:bidi="ar-SA"/>
              </w:rPr>
            </w:pPr>
          </w:p>
        </w:tc>
        <w:tc>
          <w:tcPr>
            <w:tcW w:w="940" w:type="pct"/>
            <w:vMerge w:val="continue"/>
            <w:tcBorders>
              <w:top w:val="single" w:color="000000" w:sz="4" w:space="0"/>
              <w:left w:val="single" w:color="000000" w:sz="4" w:space="0"/>
              <w:bottom w:val="single" w:color="000000" w:sz="4" w:space="0"/>
              <w:right w:val="single" w:color="000000" w:sz="4" w:space="0"/>
            </w:tcBorders>
            <w:vAlign w:val="center"/>
          </w:tcPr>
          <w:p w14:paraId="38D1D92D">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lang w:val="en-US" w:eastAsia="zh-CN" w:bidi="ar-SA"/>
              </w:rPr>
            </w:pPr>
          </w:p>
        </w:tc>
        <w:tc>
          <w:tcPr>
            <w:tcW w:w="1417" w:type="pct"/>
            <w:tcBorders>
              <w:top w:val="single" w:color="000000" w:sz="4" w:space="0"/>
              <w:left w:val="single" w:color="000000" w:sz="4" w:space="0"/>
              <w:bottom w:val="single" w:color="000000" w:sz="4" w:space="0"/>
              <w:right w:val="single" w:color="000000" w:sz="8" w:space="0"/>
            </w:tcBorders>
            <w:vAlign w:val="center"/>
          </w:tcPr>
          <w:p w14:paraId="0D500252">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highlight w:val="yellow"/>
                <w:lang w:val="en-US" w:eastAsia="zh-CN" w:bidi="ar-SA"/>
              </w:rPr>
            </w:pPr>
            <w:r>
              <w:rPr>
                <w:rFonts w:hint="eastAsia" w:ascii="Times New Roman" w:hAnsi="Times New Roman" w:eastAsia="宋体" w:cs="Times New Roman"/>
                <w:sz w:val="21"/>
                <w:szCs w:val="21"/>
                <w:lang w:val="en-US" w:eastAsia="zh-CN" w:bidi="ar-SA"/>
              </w:rPr>
              <w:t>多层镀</w:t>
            </w:r>
            <w:r>
              <w:rPr>
                <w:rFonts w:ascii="Times New Roman" w:hAnsi="Times New Roman" w:eastAsia="宋体" w:cs="Times New Roman"/>
                <w:sz w:val="21"/>
                <w:szCs w:val="21"/>
                <w:lang w:val="en-US" w:eastAsia="zh-CN" w:bidi="ar-SA"/>
              </w:rPr>
              <w:t>500</w:t>
            </w:r>
          </w:p>
        </w:tc>
      </w:tr>
      <w:tr w14:paraId="15B78DC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410" w:type="pct"/>
            <w:vMerge w:val="continue"/>
            <w:tcBorders>
              <w:top w:val="single" w:color="000000" w:sz="4" w:space="0"/>
              <w:left w:val="single" w:color="000000" w:sz="8" w:space="0"/>
              <w:bottom w:val="single" w:color="000000" w:sz="4" w:space="0"/>
              <w:right w:val="single" w:color="000000" w:sz="4" w:space="0"/>
            </w:tcBorders>
            <w:vAlign w:val="center"/>
          </w:tcPr>
          <w:p w14:paraId="38F5F2D0">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highlight w:val="yellow"/>
                <w:lang w:val="en-US" w:eastAsia="zh-CN" w:bidi="ar-SA"/>
              </w:rPr>
            </w:pPr>
          </w:p>
        </w:tc>
        <w:tc>
          <w:tcPr>
            <w:tcW w:w="1386" w:type="pct"/>
            <w:vMerge w:val="restart"/>
            <w:tcBorders>
              <w:top w:val="single" w:color="000000" w:sz="4" w:space="0"/>
              <w:left w:val="single" w:color="000000" w:sz="4" w:space="0"/>
              <w:bottom w:val="single" w:color="000000" w:sz="4" w:space="0"/>
              <w:right w:val="single" w:color="000000" w:sz="4" w:space="0"/>
            </w:tcBorders>
            <w:vAlign w:val="center"/>
          </w:tcPr>
          <w:p w14:paraId="1534BB62">
            <w:pPr>
              <w:widowControl w:val="0"/>
              <w:adjustRightInd/>
              <w:snapToGrid/>
              <w:spacing w:line="240" w:lineRule="auto"/>
              <w:ind w:firstLine="0" w:firstLineChars="0"/>
              <w:contextualSpacing/>
              <w:jc w:val="center"/>
              <w:textAlignment w:val="baseline"/>
              <w:rPr>
                <w:rFonts w:ascii="Times New Roman" w:hAnsi="Times New Roman" w:eastAsia="宋体" w:cs="Times New Roman"/>
                <w:bCs/>
                <w:sz w:val="21"/>
                <w:szCs w:val="21"/>
                <w:lang w:val="en-US" w:eastAsia="zh-CN" w:bidi="ar-SA"/>
              </w:rPr>
            </w:pPr>
            <w:r>
              <w:rPr>
                <w:rFonts w:hint="eastAsia" w:ascii="Times New Roman" w:hAnsi="Times New Roman" w:eastAsia="宋体" w:cs="Times New Roman"/>
                <w:bCs/>
                <w:sz w:val="21"/>
                <w:szCs w:val="21"/>
                <w:lang w:val="en-US" w:eastAsia="zh-CN" w:bidi="ar-SA"/>
              </w:rPr>
              <w:t>大块镇污水处理厂收水水质指标</w:t>
            </w:r>
          </w:p>
        </w:tc>
        <w:tc>
          <w:tcPr>
            <w:tcW w:w="846" w:type="pct"/>
            <w:vMerge w:val="restart"/>
            <w:tcBorders>
              <w:top w:val="single" w:color="000000" w:sz="4" w:space="0"/>
              <w:left w:val="single" w:color="000000" w:sz="4" w:space="0"/>
              <w:bottom w:val="single" w:color="000000" w:sz="4" w:space="0"/>
              <w:right w:val="single" w:color="000000" w:sz="4" w:space="0"/>
            </w:tcBorders>
            <w:vAlign w:val="center"/>
          </w:tcPr>
          <w:p w14:paraId="6FC1C306">
            <w:pPr>
              <w:widowControl w:val="0"/>
              <w:adjustRightInd/>
              <w:snapToGrid/>
              <w:spacing w:line="240" w:lineRule="auto"/>
              <w:ind w:firstLine="0" w:firstLineChars="0"/>
              <w:contextualSpacing/>
              <w:jc w:val="center"/>
              <w:textAlignment w:val="baseline"/>
              <w:rPr>
                <w:rFonts w:ascii="Times New Roman" w:hAnsi="Times New Roman" w:eastAsia="宋体" w:cs="Times New Roman"/>
                <w:bCs/>
                <w:sz w:val="21"/>
                <w:szCs w:val="21"/>
                <w:lang w:val="en-US" w:eastAsia="zh-CN" w:bidi="ar-SA"/>
              </w:rPr>
            </w:pPr>
            <w:r>
              <w:rPr>
                <w:rFonts w:ascii="Times New Roman" w:hAnsi="Times New Roman" w:eastAsia="宋体" w:cs="Times New Roman"/>
                <w:bCs/>
                <w:sz w:val="21"/>
                <w:szCs w:val="21"/>
                <w:lang w:val="en-US" w:eastAsia="zh-CN" w:bidi="ar-SA"/>
              </w:rPr>
              <w:t>/</w:t>
            </w:r>
          </w:p>
        </w:tc>
        <w:tc>
          <w:tcPr>
            <w:tcW w:w="940" w:type="pct"/>
            <w:tcBorders>
              <w:top w:val="single" w:color="000000" w:sz="4" w:space="0"/>
              <w:left w:val="single" w:color="000000" w:sz="4" w:space="0"/>
              <w:bottom w:val="single" w:color="000000" w:sz="4" w:space="0"/>
              <w:right w:val="single" w:color="000000" w:sz="4" w:space="0"/>
            </w:tcBorders>
            <w:vAlign w:val="center"/>
          </w:tcPr>
          <w:p w14:paraId="60204F37">
            <w:pPr>
              <w:widowControl w:val="0"/>
              <w:adjustRightInd/>
              <w:snapToGrid/>
              <w:spacing w:line="240" w:lineRule="auto"/>
              <w:ind w:firstLine="0" w:firstLineChars="0"/>
              <w:contextualSpacing/>
              <w:jc w:val="center"/>
              <w:textAlignment w:val="baseline"/>
              <w:rPr>
                <w:rFonts w:ascii="Times New Roman" w:hAnsi="Times New Roman" w:eastAsia="宋体" w:cs="Times New Roman"/>
                <w:bCs/>
                <w:sz w:val="21"/>
                <w:szCs w:val="21"/>
                <w:lang w:val="en-US" w:eastAsia="zh-CN" w:bidi="ar-SA"/>
              </w:rPr>
            </w:pPr>
            <w:r>
              <w:rPr>
                <w:rFonts w:ascii="Times New Roman" w:hAnsi="Times New Roman" w:eastAsia="宋体" w:cs="Times New Roman"/>
                <w:bCs/>
                <w:sz w:val="21"/>
                <w:szCs w:val="21"/>
                <w:lang w:val="en-US" w:eastAsia="zh-CN" w:bidi="ar-SA"/>
              </w:rPr>
              <w:t>COD</w:t>
            </w:r>
          </w:p>
        </w:tc>
        <w:tc>
          <w:tcPr>
            <w:tcW w:w="1417" w:type="pct"/>
            <w:tcBorders>
              <w:top w:val="single" w:color="000000" w:sz="4" w:space="0"/>
              <w:left w:val="single" w:color="000000" w:sz="4" w:space="0"/>
              <w:bottom w:val="single" w:color="000000" w:sz="4" w:space="0"/>
              <w:right w:val="single" w:color="000000" w:sz="8" w:space="0"/>
            </w:tcBorders>
            <w:vAlign w:val="center"/>
          </w:tcPr>
          <w:p w14:paraId="3D8267A3">
            <w:pPr>
              <w:widowControl w:val="0"/>
              <w:adjustRightInd/>
              <w:snapToGrid/>
              <w:spacing w:line="240" w:lineRule="auto"/>
              <w:ind w:firstLine="0" w:firstLineChars="0"/>
              <w:contextualSpacing/>
              <w:jc w:val="center"/>
              <w:textAlignment w:val="baseline"/>
              <w:rPr>
                <w:rFonts w:ascii="Times New Roman" w:hAnsi="Times New Roman" w:eastAsia="宋体" w:cs="Times New Roman"/>
                <w:bCs/>
                <w:sz w:val="21"/>
                <w:szCs w:val="21"/>
                <w:lang w:val="en-US" w:eastAsia="zh-CN" w:bidi="ar-SA"/>
              </w:rPr>
            </w:pPr>
            <w:r>
              <w:rPr>
                <w:rFonts w:ascii="Times New Roman" w:hAnsi="Times New Roman" w:eastAsia="宋体" w:cs="Times New Roman"/>
                <w:bCs/>
                <w:sz w:val="21"/>
                <w:szCs w:val="21"/>
                <w:lang w:val="en-US" w:eastAsia="zh-CN" w:bidi="ar-SA"/>
              </w:rPr>
              <w:t>350mg/L</w:t>
            </w:r>
          </w:p>
        </w:tc>
      </w:tr>
      <w:tr w14:paraId="0630164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410" w:type="pct"/>
            <w:vMerge w:val="continue"/>
            <w:tcBorders>
              <w:top w:val="single" w:color="000000" w:sz="4" w:space="0"/>
              <w:left w:val="single" w:color="000000" w:sz="8" w:space="0"/>
              <w:bottom w:val="single" w:color="000000" w:sz="4" w:space="0"/>
              <w:right w:val="single" w:color="000000" w:sz="4" w:space="0"/>
            </w:tcBorders>
            <w:vAlign w:val="center"/>
          </w:tcPr>
          <w:p w14:paraId="71BAA1DE">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highlight w:val="yellow"/>
                <w:lang w:val="en-US" w:eastAsia="zh-CN" w:bidi="ar-SA"/>
              </w:rPr>
            </w:pPr>
          </w:p>
        </w:tc>
        <w:tc>
          <w:tcPr>
            <w:tcW w:w="1386" w:type="pct"/>
            <w:vMerge w:val="continue"/>
            <w:tcBorders>
              <w:top w:val="single" w:color="000000" w:sz="4" w:space="0"/>
              <w:left w:val="single" w:color="000000" w:sz="4" w:space="0"/>
              <w:bottom w:val="single" w:color="000000" w:sz="4" w:space="0"/>
              <w:right w:val="single" w:color="000000" w:sz="4" w:space="0"/>
            </w:tcBorders>
            <w:vAlign w:val="center"/>
          </w:tcPr>
          <w:p w14:paraId="536B4C2E">
            <w:pPr>
              <w:widowControl w:val="0"/>
              <w:adjustRightInd/>
              <w:snapToGrid/>
              <w:spacing w:line="240" w:lineRule="auto"/>
              <w:ind w:firstLine="0" w:firstLineChars="0"/>
              <w:contextualSpacing/>
              <w:jc w:val="center"/>
              <w:textAlignment w:val="baseline"/>
              <w:rPr>
                <w:rFonts w:ascii="Times New Roman" w:hAnsi="Times New Roman" w:eastAsia="宋体" w:cs="Times New Roman"/>
                <w:bCs/>
                <w:sz w:val="21"/>
                <w:szCs w:val="21"/>
                <w:lang w:val="en-US" w:eastAsia="zh-CN" w:bidi="ar-SA"/>
              </w:rPr>
            </w:pPr>
          </w:p>
        </w:tc>
        <w:tc>
          <w:tcPr>
            <w:tcW w:w="846" w:type="pct"/>
            <w:vMerge w:val="continue"/>
            <w:tcBorders>
              <w:top w:val="single" w:color="000000" w:sz="4" w:space="0"/>
              <w:left w:val="single" w:color="000000" w:sz="4" w:space="0"/>
              <w:bottom w:val="single" w:color="000000" w:sz="4" w:space="0"/>
              <w:right w:val="single" w:color="000000" w:sz="4" w:space="0"/>
            </w:tcBorders>
            <w:vAlign w:val="center"/>
          </w:tcPr>
          <w:p w14:paraId="418F3780">
            <w:pPr>
              <w:widowControl w:val="0"/>
              <w:adjustRightInd/>
              <w:snapToGrid/>
              <w:spacing w:line="240" w:lineRule="auto"/>
              <w:ind w:firstLine="0" w:firstLineChars="0"/>
              <w:contextualSpacing/>
              <w:jc w:val="center"/>
              <w:textAlignment w:val="baseline"/>
              <w:rPr>
                <w:rFonts w:ascii="Times New Roman" w:hAnsi="Times New Roman" w:eastAsia="宋体" w:cs="Times New Roman"/>
                <w:bCs/>
                <w:sz w:val="21"/>
                <w:szCs w:val="21"/>
                <w:lang w:val="en-US" w:eastAsia="zh-CN" w:bidi="ar-SA"/>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46866B75">
            <w:pPr>
              <w:widowControl w:val="0"/>
              <w:adjustRightInd/>
              <w:snapToGrid/>
              <w:spacing w:line="240" w:lineRule="auto"/>
              <w:ind w:firstLine="0" w:firstLineChars="0"/>
              <w:contextualSpacing/>
              <w:jc w:val="center"/>
              <w:textAlignment w:val="baseline"/>
              <w:rPr>
                <w:rFonts w:ascii="Times New Roman" w:hAnsi="Times New Roman" w:eastAsia="宋体" w:cs="Times New Roman"/>
                <w:bCs/>
                <w:sz w:val="21"/>
                <w:szCs w:val="21"/>
                <w:lang w:val="en-US" w:eastAsia="zh-CN" w:bidi="ar-SA"/>
              </w:rPr>
            </w:pPr>
            <w:r>
              <w:rPr>
                <w:rFonts w:ascii="Times New Roman" w:hAnsi="Times New Roman" w:eastAsia="宋体" w:cs="Times New Roman"/>
                <w:bCs/>
                <w:sz w:val="21"/>
                <w:szCs w:val="21"/>
                <w:lang w:val="en-US" w:eastAsia="zh-CN" w:bidi="ar-SA"/>
              </w:rPr>
              <w:t>SS</w:t>
            </w:r>
          </w:p>
        </w:tc>
        <w:tc>
          <w:tcPr>
            <w:tcW w:w="1417" w:type="pct"/>
            <w:tcBorders>
              <w:top w:val="single" w:color="000000" w:sz="4" w:space="0"/>
              <w:left w:val="single" w:color="000000" w:sz="4" w:space="0"/>
              <w:bottom w:val="single" w:color="000000" w:sz="4" w:space="0"/>
              <w:right w:val="single" w:color="000000" w:sz="8" w:space="0"/>
            </w:tcBorders>
            <w:vAlign w:val="center"/>
          </w:tcPr>
          <w:p w14:paraId="428350E3">
            <w:pPr>
              <w:widowControl w:val="0"/>
              <w:adjustRightInd/>
              <w:snapToGrid/>
              <w:spacing w:line="240" w:lineRule="auto"/>
              <w:ind w:firstLine="0" w:firstLineChars="0"/>
              <w:contextualSpacing/>
              <w:jc w:val="center"/>
              <w:textAlignment w:val="baseline"/>
              <w:rPr>
                <w:rFonts w:ascii="Times New Roman" w:hAnsi="Times New Roman" w:eastAsia="宋体" w:cs="Times New Roman"/>
                <w:bCs/>
                <w:sz w:val="21"/>
                <w:szCs w:val="21"/>
                <w:lang w:val="en-US" w:eastAsia="zh-CN" w:bidi="ar-SA"/>
              </w:rPr>
            </w:pPr>
            <w:r>
              <w:rPr>
                <w:rFonts w:ascii="Times New Roman" w:hAnsi="Times New Roman" w:eastAsia="宋体" w:cs="Times New Roman"/>
                <w:bCs/>
                <w:sz w:val="21"/>
                <w:szCs w:val="21"/>
                <w:lang w:val="en-US" w:eastAsia="zh-CN" w:bidi="ar-SA"/>
              </w:rPr>
              <w:t>150mg/L</w:t>
            </w:r>
          </w:p>
        </w:tc>
      </w:tr>
      <w:tr w14:paraId="44A68B6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410" w:type="pct"/>
            <w:vMerge w:val="continue"/>
            <w:tcBorders>
              <w:top w:val="single" w:color="000000" w:sz="4" w:space="0"/>
              <w:left w:val="single" w:color="000000" w:sz="8" w:space="0"/>
              <w:bottom w:val="single" w:color="000000" w:sz="4" w:space="0"/>
              <w:right w:val="single" w:color="000000" w:sz="4" w:space="0"/>
            </w:tcBorders>
            <w:vAlign w:val="center"/>
          </w:tcPr>
          <w:p w14:paraId="6F653C05">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highlight w:val="yellow"/>
                <w:lang w:val="en-US" w:eastAsia="zh-CN" w:bidi="ar-SA"/>
              </w:rPr>
            </w:pPr>
          </w:p>
        </w:tc>
        <w:tc>
          <w:tcPr>
            <w:tcW w:w="1386" w:type="pct"/>
            <w:vMerge w:val="continue"/>
            <w:tcBorders>
              <w:top w:val="single" w:color="000000" w:sz="4" w:space="0"/>
              <w:left w:val="single" w:color="000000" w:sz="4" w:space="0"/>
              <w:bottom w:val="single" w:color="000000" w:sz="4" w:space="0"/>
              <w:right w:val="single" w:color="000000" w:sz="4" w:space="0"/>
            </w:tcBorders>
            <w:vAlign w:val="center"/>
          </w:tcPr>
          <w:p w14:paraId="21FBA3F9">
            <w:pPr>
              <w:widowControl w:val="0"/>
              <w:adjustRightInd/>
              <w:snapToGrid/>
              <w:spacing w:line="240" w:lineRule="auto"/>
              <w:ind w:firstLine="0" w:firstLineChars="0"/>
              <w:contextualSpacing/>
              <w:jc w:val="center"/>
              <w:textAlignment w:val="baseline"/>
              <w:rPr>
                <w:rFonts w:ascii="Times New Roman" w:hAnsi="Times New Roman" w:eastAsia="宋体" w:cs="Times New Roman"/>
                <w:bCs/>
                <w:sz w:val="21"/>
                <w:szCs w:val="21"/>
                <w:lang w:val="en-US" w:eastAsia="zh-CN" w:bidi="ar-SA"/>
              </w:rPr>
            </w:pPr>
          </w:p>
        </w:tc>
        <w:tc>
          <w:tcPr>
            <w:tcW w:w="846" w:type="pct"/>
            <w:vMerge w:val="continue"/>
            <w:tcBorders>
              <w:top w:val="single" w:color="000000" w:sz="4" w:space="0"/>
              <w:left w:val="single" w:color="000000" w:sz="4" w:space="0"/>
              <w:bottom w:val="single" w:color="000000" w:sz="4" w:space="0"/>
              <w:right w:val="single" w:color="000000" w:sz="4" w:space="0"/>
            </w:tcBorders>
            <w:vAlign w:val="center"/>
          </w:tcPr>
          <w:p w14:paraId="39A7528A">
            <w:pPr>
              <w:widowControl w:val="0"/>
              <w:adjustRightInd/>
              <w:snapToGrid/>
              <w:spacing w:line="240" w:lineRule="auto"/>
              <w:ind w:firstLine="0" w:firstLineChars="0"/>
              <w:contextualSpacing/>
              <w:jc w:val="center"/>
              <w:textAlignment w:val="baseline"/>
              <w:rPr>
                <w:rFonts w:ascii="Times New Roman" w:hAnsi="Times New Roman" w:eastAsia="宋体" w:cs="Times New Roman"/>
                <w:bCs/>
                <w:sz w:val="21"/>
                <w:szCs w:val="21"/>
                <w:lang w:val="en-US" w:eastAsia="zh-CN" w:bidi="ar-SA"/>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7DD4C9C4">
            <w:pPr>
              <w:widowControl w:val="0"/>
              <w:adjustRightInd/>
              <w:snapToGrid/>
              <w:spacing w:line="240" w:lineRule="auto"/>
              <w:ind w:firstLine="0" w:firstLineChars="0"/>
              <w:contextualSpacing/>
              <w:jc w:val="center"/>
              <w:textAlignment w:val="baseline"/>
              <w:rPr>
                <w:rFonts w:ascii="Times New Roman" w:hAnsi="Times New Roman" w:eastAsia="宋体" w:cs="Times New Roman"/>
                <w:bCs/>
                <w:sz w:val="21"/>
                <w:szCs w:val="21"/>
                <w:lang w:val="en-US" w:eastAsia="zh-CN" w:bidi="ar-SA"/>
              </w:rPr>
            </w:pPr>
            <w:r>
              <w:rPr>
                <w:rFonts w:ascii="Times New Roman" w:hAnsi="Times New Roman" w:eastAsia="宋体" w:cs="Times New Roman"/>
                <w:sz w:val="21"/>
                <w:szCs w:val="21"/>
                <w:lang w:val="en-US" w:eastAsia="zh-CN" w:bidi="ar-SA"/>
              </w:rPr>
              <w:t>NH</w:t>
            </w:r>
            <w:r>
              <w:rPr>
                <w:rFonts w:ascii="Times New Roman" w:hAnsi="Times New Roman" w:eastAsia="宋体" w:cs="Times New Roman"/>
                <w:sz w:val="21"/>
                <w:szCs w:val="21"/>
                <w:vertAlign w:val="subscript"/>
                <w:lang w:val="en-US" w:eastAsia="zh-CN" w:bidi="ar-SA"/>
              </w:rPr>
              <w:t>3</w:t>
            </w:r>
            <w:r>
              <w:rPr>
                <w:rFonts w:ascii="Times New Roman" w:hAnsi="Times New Roman" w:eastAsia="宋体" w:cs="Times New Roman"/>
                <w:sz w:val="21"/>
                <w:szCs w:val="21"/>
                <w:lang w:val="en-US" w:eastAsia="zh-CN" w:bidi="ar-SA"/>
              </w:rPr>
              <w:t>-N</w:t>
            </w:r>
          </w:p>
        </w:tc>
        <w:tc>
          <w:tcPr>
            <w:tcW w:w="1417" w:type="pct"/>
            <w:tcBorders>
              <w:top w:val="single" w:color="000000" w:sz="4" w:space="0"/>
              <w:left w:val="single" w:color="000000" w:sz="4" w:space="0"/>
              <w:bottom w:val="single" w:color="000000" w:sz="4" w:space="0"/>
              <w:right w:val="single" w:color="000000" w:sz="8" w:space="0"/>
            </w:tcBorders>
            <w:vAlign w:val="center"/>
          </w:tcPr>
          <w:p w14:paraId="1B4FF259">
            <w:pPr>
              <w:widowControl w:val="0"/>
              <w:adjustRightInd/>
              <w:snapToGrid/>
              <w:spacing w:line="240" w:lineRule="auto"/>
              <w:ind w:firstLine="0" w:firstLineChars="0"/>
              <w:contextualSpacing/>
              <w:jc w:val="center"/>
              <w:textAlignment w:val="baseline"/>
              <w:rPr>
                <w:rFonts w:ascii="Times New Roman" w:hAnsi="Times New Roman" w:eastAsia="宋体" w:cs="Times New Roman"/>
                <w:bCs/>
                <w:sz w:val="21"/>
                <w:szCs w:val="21"/>
                <w:lang w:val="en-US" w:eastAsia="zh-CN" w:bidi="ar-SA"/>
              </w:rPr>
            </w:pPr>
            <w:r>
              <w:rPr>
                <w:rFonts w:ascii="Times New Roman" w:hAnsi="Times New Roman" w:eastAsia="宋体" w:cs="Times New Roman"/>
                <w:bCs/>
                <w:sz w:val="21"/>
                <w:szCs w:val="21"/>
                <w:lang w:val="en-US" w:eastAsia="zh-CN" w:bidi="ar-SA"/>
              </w:rPr>
              <w:t>35mg/L</w:t>
            </w:r>
          </w:p>
        </w:tc>
      </w:tr>
      <w:tr w14:paraId="0DECDDD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410" w:type="pct"/>
            <w:vMerge w:val="continue"/>
            <w:tcBorders>
              <w:top w:val="single" w:color="000000" w:sz="4" w:space="0"/>
              <w:left w:val="single" w:color="000000" w:sz="8" w:space="0"/>
              <w:bottom w:val="single" w:color="000000" w:sz="4" w:space="0"/>
              <w:right w:val="single" w:color="000000" w:sz="4" w:space="0"/>
            </w:tcBorders>
            <w:vAlign w:val="center"/>
          </w:tcPr>
          <w:p w14:paraId="5770DAF3">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highlight w:val="yellow"/>
                <w:lang w:val="en-US" w:eastAsia="zh-CN" w:bidi="ar-SA"/>
              </w:rPr>
            </w:pPr>
          </w:p>
        </w:tc>
        <w:tc>
          <w:tcPr>
            <w:tcW w:w="1386" w:type="pct"/>
            <w:vMerge w:val="continue"/>
            <w:tcBorders>
              <w:top w:val="single" w:color="000000" w:sz="4" w:space="0"/>
              <w:left w:val="single" w:color="000000" w:sz="4" w:space="0"/>
              <w:bottom w:val="single" w:color="000000" w:sz="4" w:space="0"/>
              <w:right w:val="single" w:color="000000" w:sz="4" w:space="0"/>
            </w:tcBorders>
            <w:vAlign w:val="center"/>
          </w:tcPr>
          <w:p w14:paraId="41B887F9">
            <w:pPr>
              <w:widowControl w:val="0"/>
              <w:adjustRightInd/>
              <w:snapToGrid/>
              <w:spacing w:line="240" w:lineRule="auto"/>
              <w:ind w:firstLine="0" w:firstLineChars="0"/>
              <w:contextualSpacing/>
              <w:jc w:val="center"/>
              <w:textAlignment w:val="baseline"/>
              <w:rPr>
                <w:rFonts w:ascii="Times New Roman" w:hAnsi="Times New Roman" w:eastAsia="宋体" w:cs="Times New Roman"/>
                <w:bCs/>
                <w:sz w:val="21"/>
                <w:szCs w:val="21"/>
                <w:lang w:val="en-US" w:eastAsia="zh-CN" w:bidi="ar-SA"/>
              </w:rPr>
            </w:pPr>
          </w:p>
        </w:tc>
        <w:tc>
          <w:tcPr>
            <w:tcW w:w="846" w:type="pct"/>
            <w:vMerge w:val="continue"/>
            <w:tcBorders>
              <w:top w:val="single" w:color="000000" w:sz="4" w:space="0"/>
              <w:left w:val="single" w:color="000000" w:sz="4" w:space="0"/>
              <w:bottom w:val="single" w:color="000000" w:sz="4" w:space="0"/>
              <w:right w:val="single" w:color="000000" w:sz="4" w:space="0"/>
            </w:tcBorders>
            <w:vAlign w:val="center"/>
          </w:tcPr>
          <w:p w14:paraId="49C71B01">
            <w:pPr>
              <w:widowControl w:val="0"/>
              <w:adjustRightInd/>
              <w:snapToGrid/>
              <w:spacing w:line="240" w:lineRule="auto"/>
              <w:ind w:firstLine="0" w:firstLineChars="0"/>
              <w:contextualSpacing/>
              <w:jc w:val="center"/>
              <w:textAlignment w:val="baseline"/>
              <w:rPr>
                <w:rFonts w:ascii="Times New Roman" w:hAnsi="Times New Roman" w:eastAsia="宋体" w:cs="Times New Roman"/>
                <w:bCs/>
                <w:sz w:val="21"/>
                <w:szCs w:val="21"/>
                <w:lang w:val="en-US" w:eastAsia="zh-CN" w:bidi="ar-SA"/>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6E7AFB0C">
            <w:pPr>
              <w:widowControl w:val="0"/>
              <w:adjustRightInd/>
              <w:snapToGrid/>
              <w:spacing w:line="240" w:lineRule="auto"/>
              <w:ind w:firstLine="0" w:firstLineChars="0"/>
              <w:contextualSpacing/>
              <w:jc w:val="center"/>
              <w:textAlignment w:val="baseline"/>
              <w:rPr>
                <w:rFonts w:ascii="Times New Roman" w:hAnsi="Times New Roman" w:eastAsia="宋体" w:cs="Times New Roman"/>
                <w:bCs/>
                <w:sz w:val="21"/>
                <w:szCs w:val="21"/>
                <w:lang w:val="en-US" w:eastAsia="zh-CN" w:bidi="ar-SA"/>
              </w:rPr>
            </w:pPr>
            <w:r>
              <w:rPr>
                <w:rFonts w:ascii="Times New Roman" w:hAnsi="Times New Roman" w:eastAsia="宋体" w:cs="Times New Roman"/>
                <w:sz w:val="21"/>
                <w:szCs w:val="21"/>
                <w:lang w:val="en-US" w:eastAsia="zh-CN" w:bidi="ar-SA"/>
              </w:rPr>
              <w:t>TP</w:t>
            </w:r>
          </w:p>
        </w:tc>
        <w:tc>
          <w:tcPr>
            <w:tcW w:w="1417" w:type="pct"/>
            <w:tcBorders>
              <w:top w:val="single" w:color="000000" w:sz="4" w:space="0"/>
              <w:left w:val="single" w:color="000000" w:sz="4" w:space="0"/>
              <w:bottom w:val="single" w:color="000000" w:sz="4" w:space="0"/>
              <w:right w:val="single" w:color="000000" w:sz="8" w:space="0"/>
            </w:tcBorders>
            <w:vAlign w:val="center"/>
          </w:tcPr>
          <w:p w14:paraId="7C888D44">
            <w:pPr>
              <w:widowControl w:val="0"/>
              <w:adjustRightInd/>
              <w:snapToGrid/>
              <w:spacing w:line="240" w:lineRule="auto"/>
              <w:ind w:firstLine="0" w:firstLineChars="0"/>
              <w:contextualSpacing/>
              <w:jc w:val="center"/>
              <w:textAlignment w:val="baseline"/>
              <w:rPr>
                <w:rFonts w:ascii="Times New Roman" w:hAnsi="Times New Roman" w:eastAsia="宋体" w:cs="Times New Roman"/>
                <w:bCs/>
                <w:sz w:val="21"/>
                <w:szCs w:val="21"/>
                <w:lang w:val="en-US" w:eastAsia="zh-CN" w:bidi="ar-SA"/>
              </w:rPr>
            </w:pPr>
            <w:r>
              <w:rPr>
                <w:rFonts w:ascii="Times New Roman" w:hAnsi="Times New Roman" w:eastAsia="宋体" w:cs="Times New Roman"/>
                <w:bCs/>
                <w:sz w:val="21"/>
                <w:szCs w:val="21"/>
                <w:lang w:val="en-US" w:eastAsia="zh-CN" w:bidi="ar-SA"/>
              </w:rPr>
              <w:t>4mg/L</w:t>
            </w:r>
          </w:p>
        </w:tc>
      </w:tr>
      <w:tr w14:paraId="5FACB76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410" w:type="pct"/>
            <w:vMerge w:val="continue"/>
            <w:tcBorders>
              <w:top w:val="single" w:color="000000" w:sz="4" w:space="0"/>
              <w:left w:val="single" w:color="000000" w:sz="8" w:space="0"/>
              <w:bottom w:val="single" w:color="000000" w:sz="4" w:space="0"/>
              <w:right w:val="single" w:color="000000" w:sz="4" w:space="0"/>
            </w:tcBorders>
            <w:vAlign w:val="center"/>
          </w:tcPr>
          <w:p w14:paraId="2864759F">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highlight w:val="yellow"/>
                <w:lang w:val="en-US" w:eastAsia="zh-CN" w:bidi="ar-SA"/>
              </w:rPr>
            </w:pPr>
          </w:p>
        </w:tc>
        <w:tc>
          <w:tcPr>
            <w:tcW w:w="1386" w:type="pct"/>
            <w:vMerge w:val="continue"/>
            <w:tcBorders>
              <w:top w:val="single" w:color="000000" w:sz="4" w:space="0"/>
              <w:left w:val="single" w:color="000000" w:sz="4" w:space="0"/>
              <w:bottom w:val="single" w:color="000000" w:sz="4" w:space="0"/>
              <w:right w:val="single" w:color="000000" w:sz="4" w:space="0"/>
            </w:tcBorders>
            <w:vAlign w:val="center"/>
          </w:tcPr>
          <w:p w14:paraId="51F48B38">
            <w:pPr>
              <w:widowControl w:val="0"/>
              <w:adjustRightInd/>
              <w:snapToGrid/>
              <w:spacing w:line="240" w:lineRule="auto"/>
              <w:ind w:firstLine="0" w:firstLineChars="0"/>
              <w:contextualSpacing/>
              <w:jc w:val="center"/>
              <w:textAlignment w:val="baseline"/>
              <w:rPr>
                <w:rFonts w:ascii="Times New Roman" w:hAnsi="Times New Roman" w:eastAsia="宋体" w:cs="Times New Roman"/>
                <w:bCs/>
                <w:sz w:val="21"/>
                <w:szCs w:val="21"/>
                <w:u w:val="single"/>
                <w:lang w:val="en-US" w:eastAsia="zh-CN" w:bidi="ar-SA"/>
              </w:rPr>
            </w:pPr>
          </w:p>
        </w:tc>
        <w:tc>
          <w:tcPr>
            <w:tcW w:w="846" w:type="pct"/>
            <w:vMerge w:val="continue"/>
            <w:tcBorders>
              <w:top w:val="single" w:color="000000" w:sz="4" w:space="0"/>
              <w:left w:val="single" w:color="000000" w:sz="4" w:space="0"/>
              <w:bottom w:val="single" w:color="000000" w:sz="4" w:space="0"/>
              <w:right w:val="single" w:color="000000" w:sz="4" w:space="0"/>
            </w:tcBorders>
            <w:vAlign w:val="center"/>
          </w:tcPr>
          <w:p w14:paraId="190C6A5C">
            <w:pPr>
              <w:widowControl w:val="0"/>
              <w:adjustRightInd/>
              <w:snapToGrid/>
              <w:spacing w:line="240" w:lineRule="auto"/>
              <w:ind w:firstLine="0" w:firstLineChars="0"/>
              <w:contextualSpacing/>
              <w:jc w:val="center"/>
              <w:textAlignment w:val="baseline"/>
              <w:rPr>
                <w:rFonts w:ascii="Times New Roman" w:hAnsi="Times New Roman" w:eastAsia="宋体" w:cs="Times New Roman"/>
                <w:bCs/>
                <w:sz w:val="21"/>
                <w:szCs w:val="21"/>
                <w:u w:val="single"/>
                <w:lang w:val="en-US" w:eastAsia="zh-CN" w:bidi="ar-SA"/>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0C442FBF">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u w:val="single"/>
                <w:lang w:val="en-US" w:eastAsia="zh-CN" w:bidi="ar-SA"/>
              </w:rPr>
            </w:pPr>
            <w:r>
              <w:rPr>
                <w:rFonts w:ascii="Times New Roman" w:hAnsi="Times New Roman" w:eastAsia="宋体" w:cs="Times New Roman"/>
                <w:sz w:val="21"/>
                <w:szCs w:val="21"/>
                <w:lang w:val="en-US" w:eastAsia="zh-CN" w:bidi="ar-SA"/>
              </w:rPr>
              <w:t>TN</w:t>
            </w:r>
          </w:p>
        </w:tc>
        <w:tc>
          <w:tcPr>
            <w:tcW w:w="1417" w:type="pct"/>
            <w:tcBorders>
              <w:top w:val="single" w:color="000000" w:sz="4" w:space="0"/>
              <w:left w:val="single" w:color="000000" w:sz="4" w:space="0"/>
              <w:bottom w:val="single" w:color="000000" w:sz="4" w:space="0"/>
              <w:right w:val="single" w:color="000000" w:sz="8" w:space="0"/>
            </w:tcBorders>
            <w:vAlign w:val="center"/>
          </w:tcPr>
          <w:p w14:paraId="25566E43">
            <w:pPr>
              <w:widowControl w:val="0"/>
              <w:adjustRightInd/>
              <w:snapToGrid/>
              <w:spacing w:line="240" w:lineRule="auto"/>
              <w:ind w:firstLine="0" w:firstLineChars="0"/>
              <w:contextualSpacing/>
              <w:jc w:val="center"/>
              <w:textAlignment w:val="baseline"/>
              <w:rPr>
                <w:rFonts w:ascii="Times New Roman" w:hAnsi="Times New Roman" w:eastAsia="宋体" w:cs="Times New Roman"/>
                <w:bCs/>
                <w:sz w:val="21"/>
                <w:szCs w:val="21"/>
                <w:u w:val="single"/>
                <w:lang w:val="en-US" w:eastAsia="zh-CN" w:bidi="ar-SA"/>
              </w:rPr>
            </w:pPr>
            <w:r>
              <w:rPr>
                <w:rFonts w:ascii="Times New Roman" w:hAnsi="Times New Roman" w:eastAsia="宋体" w:cs="Times New Roman"/>
                <w:bCs/>
                <w:sz w:val="21"/>
                <w:szCs w:val="21"/>
                <w:lang w:val="en-US" w:eastAsia="zh-CN" w:bidi="ar-SA"/>
              </w:rPr>
              <w:t>40mg/L</w:t>
            </w:r>
          </w:p>
        </w:tc>
      </w:tr>
      <w:tr w14:paraId="6A34230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410" w:type="pct"/>
            <w:vMerge w:val="restart"/>
            <w:tcBorders>
              <w:top w:val="single" w:color="000000" w:sz="4" w:space="0"/>
              <w:left w:val="single" w:color="000000" w:sz="8" w:space="0"/>
              <w:bottom w:val="single" w:color="000000" w:sz="4" w:space="0"/>
              <w:right w:val="single" w:color="000000" w:sz="4" w:space="0"/>
            </w:tcBorders>
            <w:vAlign w:val="center"/>
          </w:tcPr>
          <w:p w14:paraId="58F96BC1">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lang w:val="en-US" w:eastAsia="zh-CN" w:bidi="ar-SA"/>
              </w:rPr>
            </w:pPr>
            <w:r>
              <w:rPr>
                <w:rFonts w:hint="eastAsia" w:ascii="Times New Roman" w:hAnsi="Times New Roman" w:eastAsia="宋体" w:cs="Times New Roman"/>
                <w:sz w:val="21"/>
                <w:szCs w:val="21"/>
                <w:lang w:val="en-US" w:eastAsia="zh-CN" w:bidi="ar-SA"/>
              </w:rPr>
              <w:t>噪声</w:t>
            </w:r>
          </w:p>
        </w:tc>
        <w:tc>
          <w:tcPr>
            <w:tcW w:w="1386" w:type="pct"/>
            <w:vMerge w:val="restart"/>
            <w:tcBorders>
              <w:top w:val="single" w:color="000000" w:sz="4" w:space="0"/>
              <w:left w:val="single" w:color="000000" w:sz="4" w:space="0"/>
              <w:bottom w:val="single" w:color="000000" w:sz="4" w:space="0"/>
              <w:right w:val="single" w:color="000000" w:sz="4" w:space="0"/>
            </w:tcBorders>
            <w:vAlign w:val="center"/>
          </w:tcPr>
          <w:p w14:paraId="6B7BC71C">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highlight w:val="yellow"/>
                <w:lang w:val="en-US" w:eastAsia="zh-CN" w:bidi="ar-SA"/>
              </w:rPr>
            </w:pPr>
            <w:r>
              <w:rPr>
                <w:rFonts w:hint="eastAsia" w:ascii="Times New Roman" w:hAnsi="Times New Roman" w:eastAsia="宋体" w:cs="Times New Roman"/>
                <w:sz w:val="21"/>
                <w:szCs w:val="21"/>
                <w:lang w:val="en-US" w:eastAsia="zh-CN" w:bidi="ar-SA"/>
              </w:rPr>
              <w:t>《工业企业厂界环境噪声排放标准》（</w:t>
            </w:r>
            <w:r>
              <w:rPr>
                <w:rFonts w:ascii="Times New Roman" w:hAnsi="Times New Roman" w:eastAsia="宋体" w:cs="Times New Roman"/>
                <w:sz w:val="21"/>
                <w:szCs w:val="21"/>
                <w:lang w:val="en-US" w:eastAsia="zh-CN" w:bidi="ar-SA"/>
              </w:rPr>
              <w:t>GB12348-2008</w:t>
            </w:r>
            <w:r>
              <w:rPr>
                <w:rFonts w:hint="eastAsia" w:ascii="Times New Roman" w:hAnsi="Times New Roman" w:eastAsia="宋体" w:cs="Times New Roman"/>
                <w:sz w:val="21"/>
                <w:szCs w:val="21"/>
                <w:lang w:val="en-US" w:eastAsia="zh-CN" w:bidi="ar-SA"/>
              </w:rPr>
              <w:t>）</w:t>
            </w:r>
          </w:p>
        </w:tc>
        <w:tc>
          <w:tcPr>
            <w:tcW w:w="846" w:type="pct"/>
            <w:vMerge w:val="restart"/>
            <w:tcBorders>
              <w:top w:val="single" w:color="000000" w:sz="4" w:space="0"/>
              <w:left w:val="single" w:color="000000" w:sz="4" w:space="0"/>
              <w:bottom w:val="single" w:color="000000" w:sz="4" w:space="0"/>
              <w:right w:val="single" w:color="000000" w:sz="4" w:space="0"/>
            </w:tcBorders>
            <w:vAlign w:val="center"/>
          </w:tcPr>
          <w:p w14:paraId="635D0336">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highlight w:val="yellow"/>
                <w:lang w:val="en-US" w:eastAsia="zh-CN" w:bidi="ar-SA"/>
              </w:rPr>
            </w:pPr>
            <w:r>
              <w:rPr>
                <w:rFonts w:ascii="Times New Roman" w:hAnsi="Times New Roman" w:eastAsia="宋体" w:cs="Times New Roman"/>
                <w:sz w:val="21"/>
                <w:szCs w:val="21"/>
                <w:lang w:val="en-US" w:eastAsia="zh-CN" w:bidi="ar-SA"/>
              </w:rPr>
              <w:t>3</w:t>
            </w:r>
            <w:r>
              <w:rPr>
                <w:rFonts w:hint="eastAsia" w:ascii="Times New Roman" w:hAnsi="Times New Roman" w:eastAsia="宋体" w:cs="Times New Roman"/>
                <w:sz w:val="21"/>
                <w:szCs w:val="21"/>
                <w:lang w:val="en-US" w:eastAsia="zh-CN" w:bidi="ar-SA"/>
              </w:rPr>
              <w:t>类</w:t>
            </w:r>
          </w:p>
        </w:tc>
        <w:tc>
          <w:tcPr>
            <w:tcW w:w="940" w:type="pct"/>
            <w:vMerge w:val="restart"/>
            <w:tcBorders>
              <w:top w:val="single" w:color="000000" w:sz="4" w:space="0"/>
              <w:left w:val="single" w:color="000000" w:sz="4" w:space="0"/>
              <w:bottom w:val="single" w:color="000000" w:sz="4" w:space="0"/>
              <w:right w:val="single" w:color="000000" w:sz="4" w:space="0"/>
            </w:tcBorders>
            <w:vAlign w:val="center"/>
          </w:tcPr>
          <w:p w14:paraId="7CD5FAD7">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lang w:val="en-US" w:eastAsia="zh-CN" w:bidi="ar-SA"/>
              </w:rPr>
            </w:pPr>
            <w:r>
              <w:rPr>
                <w:rFonts w:hint="eastAsia" w:ascii="Times New Roman" w:hAnsi="Times New Roman" w:eastAsia="宋体" w:cs="Times New Roman"/>
                <w:sz w:val="21"/>
                <w:szCs w:val="21"/>
                <w:lang w:val="en-US" w:eastAsia="zh-CN" w:bidi="ar-SA"/>
              </w:rPr>
              <w:t>噪声</w:t>
            </w:r>
          </w:p>
        </w:tc>
        <w:tc>
          <w:tcPr>
            <w:tcW w:w="1417" w:type="pct"/>
            <w:tcBorders>
              <w:top w:val="single" w:color="000000" w:sz="4" w:space="0"/>
              <w:left w:val="single" w:color="000000" w:sz="4" w:space="0"/>
              <w:bottom w:val="single" w:color="000000" w:sz="4" w:space="0"/>
              <w:right w:val="single" w:color="000000" w:sz="8" w:space="0"/>
            </w:tcBorders>
            <w:vAlign w:val="center"/>
          </w:tcPr>
          <w:p w14:paraId="70B96893">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lang w:val="en-US" w:eastAsia="zh-CN" w:bidi="ar-SA"/>
              </w:rPr>
            </w:pPr>
            <w:r>
              <w:rPr>
                <w:rFonts w:hint="eastAsia" w:ascii="Times New Roman" w:hAnsi="Times New Roman" w:eastAsia="宋体" w:cs="Times New Roman"/>
                <w:sz w:val="21"/>
                <w:szCs w:val="21"/>
                <w:lang w:val="en-US" w:eastAsia="zh-CN" w:bidi="ar-SA"/>
              </w:rPr>
              <w:t>昼间</w:t>
            </w:r>
            <w:r>
              <w:rPr>
                <w:rFonts w:ascii="Times New Roman" w:hAnsi="Times New Roman" w:eastAsia="宋体" w:cs="Times New Roman"/>
                <w:sz w:val="21"/>
                <w:szCs w:val="21"/>
                <w:lang w:val="en-US" w:eastAsia="zh-CN" w:bidi="ar-SA"/>
              </w:rPr>
              <w:t>65dB(A)</w:t>
            </w:r>
          </w:p>
        </w:tc>
      </w:tr>
      <w:tr w14:paraId="54B2324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410" w:type="pct"/>
            <w:vMerge w:val="continue"/>
            <w:tcBorders>
              <w:top w:val="single" w:color="000000" w:sz="4" w:space="0"/>
              <w:left w:val="single" w:color="000000" w:sz="8" w:space="0"/>
              <w:bottom w:val="single" w:color="000000" w:sz="4" w:space="0"/>
              <w:right w:val="single" w:color="000000" w:sz="4" w:space="0"/>
            </w:tcBorders>
            <w:vAlign w:val="center"/>
          </w:tcPr>
          <w:p w14:paraId="2E71304A">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lang w:val="en-US" w:eastAsia="zh-CN" w:bidi="ar-SA"/>
              </w:rPr>
            </w:pPr>
          </w:p>
        </w:tc>
        <w:tc>
          <w:tcPr>
            <w:tcW w:w="1386" w:type="pct"/>
            <w:vMerge w:val="continue"/>
            <w:tcBorders>
              <w:top w:val="single" w:color="000000" w:sz="4" w:space="0"/>
              <w:left w:val="single" w:color="000000" w:sz="4" w:space="0"/>
              <w:bottom w:val="single" w:color="000000" w:sz="4" w:space="0"/>
              <w:right w:val="single" w:color="000000" w:sz="4" w:space="0"/>
            </w:tcBorders>
            <w:vAlign w:val="center"/>
          </w:tcPr>
          <w:p w14:paraId="3289F625">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highlight w:val="yellow"/>
                <w:lang w:val="en-US" w:eastAsia="zh-CN" w:bidi="ar-SA"/>
              </w:rPr>
            </w:pPr>
          </w:p>
        </w:tc>
        <w:tc>
          <w:tcPr>
            <w:tcW w:w="846" w:type="pct"/>
            <w:vMerge w:val="continue"/>
            <w:tcBorders>
              <w:top w:val="single" w:color="000000" w:sz="4" w:space="0"/>
              <w:left w:val="single" w:color="000000" w:sz="4" w:space="0"/>
              <w:bottom w:val="single" w:color="000000" w:sz="4" w:space="0"/>
              <w:right w:val="single" w:color="000000" w:sz="4" w:space="0"/>
            </w:tcBorders>
            <w:vAlign w:val="center"/>
          </w:tcPr>
          <w:p w14:paraId="18FFFDDC">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highlight w:val="yellow"/>
                <w:lang w:val="en-US" w:eastAsia="zh-CN" w:bidi="ar-SA"/>
              </w:rPr>
            </w:pPr>
          </w:p>
        </w:tc>
        <w:tc>
          <w:tcPr>
            <w:tcW w:w="940" w:type="pct"/>
            <w:vMerge w:val="continue"/>
            <w:tcBorders>
              <w:top w:val="single" w:color="000000" w:sz="4" w:space="0"/>
              <w:left w:val="single" w:color="000000" w:sz="4" w:space="0"/>
              <w:bottom w:val="single" w:color="000000" w:sz="4" w:space="0"/>
              <w:right w:val="single" w:color="000000" w:sz="4" w:space="0"/>
            </w:tcBorders>
            <w:vAlign w:val="center"/>
          </w:tcPr>
          <w:p w14:paraId="5149E89E">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lang w:val="en-US" w:eastAsia="zh-CN" w:bidi="ar-SA"/>
              </w:rPr>
            </w:pPr>
          </w:p>
        </w:tc>
        <w:tc>
          <w:tcPr>
            <w:tcW w:w="1417" w:type="pct"/>
            <w:tcBorders>
              <w:top w:val="single" w:color="000000" w:sz="4" w:space="0"/>
              <w:left w:val="single" w:color="000000" w:sz="4" w:space="0"/>
              <w:bottom w:val="single" w:color="000000" w:sz="4" w:space="0"/>
              <w:right w:val="single" w:color="000000" w:sz="8" w:space="0"/>
            </w:tcBorders>
            <w:vAlign w:val="center"/>
          </w:tcPr>
          <w:p w14:paraId="10351FBE">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lang w:val="en-US" w:eastAsia="zh-CN" w:bidi="ar-SA"/>
              </w:rPr>
            </w:pPr>
            <w:r>
              <w:rPr>
                <w:rFonts w:hint="eastAsia" w:ascii="Times New Roman" w:hAnsi="Times New Roman" w:eastAsia="宋体" w:cs="Times New Roman"/>
                <w:sz w:val="21"/>
                <w:szCs w:val="21"/>
                <w:lang w:val="en-US" w:eastAsia="zh-CN" w:bidi="ar-SA"/>
              </w:rPr>
              <w:t>夜间</w:t>
            </w:r>
            <w:r>
              <w:rPr>
                <w:rFonts w:ascii="Times New Roman" w:hAnsi="Times New Roman" w:eastAsia="宋体" w:cs="Times New Roman"/>
                <w:sz w:val="21"/>
                <w:szCs w:val="21"/>
                <w:lang w:val="en-US" w:eastAsia="zh-CN" w:bidi="ar-SA"/>
              </w:rPr>
              <w:t>55dB(A)</w:t>
            </w:r>
          </w:p>
        </w:tc>
      </w:tr>
      <w:tr w14:paraId="131F412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410" w:type="pct"/>
            <w:vMerge w:val="restart"/>
            <w:tcBorders>
              <w:top w:val="single" w:color="000000" w:sz="4" w:space="0"/>
              <w:left w:val="single" w:color="000000" w:sz="8" w:space="0"/>
              <w:bottom w:val="single" w:color="000000" w:sz="8" w:space="0"/>
              <w:right w:val="single" w:color="000000" w:sz="4" w:space="0"/>
            </w:tcBorders>
            <w:tcMar>
              <w:top w:w="11" w:type="dxa"/>
              <w:left w:w="57" w:type="dxa"/>
              <w:bottom w:w="11" w:type="dxa"/>
              <w:right w:w="57" w:type="dxa"/>
            </w:tcMar>
            <w:vAlign w:val="center"/>
          </w:tcPr>
          <w:p w14:paraId="6E759818">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lang w:val="en-US" w:eastAsia="zh-CN" w:bidi="ar-SA"/>
              </w:rPr>
            </w:pPr>
            <w:r>
              <w:rPr>
                <w:rFonts w:hint="eastAsia" w:ascii="Times New Roman" w:hAnsi="Times New Roman" w:eastAsia="宋体" w:cs="Times New Roman"/>
                <w:sz w:val="21"/>
                <w:szCs w:val="21"/>
                <w:lang w:val="en-US" w:eastAsia="zh-CN" w:bidi="ar-SA"/>
              </w:rPr>
              <w:t>固体</w:t>
            </w:r>
          </w:p>
          <w:p w14:paraId="0192874D">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lang w:val="en-US" w:eastAsia="zh-CN" w:bidi="ar-SA"/>
              </w:rPr>
            </w:pPr>
            <w:r>
              <w:rPr>
                <w:rFonts w:hint="eastAsia" w:ascii="Times New Roman" w:hAnsi="Times New Roman" w:eastAsia="宋体" w:cs="Times New Roman"/>
                <w:sz w:val="21"/>
                <w:szCs w:val="21"/>
                <w:lang w:val="en-US" w:eastAsia="zh-CN" w:bidi="ar-SA"/>
              </w:rPr>
              <w:t>废物</w:t>
            </w:r>
          </w:p>
        </w:tc>
        <w:tc>
          <w:tcPr>
            <w:tcW w:w="4589" w:type="pct"/>
            <w:gridSpan w:val="4"/>
            <w:tcBorders>
              <w:top w:val="single" w:color="000000" w:sz="4" w:space="0"/>
              <w:left w:val="single" w:color="000000" w:sz="4" w:space="0"/>
              <w:bottom w:val="single" w:color="000000" w:sz="4" w:space="0"/>
              <w:right w:val="single" w:color="000000" w:sz="8" w:space="0"/>
            </w:tcBorders>
            <w:tcMar>
              <w:top w:w="0" w:type="dxa"/>
              <w:left w:w="108" w:type="dxa"/>
              <w:bottom w:w="0" w:type="dxa"/>
              <w:right w:w="108" w:type="dxa"/>
            </w:tcMar>
            <w:vAlign w:val="center"/>
          </w:tcPr>
          <w:p w14:paraId="1B38BCF6">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lang w:val="en-US" w:eastAsia="zh-CN" w:bidi="ar-SA"/>
              </w:rPr>
            </w:pPr>
            <w:r>
              <w:rPr>
                <w:rFonts w:hint="eastAsia" w:ascii="Times New Roman" w:hAnsi="Times New Roman" w:eastAsia="宋体" w:cs="Times New Roman"/>
                <w:sz w:val="21"/>
                <w:szCs w:val="21"/>
                <w:lang w:val="en-US" w:eastAsia="zh-CN" w:bidi="ar-SA"/>
              </w:rPr>
              <w:t>《一般工业固体废物贮存和填埋污染控制标准》（</w:t>
            </w:r>
            <w:r>
              <w:rPr>
                <w:rFonts w:ascii="Times New Roman" w:hAnsi="Times New Roman" w:eastAsia="宋体" w:cs="Times New Roman"/>
                <w:sz w:val="21"/>
                <w:szCs w:val="21"/>
                <w:lang w:val="en-US" w:eastAsia="zh-CN" w:bidi="ar-SA"/>
              </w:rPr>
              <w:t>GB18599-2020</w:t>
            </w:r>
            <w:r>
              <w:rPr>
                <w:rFonts w:hint="eastAsia" w:ascii="Times New Roman" w:hAnsi="Times New Roman" w:eastAsia="宋体" w:cs="Times New Roman"/>
                <w:sz w:val="21"/>
                <w:szCs w:val="21"/>
                <w:lang w:val="en-US" w:eastAsia="zh-CN" w:bidi="ar-SA"/>
              </w:rPr>
              <w:t>）中防渗漏、防雨淋、防扬尘等环境保护要求</w:t>
            </w:r>
          </w:p>
        </w:tc>
      </w:tr>
      <w:tr w14:paraId="4A16538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410" w:type="pct"/>
            <w:vMerge w:val="continue"/>
            <w:tcBorders>
              <w:top w:val="single" w:color="000000" w:sz="4" w:space="0"/>
              <w:left w:val="single" w:color="000000" w:sz="8" w:space="0"/>
              <w:bottom w:val="single" w:color="000000" w:sz="8" w:space="0"/>
              <w:right w:val="single" w:color="000000" w:sz="4" w:space="0"/>
            </w:tcBorders>
            <w:vAlign w:val="center"/>
          </w:tcPr>
          <w:p w14:paraId="182C17DC">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lang w:val="en-US" w:eastAsia="zh-CN" w:bidi="ar-SA"/>
              </w:rPr>
            </w:pPr>
          </w:p>
        </w:tc>
        <w:tc>
          <w:tcPr>
            <w:tcW w:w="4589" w:type="pct"/>
            <w:gridSpan w:val="4"/>
            <w:tcBorders>
              <w:top w:val="single" w:color="000000" w:sz="4" w:space="0"/>
              <w:left w:val="single" w:color="000000" w:sz="4" w:space="0"/>
              <w:bottom w:val="single" w:color="000000" w:sz="8" w:space="0"/>
              <w:right w:val="single" w:color="000000" w:sz="8" w:space="0"/>
            </w:tcBorders>
            <w:tcMar>
              <w:top w:w="0" w:type="dxa"/>
              <w:left w:w="108" w:type="dxa"/>
              <w:bottom w:w="0" w:type="dxa"/>
              <w:right w:w="108" w:type="dxa"/>
            </w:tcMar>
            <w:vAlign w:val="center"/>
          </w:tcPr>
          <w:p w14:paraId="64E96234">
            <w:pPr>
              <w:widowControl w:val="0"/>
              <w:adjustRightInd/>
              <w:snapToGrid/>
              <w:spacing w:line="240" w:lineRule="auto"/>
              <w:ind w:firstLine="0" w:firstLineChars="0"/>
              <w:contextualSpacing/>
              <w:jc w:val="center"/>
              <w:textAlignment w:val="baseline"/>
              <w:rPr>
                <w:rFonts w:ascii="Times New Roman" w:hAnsi="Times New Roman" w:eastAsia="宋体" w:cs="Times New Roman"/>
                <w:sz w:val="21"/>
                <w:szCs w:val="21"/>
                <w:lang w:val="en-US" w:eastAsia="zh-CN" w:bidi="ar-SA"/>
              </w:rPr>
            </w:pPr>
            <w:r>
              <w:rPr>
                <w:rFonts w:hint="eastAsia" w:ascii="Times New Roman" w:hAnsi="Times New Roman" w:eastAsia="宋体" w:cs="Times New Roman"/>
                <w:sz w:val="21"/>
                <w:szCs w:val="21"/>
                <w:lang w:val="en-US" w:eastAsia="zh-CN" w:bidi="ar-SA"/>
              </w:rPr>
              <w:t>《危险废物贮存污染控制标准》（</w:t>
            </w:r>
            <w:r>
              <w:rPr>
                <w:rFonts w:ascii="Times New Roman" w:hAnsi="Times New Roman" w:eastAsia="宋体" w:cs="Times New Roman"/>
                <w:sz w:val="21"/>
                <w:szCs w:val="21"/>
                <w:lang w:val="en-US" w:eastAsia="zh-CN" w:bidi="ar-SA"/>
              </w:rPr>
              <w:t>GB18597-2023</w:t>
            </w:r>
            <w:r>
              <w:rPr>
                <w:rFonts w:hint="eastAsia" w:ascii="Times New Roman" w:hAnsi="Times New Roman" w:eastAsia="宋体" w:cs="Times New Roman"/>
                <w:sz w:val="21"/>
                <w:szCs w:val="21"/>
                <w:lang w:val="en-US" w:eastAsia="zh-CN" w:bidi="ar-SA"/>
              </w:rPr>
              <w:t>）</w:t>
            </w:r>
          </w:p>
        </w:tc>
      </w:tr>
    </w:tbl>
    <w:p w14:paraId="1891871B">
      <w:pPr>
        <w:pStyle w:val="40"/>
        <w:adjustRightInd w:val="0"/>
        <w:snapToGrid w:val="0"/>
        <w:spacing w:beforeLines="0" w:line="520" w:lineRule="exact"/>
        <w:ind w:left="0" w:leftChars="0" w:firstLine="0" w:firstLineChars="0"/>
        <w:rPr>
          <w:color w:val="FF0000"/>
        </w:rPr>
      </w:pPr>
    </w:p>
    <w:p w14:paraId="340BCD0D">
      <w:pPr>
        <w:pStyle w:val="2"/>
        <w:ind w:firstLine="643"/>
        <w:rPr>
          <w:rFonts w:cs="Times New Roman"/>
          <w:color w:val="auto"/>
        </w:rPr>
      </w:pPr>
      <w:bookmarkStart w:id="41" w:name="_Toc172712301"/>
      <w:r>
        <w:rPr>
          <w:rFonts w:cs="Times New Roman"/>
          <w:color w:val="auto"/>
        </w:rPr>
        <w:t>7 验收监测内容</w:t>
      </w:r>
      <w:bookmarkEnd w:id="41"/>
    </w:p>
    <w:p w14:paraId="43C62EC9">
      <w:pPr>
        <w:pStyle w:val="3"/>
        <w:spacing w:before="163" w:after="163"/>
        <w:ind w:firstLine="643"/>
        <w:rPr>
          <w:rFonts w:cs="Times New Roman"/>
          <w:color w:val="auto"/>
        </w:rPr>
      </w:pPr>
      <w:bookmarkStart w:id="42" w:name="_Toc172712302"/>
      <w:r>
        <w:rPr>
          <w:rFonts w:cs="Times New Roman"/>
          <w:color w:val="auto"/>
        </w:rPr>
        <w:t>7.1环境保护设施调试运行效果</w:t>
      </w:r>
      <w:bookmarkEnd w:id="42"/>
    </w:p>
    <w:p w14:paraId="24FD9E4D">
      <w:pPr>
        <w:pStyle w:val="4"/>
        <w:ind w:firstLine="562"/>
        <w:rPr>
          <w:rFonts w:cs="Times New Roman"/>
          <w:color w:val="auto"/>
        </w:rPr>
      </w:pPr>
      <w:r>
        <w:rPr>
          <w:rFonts w:cs="Times New Roman"/>
          <w:color w:val="auto"/>
        </w:rPr>
        <w:t>7.1.1废气</w:t>
      </w:r>
    </w:p>
    <w:p w14:paraId="30AEBC2D">
      <w:pPr>
        <w:pStyle w:val="5"/>
        <w:ind w:firstLine="482"/>
        <w:rPr>
          <w:rFonts w:cs="Times New Roman"/>
          <w:color w:val="auto"/>
        </w:rPr>
      </w:pPr>
      <w:r>
        <w:rPr>
          <w:rFonts w:cs="Times New Roman"/>
          <w:color w:val="auto"/>
        </w:rPr>
        <w:t>7.1.1.1有组织排放</w:t>
      </w:r>
    </w:p>
    <w:p w14:paraId="3A75D9C6">
      <w:pPr>
        <w:ind w:firstLine="480"/>
        <w:rPr>
          <w:rFonts w:cs="Times New Roman"/>
          <w:color w:val="auto"/>
        </w:rPr>
      </w:pPr>
      <w:r>
        <w:rPr>
          <w:rFonts w:cs="Times New Roman"/>
          <w:color w:val="auto"/>
        </w:rPr>
        <w:t>本项目废气有组织监测内容见下表：</w:t>
      </w:r>
    </w:p>
    <w:p w14:paraId="56304916">
      <w:pPr>
        <w:pStyle w:val="40"/>
        <w:spacing w:beforeLines="0" w:line="520" w:lineRule="exact"/>
        <w:rPr>
          <w:color w:val="auto"/>
        </w:rPr>
      </w:pPr>
      <w:r>
        <w:rPr>
          <w:color w:val="auto"/>
        </w:rPr>
        <w:t>表7-1                          废气有组织排放监测内容</w:t>
      </w:r>
    </w:p>
    <w:tbl>
      <w:tblPr>
        <w:tblStyle w:val="26"/>
        <w:tblW w:w="5000" w:type="pct"/>
        <w:jc w:val="center"/>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Layout w:type="autofit"/>
        <w:tblCellMar>
          <w:top w:w="0" w:type="dxa"/>
          <w:left w:w="28" w:type="dxa"/>
          <w:bottom w:w="0" w:type="dxa"/>
          <w:right w:w="28" w:type="dxa"/>
        </w:tblCellMar>
      </w:tblPr>
      <w:tblGrid>
        <w:gridCol w:w="634"/>
        <w:gridCol w:w="1800"/>
        <w:gridCol w:w="1814"/>
        <w:gridCol w:w="1138"/>
        <w:gridCol w:w="1469"/>
        <w:gridCol w:w="1158"/>
        <w:gridCol w:w="1115"/>
      </w:tblGrid>
      <w:tr w14:paraId="2AE3F30F">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47" w:type="pct"/>
            <w:vAlign w:val="center"/>
          </w:tcPr>
          <w:p w14:paraId="0779F18A">
            <w:pPr>
              <w:pStyle w:val="39"/>
              <w:adjustRightInd w:val="0"/>
              <w:snapToGrid w:val="0"/>
              <w:rPr>
                <w:b/>
                <w:color w:val="auto"/>
                <w:szCs w:val="21"/>
              </w:rPr>
            </w:pPr>
            <w:r>
              <w:rPr>
                <w:rFonts w:hint="eastAsia"/>
                <w:b/>
                <w:color w:val="auto"/>
                <w:szCs w:val="21"/>
              </w:rPr>
              <w:t>序号</w:t>
            </w:r>
          </w:p>
        </w:tc>
        <w:tc>
          <w:tcPr>
            <w:tcW w:w="985" w:type="pct"/>
            <w:vAlign w:val="center"/>
          </w:tcPr>
          <w:p w14:paraId="6C33E2FE">
            <w:pPr>
              <w:pStyle w:val="39"/>
              <w:adjustRightInd w:val="0"/>
              <w:snapToGrid w:val="0"/>
              <w:rPr>
                <w:b/>
                <w:color w:val="auto"/>
                <w:szCs w:val="21"/>
              </w:rPr>
            </w:pPr>
            <w:r>
              <w:rPr>
                <w:b/>
                <w:color w:val="auto"/>
                <w:szCs w:val="21"/>
              </w:rPr>
              <w:t>污染源</w:t>
            </w:r>
          </w:p>
        </w:tc>
        <w:tc>
          <w:tcPr>
            <w:tcW w:w="993" w:type="pct"/>
            <w:vAlign w:val="center"/>
          </w:tcPr>
          <w:p w14:paraId="1D981C64">
            <w:pPr>
              <w:pStyle w:val="39"/>
              <w:adjustRightInd w:val="0"/>
              <w:snapToGrid w:val="0"/>
              <w:rPr>
                <w:b/>
                <w:color w:val="auto"/>
                <w:szCs w:val="21"/>
              </w:rPr>
            </w:pPr>
            <w:r>
              <w:rPr>
                <w:b/>
                <w:color w:val="auto"/>
                <w:szCs w:val="21"/>
              </w:rPr>
              <w:t>设施名称</w:t>
            </w:r>
          </w:p>
        </w:tc>
        <w:tc>
          <w:tcPr>
            <w:tcW w:w="623" w:type="pct"/>
            <w:vAlign w:val="center"/>
          </w:tcPr>
          <w:p w14:paraId="136D7432">
            <w:pPr>
              <w:pStyle w:val="39"/>
              <w:adjustRightInd w:val="0"/>
              <w:snapToGrid w:val="0"/>
              <w:rPr>
                <w:b/>
                <w:color w:val="auto"/>
                <w:szCs w:val="21"/>
              </w:rPr>
            </w:pPr>
            <w:r>
              <w:rPr>
                <w:b/>
                <w:color w:val="auto"/>
                <w:szCs w:val="21"/>
              </w:rPr>
              <w:t>监测位置</w:t>
            </w:r>
          </w:p>
        </w:tc>
        <w:tc>
          <w:tcPr>
            <w:tcW w:w="1438" w:type="pct"/>
            <w:gridSpan w:val="2"/>
            <w:vAlign w:val="center"/>
          </w:tcPr>
          <w:p w14:paraId="690F5094">
            <w:pPr>
              <w:pStyle w:val="39"/>
              <w:adjustRightInd w:val="0"/>
              <w:snapToGrid w:val="0"/>
              <w:rPr>
                <w:b/>
                <w:color w:val="auto"/>
                <w:szCs w:val="21"/>
              </w:rPr>
            </w:pPr>
            <w:r>
              <w:rPr>
                <w:b/>
                <w:color w:val="auto"/>
                <w:szCs w:val="21"/>
              </w:rPr>
              <w:t>监测因子</w:t>
            </w:r>
          </w:p>
        </w:tc>
        <w:tc>
          <w:tcPr>
            <w:tcW w:w="610" w:type="pct"/>
            <w:vAlign w:val="center"/>
          </w:tcPr>
          <w:p w14:paraId="0B933EFC">
            <w:pPr>
              <w:pStyle w:val="39"/>
              <w:adjustRightInd w:val="0"/>
              <w:snapToGrid w:val="0"/>
              <w:rPr>
                <w:b/>
                <w:color w:val="auto"/>
                <w:szCs w:val="21"/>
              </w:rPr>
            </w:pPr>
            <w:r>
              <w:rPr>
                <w:b/>
                <w:color w:val="auto"/>
                <w:szCs w:val="21"/>
              </w:rPr>
              <w:t>监测频次</w:t>
            </w:r>
          </w:p>
        </w:tc>
      </w:tr>
      <w:tr w14:paraId="47B8A790">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47" w:type="pct"/>
            <w:vAlign w:val="center"/>
          </w:tcPr>
          <w:p w14:paraId="05F0520E">
            <w:pPr>
              <w:pStyle w:val="39"/>
              <w:adjustRightInd w:val="0"/>
              <w:snapToGrid w:val="0"/>
              <w:rPr>
                <w:color w:val="auto"/>
                <w:szCs w:val="21"/>
              </w:rPr>
            </w:pPr>
            <w:r>
              <w:rPr>
                <w:rFonts w:hint="eastAsia"/>
                <w:color w:val="auto"/>
                <w:szCs w:val="21"/>
              </w:rPr>
              <w:t>1</w:t>
            </w:r>
          </w:p>
        </w:tc>
        <w:tc>
          <w:tcPr>
            <w:tcW w:w="985" w:type="pct"/>
            <w:vAlign w:val="center"/>
          </w:tcPr>
          <w:p w14:paraId="6F88A120">
            <w:pPr>
              <w:pStyle w:val="39"/>
              <w:adjustRightInd w:val="0"/>
              <w:snapToGrid w:val="0"/>
              <w:rPr>
                <w:color w:val="auto"/>
                <w:kern w:val="0"/>
                <w:szCs w:val="21"/>
              </w:rPr>
            </w:pPr>
            <w:r>
              <w:rPr>
                <w:rFonts w:hint="eastAsia"/>
                <w:color w:val="auto"/>
                <w:kern w:val="0"/>
                <w:szCs w:val="21"/>
                <w:lang w:val="en-US" w:eastAsia="zh-CN"/>
              </w:rPr>
              <w:t>1#钢带镀镍线废气</w:t>
            </w:r>
          </w:p>
        </w:tc>
        <w:tc>
          <w:tcPr>
            <w:tcW w:w="993" w:type="pct"/>
            <w:vAlign w:val="center"/>
          </w:tcPr>
          <w:p w14:paraId="679A31BF">
            <w:pPr>
              <w:pStyle w:val="39"/>
              <w:adjustRightInd w:val="0"/>
              <w:snapToGrid w:val="0"/>
              <w:rPr>
                <w:rFonts w:hint="eastAsia"/>
                <w:color w:val="auto"/>
                <w:kern w:val="0"/>
                <w:szCs w:val="21"/>
              </w:rPr>
            </w:pPr>
            <w:r>
              <w:rPr>
                <w:rFonts w:hint="eastAsia"/>
                <w:color w:val="auto"/>
                <w:kern w:val="0"/>
                <w:szCs w:val="21"/>
                <w:lang w:val="en-US" w:eastAsia="zh-CN"/>
              </w:rPr>
              <w:t>DA002（两级酸雾吸收塔）</w:t>
            </w:r>
          </w:p>
        </w:tc>
        <w:tc>
          <w:tcPr>
            <w:tcW w:w="623" w:type="pct"/>
            <w:vMerge w:val="restart"/>
            <w:vAlign w:val="center"/>
          </w:tcPr>
          <w:p w14:paraId="545D6974">
            <w:pPr>
              <w:pStyle w:val="39"/>
              <w:adjustRightInd w:val="0"/>
              <w:snapToGrid w:val="0"/>
              <w:rPr>
                <w:color w:val="auto"/>
                <w:kern w:val="0"/>
                <w:szCs w:val="21"/>
              </w:rPr>
            </w:pPr>
            <w:r>
              <w:rPr>
                <w:color w:val="auto"/>
                <w:kern w:val="0"/>
                <w:szCs w:val="21"/>
              </w:rPr>
              <w:t>处理设施</w:t>
            </w:r>
            <w:r>
              <w:rPr>
                <w:rFonts w:hint="eastAsia"/>
                <w:color w:val="auto"/>
                <w:kern w:val="0"/>
                <w:szCs w:val="21"/>
              </w:rPr>
              <w:t>进、</w:t>
            </w:r>
            <w:r>
              <w:rPr>
                <w:color w:val="auto"/>
                <w:kern w:val="0"/>
                <w:szCs w:val="21"/>
              </w:rPr>
              <w:t>出口</w:t>
            </w:r>
          </w:p>
        </w:tc>
        <w:tc>
          <w:tcPr>
            <w:tcW w:w="804" w:type="pct"/>
            <w:vAlign w:val="center"/>
          </w:tcPr>
          <w:p w14:paraId="1EA37849">
            <w:pPr>
              <w:pStyle w:val="39"/>
              <w:adjustRightInd w:val="0"/>
              <w:snapToGrid w:val="0"/>
              <w:rPr>
                <w:color w:val="auto"/>
                <w:szCs w:val="21"/>
              </w:rPr>
            </w:pPr>
            <w:r>
              <w:rPr>
                <w:rFonts w:hint="eastAsia"/>
                <w:color w:val="auto"/>
                <w:szCs w:val="21"/>
              </w:rPr>
              <w:t>硫酸雾</w:t>
            </w:r>
          </w:p>
        </w:tc>
        <w:tc>
          <w:tcPr>
            <w:tcW w:w="634" w:type="pct"/>
            <w:vMerge w:val="restart"/>
            <w:vAlign w:val="center"/>
          </w:tcPr>
          <w:p w14:paraId="004A46A4">
            <w:pPr>
              <w:pStyle w:val="39"/>
              <w:adjustRightInd w:val="0"/>
              <w:snapToGrid w:val="0"/>
              <w:rPr>
                <w:color w:val="auto"/>
                <w:szCs w:val="21"/>
              </w:rPr>
            </w:pPr>
            <w:r>
              <w:rPr>
                <w:color w:val="auto"/>
                <w:szCs w:val="21"/>
              </w:rPr>
              <w:t>废气流量，浓度，速率</w:t>
            </w:r>
          </w:p>
        </w:tc>
        <w:tc>
          <w:tcPr>
            <w:tcW w:w="610" w:type="pct"/>
            <w:vMerge w:val="restart"/>
            <w:vAlign w:val="center"/>
          </w:tcPr>
          <w:p w14:paraId="3C84A4F2">
            <w:pPr>
              <w:pStyle w:val="39"/>
              <w:adjustRightInd w:val="0"/>
              <w:snapToGrid w:val="0"/>
              <w:rPr>
                <w:color w:val="auto"/>
                <w:szCs w:val="21"/>
              </w:rPr>
            </w:pPr>
            <w:r>
              <w:rPr>
                <w:color w:val="auto"/>
                <w:szCs w:val="21"/>
              </w:rPr>
              <w:t>3次/周期，2周期</w:t>
            </w:r>
          </w:p>
        </w:tc>
      </w:tr>
      <w:tr w14:paraId="141F4DB7">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47" w:type="pct"/>
            <w:vAlign w:val="center"/>
          </w:tcPr>
          <w:p w14:paraId="6395366A">
            <w:pPr>
              <w:pStyle w:val="39"/>
              <w:adjustRightInd w:val="0"/>
              <w:snapToGrid w:val="0"/>
              <w:rPr>
                <w:rFonts w:hint="eastAsia" w:eastAsia="宋体"/>
                <w:color w:val="auto"/>
                <w:szCs w:val="21"/>
                <w:lang w:val="en-US" w:eastAsia="zh-CN"/>
              </w:rPr>
            </w:pPr>
            <w:r>
              <w:rPr>
                <w:rFonts w:hint="eastAsia"/>
                <w:color w:val="auto"/>
                <w:szCs w:val="21"/>
                <w:lang w:val="en-US" w:eastAsia="zh-CN"/>
              </w:rPr>
              <w:t>2</w:t>
            </w:r>
          </w:p>
        </w:tc>
        <w:tc>
          <w:tcPr>
            <w:tcW w:w="985" w:type="pct"/>
            <w:vAlign w:val="center"/>
          </w:tcPr>
          <w:p w14:paraId="0AE4E583">
            <w:pPr>
              <w:pStyle w:val="39"/>
              <w:adjustRightInd w:val="0"/>
              <w:snapToGrid w:val="0"/>
              <w:rPr>
                <w:rFonts w:hint="eastAsia"/>
                <w:color w:val="auto"/>
                <w:szCs w:val="21"/>
              </w:rPr>
            </w:pPr>
            <w:r>
              <w:rPr>
                <w:rFonts w:hint="eastAsia"/>
                <w:color w:val="auto"/>
                <w:kern w:val="0"/>
                <w:szCs w:val="21"/>
                <w:lang w:val="en-US" w:eastAsia="zh-CN"/>
              </w:rPr>
              <w:t>2#钢带镀镍线废气</w:t>
            </w:r>
          </w:p>
        </w:tc>
        <w:tc>
          <w:tcPr>
            <w:tcW w:w="993" w:type="pct"/>
            <w:vAlign w:val="center"/>
          </w:tcPr>
          <w:p w14:paraId="24A54834">
            <w:pPr>
              <w:pStyle w:val="39"/>
              <w:adjustRightInd w:val="0"/>
              <w:snapToGrid w:val="0"/>
              <w:rPr>
                <w:rFonts w:hint="eastAsia"/>
                <w:color w:val="auto"/>
                <w:kern w:val="0"/>
                <w:szCs w:val="21"/>
              </w:rPr>
            </w:pPr>
            <w:r>
              <w:rPr>
                <w:rFonts w:hint="eastAsia"/>
                <w:color w:val="auto"/>
                <w:kern w:val="0"/>
                <w:szCs w:val="21"/>
                <w:lang w:val="en-US" w:eastAsia="zh-CN"/>
              </w:rPr>
              <w:t>DA004 （现有钢帽废气处理设施）</w:t>
            </w:r>
          </w:p>
        </w:tc>
        <w:tc>
          <w:tcPr>
            <w:tcW w:w="623" w:type="pct"/>
            <w:vMerge w:val="continue"/>
            <w:vAlign w:val="center"/>
          </w:tcPr>
          <w:p w14:paraId="25DF7367">
            <w:pPr>
              <w:pStyle w:val="39"/>
              <w:adjustRightInd w:val="0"/>
              <w:snapToGrid w:val="0"/>
              <w:rPr>
                <w:color w:val="auto"/>
                <w:kern w:val="0"/>
                <w:szCs w:val="21"/>
              </w:rPr>
            </w:pPr>
          </w:p>
        </w:tc>
        <w:tc>
          <w:tcPr>
            <w:tcW w:w="804" w:type="pct"/>
            <w:vAlign w:val="center"/>
          </w:tcPr>
          <w:p w14:paraId="470F4A59">
            <w:pPr>
              <w:pStyle w:val="39"/>
              <w:adjustRightInd w:val="0"/>
              <w:snapToGrid w:val="0"/>
              <w:rPr>
                <w:rFonts w:hint="eastAsia"/>
                <w:color w:val="auto"/>
                <w:szCs w:val="21"/>
              </w:rPr>
            </w:pPr>
            <w:r>
              <w:rPr>
                <w:rFonts w:hint="eastAsia"/>
                <w:color w:val="auto"/>
                <w:szCs w:val="21"/>
              </w:rPr>
              <w:t>硫酸雾</w:t>
            </w:r>
          </w:p>
        </w:tc>
        <w:tc>
          <w:tcPr>
            <w:tcW w:w="634" w:type="pct"/>
            <w:vMerge w:val="continue"/>
            <w:vAlign w:val="center"/>
          </w:tcPr>
          <w:p w14:paraId="400D3757">
            <w:pPr>
              <w:pStyle w:val="39"/>
              <w:adjustRightInd w:val="0"/>
              <w:snapToGrid w:val="0"/>
              <w:rPr>
                <w:color w:val="auto"/>
                <w:szCs w:val="21"/>
              </w:rPr>
            </w:pPr>
          </w:p>
        </w:tc>
        <w:tc>
          <w:tcPr>
            <w:tcW w:w="610" w:type="pct"/>
            <w:vMerge w:val="continue"/>
            <w:vAlign w:val="center"/>
          </w:tcPr>
          <w:p w14:paraId="67ED2BD4">
            <w:pPr>
              <w:pStyle w:val="39"/>
              <w:adjustRightInd w:val="0"/>
              <w:snapToGrid w:val="0"/>
              <w:rPr>
                <w:color w:val="auto"/>
                <w:szCs w:val="21"/>
              </w:rPr>
            </w:pPr>
          </w:p>
        </w:tc>
      </w:tr>
      <w:tr w14:paraId="449CF021">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47" w:type="pct"/>
            <w:vAlign w:val="center"/>
          </w:tcPr>
          <w:p w14:paraId="6756C196">
            <w:pPr>
              <w:pStyle w:val="39"/>
              <w:adjustRightInd w:val="0"/>
              <w:snapToGrid w:val="0"/>
              <w:rPr>
                <w:rFonts w:hint="eastAsia" w:eastAsia="宋体"/>
                <w:color w:val="auto"/>
                <w:szCs w:val="21"/>
                <w:lang w:val="en-US" w:eastAsia="zh-CN"/>
              </w:rPr>
            </w:pPr>
            <w:r>
              <w:rPr>
                <w:rFonts w:hint="eastAsia"/>
                <w:color w:val="auto"/>
                <w:szCs w:val="21"/>
                <w:lang w:val="en-US" w:eastAsia="zh-CN"/>
              </w:rPr>
              <w:t>3</w:t>
            </w:r>
          </w:p>
        </w:tc>
        <w:tc>
          <w:tcPr>
            <w:tcW w:w="985" w:type="pct"/>
            <w:vAlign w:val="center"/>
          </w:tcPr>
          <w:p w14:paraId="3F1FB33A">
            <w:pPr>
              <w:pStyle w:val="39"/>
              <w:adjustRightInd w:val="0"/>
              <w:snapToGrid w:val="0"/>
              <w:rPr>
                <w:rFonts w:hint="eastAsia"/>
                <w:color w:val="auto"/>
                <w:szCs w:val="21"/>
              </w:rPr>
            </w:pPr>
            <w:r>
              <w:rPr>
                <w:rFonts w:hint="eastAsia"/>
                <w:color w:val="auto"/>
                <w:kern w:val="0"/>
                <w:szCs w:val="21"/>
                <w:lang w:val="en-US" w:eastAsia="zh-CN"/>
              </w:rPr>
              <w:t>3#钢带镀镍线废气</w:t>
            </w:r>
          </w:p>
        </w:tc>
        <w:tc>
          <w:tcPr>
            <w:tcW w:w="993" w:type="pct"/>
            <w:vAlign w:val="center"/>
          </w:tcPr>
          <w:p w14:paraId="5DD3710A">
            <w:pPr>
              <w:pStyle w:val="39"/>
              <w:adjustRightInd w:val="0"/>
              <w:snapToGrid w:val="0"/>
              <w:rPr>
                <w:rFonts w:hint="eastAsia"/>
                <w:color w:val="auto"/>
                <w:kern w:val="0"/>
                <w:szCs w:val="21"/>
              </w:rPr>
            </w:pPr>
            <w:r>
              <w:rPr>
                <w:rFonts w:hint="eastAsia"/>
                <w:color w:val="auto"/>
                <w:kern w:val="0"/>
                <w:szCs w:val="21"/>
                <w:lang w:val="en-US" w:eastAsia="zh-CN"/>
              </w:rPr>
              <w:t>DA005（两级酸雾吸收塔）</w:t>
            </w:r>
          </w:p>
        </w:tc>
        <w:tc>
          <w:tcPr>
            <w:tcW w:w="623" w:type="pct"/>
            <w:vMerge w:val="continue"/>
            <w:vAlign w:val="center"/>
          </w:tcPr>
          <w:p w14:paraId="618E43B4">
            <w:pPr>
              <w:pStyle w:val="39"/>
              <w:adjustRightInd w:val="0"/>
              <w:snapToGrid w:val="0"/>
              <w:rPr>
                <w:color w:val="auto"/>
                <w:kern w:val="0"/>
                <w:szCs w:val="21"/>
              </w:rPr>
            </w:pPr>
          </w:p>
        </w:tc>
        <w:tc>
          <w:tcPr>
            <w:tcW w:w="804" w:type="pct"/>
            <w:vAlign w:val="center"/>
          </w:tcPr>
          <w:p w14:paraId="04C771DA">
            <w:pPr>
              <w:pStyle w:val="39"/>
              <w:adjustRightInd w:val="0"/>
              <w:snapToGrid w:val="0"/>
              <w:rPr>
                <w:rFonts w:hint="eastAsia"/>
                <w:color w:val="auto"/>
                <w:szCs w:val="21"/>
              </w:rPr>
            </w:pPr>
            <w:r>
              <w:rPr>
                <w:rFonts w:hint="eastAsia"/>
                <w:color w:val="auto"/>
                <w:szCs w:val="21"/>
              </w:rPr>
              <w:t>硫酸雾</w:t>
            </w:r>
          </w:p>
        </w:tc>
        <w:tc>
          <w:tcPr>
            <w:tcW w:w="634" w:type="pct"/>
            <w:vMerge w:val="continue"/>
            <w:vAlign w:val="center"/>
          </w:tcPr>
          <w:p w14:paraId="7541F567">
            <w:pPr>
              <w:pStyle w:val="39"/>
              <w:adjustRightInd w:val="0"/>
              <w:snapToGrid w:val="0"/>
              <w:rPr>
                <w:color w:val="auto"/>
                <w:szCs w:val="21"/>
              </w:rPr>
            </w:pPr>
          </w:p>
        </w:tc>
        <w:tc>
          <w:tcPr>
            <w:tcW w:w="610" w:type="pct"/>
            <w:vMerge w:val="continue"/>
            <w:vAlign w:val="center"/>
          </w:tcPr>
          <w:p w14:paraId="7E83DF5E">
            <w:pPr>
              <w:pStyle w:val="39"/>
              <w:adjustRightInd w:val="0"/>
              <w:snapToGrid w:val="0"/>
              <w:rPr>
                <w:color w:val="auto"/>
                <w:szCs w:val="21"/>
              </w:rPr>
            </w:pPr>
          </w:p>
        </w:tc>
      </w:tr>
      <w:tr w14:paraId="54748D37">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47" w:type="pct"/>
            <w:vAlign w:val="center"/>
          </w:tcPr>
          <w:p w14:paraId="4D5A1F8F">
            <w:pPr>
              <w:pStyle w:val="39"/>
              <w:adjustRightInd w:val="0"/>
              <w:snapToGrid w:val="0"/>
              <w:rPr>
                <w:rFonts w:hint="eastAsia" w:eastAsia="宋体"/>
                <w:color w:val="auto"/>
                <w:szCs w:val="21"/>
                <w:lang w:val="en-US" w:eastAsia="zh-CN"/>
              </w:rPr>
            </w:pPr>
            <w:r>
              <w:rPr>
                <w:rFonts w:hint="eastAsia"/>
                <w:color w:val="auto"/>
                <w:szCs w:val="21"/>
                <w:lang w:val="en-US" w:eastAsia="zh-CN"/>
              </w:rPr>
              <w:t>4</w:t>
            </w:r>
          </w:p>
        </w:tc>
        <w:tc>
          <w:tcPr>
            <w:tcW w:w="985" w:type="pct"/>
            <w:vAlign w:val="center"/>
          </w:tcPr>
          <w:p w14:paraId="60EC6964">
            <w:pPr>
              <w:pStyle w:val="39"/>
              <w:adjustRightInd w:val="0"/>
              <w:snapToGrid w:val="0"/>
              <w:rPr>
                <w:rFonts w:hint="eastAsia"/>
                <w:color w:val="auto"/>
                <w:szCs w:val="21"/>
              </w:rPr>
            </w:pPr>
            <w:r>
              <w:rPr>
                <w:rFonts w:hint="eastAsia"/>
                <w:color w:val="auto"/>
                <w:kern w:val="0"/>
                <w:szCs w:val="21"/>
                <w:lang w:val="en-US" w:eastAsia="zh-CN"/>
              </w:rPr>
              <w:t>汽车配件挂镀锌线废气</w:t>
            </w:r>
          </w:p>
        </w:tc>
        <w:tc>
          <w:tcPr>
            <w:tcW w:w="993" w:type="pct"/>
            <w:vAlign w:val="center"/>
          </w:tcPr>
          <w:p w14:paraId="62CB2A57">
            <w:pPr>
              <w:pStyle w:val="39"/>
              <w:adjustRightInd w:val="0"/>
              <w:snapToGrid w:val="0"/>
              <w:rPr>
                <w:rFonts w:hint="eastAsia"/>
                <w:color w:val="auto"/>
                <w:kern w:val="0"/>
                <w:szCs w:val="21"/>
              </w:rPr>
            </w:pPr>
            <w:r>
              <w:rPr>
                <w:rFonts w:hint="eastAsia"/>
                <w:color w:val="auto"/>
                <w:kern w:val="0"/>
                <w:szCs w:val="21"/>
                <w:lang w:val="en-US" w:eastAsia="zh-CN"/>
              </w:rPr>
              <w:t>DA006（两级酸雾吸收塔）</w:t>
            </w:r>
          </w:p>
        </w:tc>
        <w:tc>
          <w:tcPr>
            <w:tcW w:w="623" w:type="pct"/>
            <w:vMerge w:val="continue"/>
            <w:vAlign w:val="center"/>
          </w:tcPr>
          <w:p w14:paraId="4C9A81CC">
            <w:pPr>
              <w:pStyle w:val="39"/>
              <w:adjustRightInd w:val="0"/>
              <w:snapToGrid w:val="0"/>
              <w:rPr>
                <w:color w:val="auto"/>
                <w:kern w:val="0"/>
                <w:szCs w:val="21"/>
              </w:rPr>
            </w:pPr>
          </w:p>
        </w:tc>
        <w:tc>
          <w:tcPr>
            <w:tcW w:w="804" w:type="pct"/>
            <w:vAlign w:val="center"/>
          </w:tcPr>
          <w:p w14:paraId="351F655F">
            <w:pPr>
              <w:pStyle w:val="39"/>
              <w:adjustRightInd w:val="0"/>
              <w:snapToGrid w:val="0"/>
              <w:rPr>
                <w:rFonts w:hint="eastAsia"/>
                <w:color w:val="auto"/>
                <w:szCs w:val="21"/>
              </w:rPr>
            </w:pPr>
            <w:r>
              <w:rPr>
                <w:rFonts w:hint="eastAsia" w:ascii="Times New Roman" w:hAnsi="Times New Roman" w:cs="Times New Roman"/>
                <w:color w:val="auto"/>
                <w:kern w:val="0"/>
                <w:sz w:val="21"/>
                <w:szCs w:val="21"/>
                <w:lang w:val="en-US" w:eastAsia="zh-CN"/>
              </w:rPr>
              <w:t>氯化氢、氮氧化物、铬酸雾</w:t>
            </w:r>
          </w:p>
        </w:tc>
        <w:tc>
          <w:tcPr>
            <w:tcW w:w="634" w:type="pct"/>
            <w:vMerge w:val="continue"/>
            <w:vAlign w:val="center"/>
          </w:tcPr>
          <w:p w14:paraId="3FDCBAF0">
            <w:pPr>
              <w:pStyle w:val="39"/>
              <w:adjustRightInd w:val="0"/>
              <w:snapToGrid w:val="0"/>
              <w:rPr>
                <w:color w:val="auto"/>
                <w:szCs w:val="21"/>
              </w:rPr>
            </w:pPr>
          </w:p>
        </w:tc>
        <w:tc>
          <w:tcPr>
            <w:tcW w:w="610" w:type="pct"/>
            <w:vMerge w:val="continue"/>
            <w:vAlign w:val="center"/>
          </w:tcPr>
          <w:p w14:paraId="1858EBF8">
            <w:pPr>
              <w:pStyle w:val="39"/>
              <w:adjustRightInd w:val="0"/>
              <w:snapToGrid w:val="0"/>
              <w:rPr>
                <w:color w:val="auto"/>
                <w:szCs w:val="21"/>
              </w:rPr>
            </w:pPr>
          </w:p>
        </w:tc>
      </w:tr>
      <w:tr w14:paraId="3DB447F5">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47" w:type="pct"/>
            <w:vAlign w:val="center"/>
          </w:tcPr>
          <w:p w14:paraId="1FBFBCDA">
            <w:pPr>
              <w:pStyle w:val="39"/>
              <w:adjustRightInd w:val="0"/>
              <w:snapToGrid w:val="0"/>
              <w:rPr>
                <w:rFonts w:hint="eastAsia" w:eastAsia="宋体"/>
                <w:color w:val="auto"/>
                <w:szCs w:val="21"/>
                <w:lang w:val="en-US" w:eastAsia="zh-CN"/>
              </w:rPr>
            </w:pPr>
            <w:r>
              <w:rPr>
                <w:rFonts w:hint="eastAsia"/>
                <w:color w:val="auto"/>
                <w:szCs w:val="21"/>
                <w:lang w:val="en-US" w:eastAsia="zh-CN"/>
              </w:rPr>
              <w:t>5</w:t>
            </w:r>
          </w:p>
        </w:tc>
        <w:tc>
          <w:tcPr>
            <w:tcW w:w="985" w:type="pct"/>
            <w:vAlign w:val="center"/>
          </w:tcPr>
          <w:p w14:paraId="1370BD51">
            <w:pPr>
              <w:pStyle w:val="39"/>
              <w:adjustRightInd w:val="0"/>
              <w:snapToGrid w:val="0"/>
              <w:rPr>
                <w:rFonts w:hint="eastAsia"/>
                <w:color w:val="auto"/>
                <w:szCs w:val="21"/>
              </w:rPr>
            </w:pPr>
            <w:r>
              <w:rPr>
                <w:rFonts w:hint="default"/>
                <w:color w:val="auto"/>
                <w:kern w:val="0"/>
                <w:szCs w:val="21"/>
              </w:rPr>
              <w:t>污水处理及污泥间</w:t>
            </w:r>
            <w:r>
              <w:rPr>
                <w:rFonts w:hint="eastAsia"/>
                <w:color w:val="auto"/>
                <w:kern w:val="0"/>
                <w:szCs w:val="21"/>
                <w:lang w:val="en-US" w:eastAsia="zh-CN"/>
              </w:rPr>
              <w:t>废气</w:t>
            </w:r>
          </w:p>
        </w:tc>
        <w:tc>
          <w:tcPr>
            <w:tcW w:w="993" w:type="pct"/>
            <w:vAlign w:val="center"/>
          </w:tcPr>
          <w:p w14:paraId="733A599E">
            <w:pPr>
              <w:pStyle w:val="39"/>
              <w:adjustRightInd w:val="0"/>
              <w:snapToGrid w:val="0"/>
              <w:rPr>
                <w:rFonts w:hint="eastAsia"/>
                <w:color w:val="auto"/>
                <w:kern w:val="0"/>
                <w:szCs w:val="21"/>
              </w:rPr>
            </w:pPr>
            <w:r>
              <w:rPr>
                <w:rFonts w:hint="eastAsia"/>
                <w:color w:val="auto"/>
                <w:kern w:val="0"/>
                <w:szCs w:val="21"/>
                <w:lang w:val="en-US" w:eastAsia="zh-CN"/>
              </w:rPr>
              <w:t>DA007（生物除臭塔）</w:t>
            </w:r>
          </w:p>
        </w:tc>
        <w:tc>
          <w:tcPr>
            <w:tcW w:w="623" w:type="pct"/>
            <w:vMerge w:val="continue"/>
            <w:vAlign w:val="center"/>
          </w:tcPr>
          <w:p w14:paraId="46AB89E2">
            <w:pPr>
              <w:pStyle w:val="39"/>
              <w:adjustRightInd w:val="0"/>
              <w:snapToGrid w:val="0"/>
              <w:rPr>
                <w:color w:val="auto"/>
                <w:kern w:val="0"/>
                <w:szCs w:val="21"/>
              </w:rPr>
            </w:pPr>
          </w:p>
        </w:tc>
        <w:tc>
          <w:tcPr>
            <w:tcW w:w="804" w:type="pct"/>
            <w:vAlign w:val="center"/>
          </w:tcPr>
          <w:p w14:paraId="3D60B9BD">
            <w:pPr>
              <w:pStyle w:val="39"/>
              <w:adjustRightInd w:val="0"/>
              <w:snapToGrid w:val="0"/>
              <w:rPr>
                <w:rFonts w:hint="eastAsia"/>
                <w:color w:val="auto"/>
                <w:szCs w:val="21"/>
              </w:rPr>
            </w:pPr>
            <w:r>
              <w:rPr>
                <w:rFonts w:hint="eastAsia" w:ascii="Times New Roman" w:hAnsi="Times New Roman" w:cs="Times New Roman"/>
                <w:color w:val="auto"/>
                <w:kern w:val="0"/>
                <w:sz w:val="21"/>
                <w:szCs w:val="21"/>
                <w:lang w:val="en-US" w:eastAsia="zh-CN"/>
              </w:rPr>
              <w:t>氨、硫化氢</w:t>
            </w:r>
          </w:p>
        </w:tc>
        <w:tc>
          <w:tcPr>
            <w:tcW w:w="634" w:type="pct"/>
            <w:vMerge w:val="continue"/>
            <w:vAlign w:val="center"/>
          </w:tcPr>
          <w:p w14:paraId="2C782BD5">
            <w:pPr>
              <w:pStyle w:val="39"/>
              <w:adjustRightInd w:val="0"/>
              <w:snapToGrid w:val="0"/>
              <w:rPr>
                <w:color w:val="auto"/>
                <w:szCs w:val="21"/>
              </w:rPr>
            </w:pPr>
          </w:p>
        </w:tc>
        <w:tc>
          <w:tcPr>
            <w:tcW w:w="610" w:type="pct"/>
            <w:vMerge w:val="continue"/>
            <w:vAlign w:val="center"/>
          </w:tcPr>
          <w:p w14:paraId="55EBC34A">
            <w:pPr>
              <w:pStyle w:val="39"/>
              <w:adjustRightInd w:val="0"/>
              <w:snapToGrid w:val="0"/>
              <w:rPr>
                <w:color w:val="auto"/>
                <w:szCs w:val="21"/>
              </w:rPr>
            </w:pPr>
          </w:p>
        </w:tc>
      </w:tr>
    </w:tbl>
    <w:p w14:paraId="31F46B2A">
      <w:pPr>
        <w:pStyle w:val="5"/>
        <w:ind w:firstLine="482"/>
        <w:rPr>
          <w:rFonts w:cs="Times New Roman"/>
          <w:color w:val="auto"/>
        </w:rPr>
      </w:pPr>
      <w:r>
        <w:rPr>
          <w:rFonts w:cs="Times New Roman"/>
          <w:color w:val="auto"/>
        </w:rPr>
        <w:t>7.1.1.2无组织排放</w:t>
      </w:r>
    </w:p>
    <w:p w14:paraId="08BFF8B6">
      <w:pPr>
        <w:ind w:firstLine="480"/>
        <w:rPr>
          <w:rFonts w:cs="Times New Roman"/>
          <w:color w:val="auto"/>
        </w:rPr>
      </w:pPr>
      <w:r>
        <w:rPr>
          <w:rFonts w:cs="Times New Roman"/>
          <w:color w:val="auto"/>
        </w:rPr>
        <w:t>本项目废气无组织监测内容见下表：</w:t>
      </w:r>
    </w:p>
    <w:p w14:paraId="45C7F008">
      <w:pPr>
        <w:pStyle w:val="40"/>
        <w:spacing w:beforeLines="0" w:line="520" w:lineRule="exact"/>
        <w:rPr>
          <w:color w:val="auto"/>
        </w:rPr>
      </w:pPr>
      <w:r>
        <w:rPr>
          <w:color w:val="auto"/>
        </w:rPr>
        <w:t>表7-2                                 废气无组织监测内容</w:t>
      </w:r>
    </w:p>
    <w:tbl>
      <w:tblPr>
        <w:tblStyle w:val="26"/>
        <w:tblW w:w="5000" w:type="pct"/>
        <w:tblInd w:w="0" w:type="dxa"/>
        <w:tblBorders>
          <w:top w:val="single" w:color="auto" w:sz="8" w:space="0"/>
          <w:left w:val="single" w:color="auto" w:sz="8" w:space="0"/>
          <w:bottom w:val="single" w:color="auto" w:sz="8" w:space="0"/>
          <w:right w:val="single" w:color="auto" w:sz="8" w:space="0"/>
          <w:insideH w:val="single" w:color="000000" w:sz="6" w:space="0"/>
          <w:insideV w:val="single" w:color="000000" w:sz="4" w:space="0"/>
        </w:tblBorders>
        <w:tblLayout w:type="autofit"/>
        <w:tblCellMar>
          <w:top w:w="0" w:type="dxa"/>
          <w:left w:w="108" w:type="dxa"/>
          <w:bottom w:w="0" w:type="dxa"/>
          <w:right w:w="108" w:type="dxa"/>
        </w:tblCellMar>
      </w:tblPr>
      <w:tblGrid>
        <w:gridCol w:w="4315"/>
        <w:gridCol w:w="3165"/>
        <w:gridCol w:w="1808"/>
      </w:tblGrid>
      <w:tr w14:paraId="7E40ECBC">
        <w:tblPrEx>
          <w:tblBorders>
            <w:top w:val="single" w:color="auto" w:sz="8" w:space="0"/>
            <w:left w:val="single" w:color="auto" w:sz="8" w:space="0"/>
            <w:bottom w:val="single" w:color="auto" w:sz="8" w:space="0"/>
            <w:right w:val="single" w:color="auto" w:sz="8" w:space="0"/>
            <w:insideH w:val="single" w:color="000000" w:sz="6" w:space="0"/>
            <w:insideV w:val="single" w:color="000000" w:sz="4" w:space="0"/>
          </w:tblBorders>
        </w:tblPrEx>
        <w:trPr>
          <w:trHeight w:val="397" w:hRule="atLeast"/>
        </w:trPr>
        <w:tc>
          <w:tcPr>
            <w:tcW w:w="2322" w:type="pct"/>
            <w:vAlign w:val="center"/>
          </w:tcPr>
          <w:p w14:paraId="6415E01E">
            <w:pPr>
              <w:pStyle w:val="39"/>
              <w:rPr>
                <w:b/>
                <w:color w:val="auto"/>
              </w:rPr>
            </w:pPr>
            <w:r>
              <w:rPr>
                <w:rFonts w:hint="eastAsia"/>
                <w:b/>
                <w:color w:val="auto"/>
              </w:rPr>
              <w:t>监测位置</w:t>
            </w:r>
          </w:p>
        </w:tc>
        <w:tc>
          <w:tcPr>
            <w:tcW w:w="1703" w:type="pct"/>
            <w:vAlign w:val="center"/>
          </w:tcPr>
          <w:p w14:paraId="3643B9CA">
            <w:pPr>
              <w:pStyle w:val="39"/>
              <w:rPr>
                <w:b/>
                <w:color w:val="auto"/>
              </w:rPr>
            </w:pPr>
            <w:r>
              <w:rPr>
                <w:rFonts w:hint="eastAsia"/>
                <w:b/>
                <w:color w:val="auto"/>
              </w:rPr>
              <w:t>监测因子</w:t>
            </w:r>
          </w:p>
        </w:tc>
        <w:tc>
          <w:tcPr>
            <w:tcW w:w="973" w:type="pct"/>
            <w:vAlign w:val="center"/>
          </w:tcPr>
          <w:p w14:paraId="5F3B3A85">
            <w:pPr>
              <w:pStyle w:val="39"/>
              <w:rPr>
                <w:b/>
                <w:color w:val="auto"/>
              </w:rPr>
            </w:pPr>
            <w:r>
              <w:rPr>
                <w:rFonts w:hint="eastAsia"/>
                <w:b/>
                <w:color w:val="auto"/>
              </w:rPr>
              <w:t>监测频次</w:t>
            </w:r>
          </w:p>
        </w:tc>
      </w:tr>
      <w:tr w14:paraId="7874BD3C">
        <w:tblPrEx>
          <w:tblBorders>
            <w:top w:val="single" w:color="auto" w:sz="8" w:space="0"/>
            <w:left w:val="single" w:color="auto" w:sz="8" w:space="0"/>
            <w:bottom w:val="single" w:color="auto" w:sz="8" w:space="0"/>
            <w:right w:val="single" w:color="auto" w:sz="8" w:space="0"/>
            <w:insideH w:val="single" w:color="000000" w:sz="6" w:space="0"/>
            <w:insideV w:val="single" w:color="000000" w:sz="4" w:space="0"/>
          </w:tblBorders>
          <w:tblCellMar>
            <w:top w:w="0" w:type="dxa"/>
            <w:left w:w="108" w:type="dxa"/>
            <w:bottom w:w="0" w:type="dxa"/>
            <w:right w:w="108" w:type="dxa"/>
          </w:tblCellMar>
        </w:tblPrEx>
        <w:trPr>
          <w:trHeight w:val="397" w:hRule="atLeast"/>
        </w:trPr>
        <w:tc>
          <w:tcPr>
            <w:tcW w:w="2322" w:type="pct"/>
            <w:vAlign w:val="center"/>
          </w:tcPr>
          <w:p w14:paraId="37DDF351">
            <w:pPr>
              <w:pStyle w:val="39"/>
              <w:rPr>
                <w:bCs/>
                <w:color w:val="auto"/>
              </w:rPr>
            </w:pPr>
            <w:r>
              <w:rPr>
                <w:rFonts w:hint="eastAsia"/>
                <w:bCs/>
                <w:color w:val="auto"/>
              </w:rPr>
              <w:t>厂界外：上风向1个点、下风向3个点</w:t>
            </w:r>
          </w:p>
        </w:tc>
        <w:tc>
          <w:tcPr>
            <w:tcW w:w="1703" w:type="pct"/>
            <w:vAlign w:val="center"/>
          </w:tcPr>
          <w:p w14:paraId="58CC3068">
            <w:pPr>
              <w:pStyle w:val="39"/>
              <w:rPr>
                <w:bCs/>
                <w:color w:val="auto"/>
              </w:rPr>
            </w:pPr>
            <w:r>
              <w:rPr>
                <w:rFonts w:hint="eastAsia" w:ascii="Times New Roman" w:hAnsi="Times New Roman" w:cs="Times New Roman"/>
                <w:color w:val="auto"/>
                <w:kern w:val="0"/>
                <w:sz w:val="21"/>
                <w:szCs w:val="21"/>
                <w:lang w:val="en-US" w:eastAsia="zh-CN"/>
              </w:rPr>
              <w:t>氯化氢、硫酸雾、氨、硫化氢</w:t>
            </w:r>
          </w:p>
        </w:tc>
        <w:tc>
          <w:tcPr>
            <w:tcW w:w="973" w:type="pct"/>
            <w:vAlign w:val="center"/>
          </w:tcPr>
          <w:p w14:paraId="2C69F8A6">
            <w:pPr>
              <w:pStyle w:val="39"/>
              <w:rPr>
                <w:bCs/>
                <w:color w:val="auto"/>
              </w:rPr>
            </w:pPr>
            <w:r>
              <w:rPr>
                <w:rFonts w:hint="eastAsia"/>
                <w:bCs/>
                <w:color w:val="auto"/>
                <w:lang w:val="en-US" w:eastAsia="zh-CN"/>
              </w:rPr>
              <w:t>4</w:t>
            </w:r>
            <w:r>
              <w:rPr>
                <w:rFonts w:hint="eastAsia"/>
                <w:bCs/>
                <w:color w:val="auto"/>
              </w:rPr>
              <w:t>次/天，2天</w:t>
            </w:r>
          </w:p>
        </w:tc>
      </w:tr>
    </w:tbl>
    <w:p w14:paraId="78DA2E63">
      <w:pPr>
        <w:pStyle w:val="4"/>
        <w:ind w:firstLine="562"/>
        <w:rPr>
          <w:rFonts w:cs="Times New Roman"/>
          <w:color w:val="auto"/>
        </w:rPr>
      </w:pPr>
      <w:r>
        <w:rPr>
          <w:rFonts w:cs="Times New Roman"/>
          <w:color w:val="auto"/>
        </w:rPr>
        <w:t>7.1.2</w:t>
      </w:r>
      <w:r>
        <w:rPr>
          <w:rFonts w:hint="eastAsia" w:cs="Times New Roman"/>
          <w:color w:val="auto"/>
        </w:rPr>
        <w:t>废水</w:t>
      </w:r>
    </w:p>
    <w:p w14:paraId="514B3BF7">
      <w:pPr>
        <w:ind w:firstLine="480"/>
        <w:rPr>
          <w:rFonts w:cs="Times New Roman"/>
          <w:color w:val="auto"/>
        </w:rPr>
      </w:pPr>
      <w:r>
        <w:rPr>
          <w:rFonts w:hint="eastAsia" w:cs="Times New Roman"/>
          <w:color w:val="auto"/>
        </w:rPr>
        <w:t>本项目废水监测内容见下表：</w:t>
      </w:r>
    </w:p>
    <w:p w14:paraId="4E484AEC">
      <w:pPr>
        <w:pStyle w:val="40"/>
        <w:spacing w:beforeLines="0" w:line="520" w:lineRule="exact"/>
        <w:rPr>
          <w:color w:val="auto"/>
        </w:rPr>
      </w:pPr>
      <w:r>
        <w:rPr>
          <w:color w:val="auto"/>
        </w:rPr>
        <w:t>表7-3                          废</w:t>
      </w:r>
      <w:r>
        <w:rPr>
          <w:rFonts w:hint="eastAsia"/>
          <w:color w:val="auto"/>
        </w:rPr>
        <w:t>水</w:t>
      </w:r>
      <w:r>
        <w:rPr>
          <w:color w:val="auto"/>
        </w:rPr>
        <w:t>监测内容</w:t>
      </w:r>
    </w:p>
    <w:tbl>
      <w:tblPr>
        <w:tblStyle w:val="26"/>
        <w:tblW w:w="5000" w:type="pct"/>
        <w:jc w:val="center"/>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Layout w:type="autofit"/>
        <w:tblCellMar>
          <w:top w:w="0" w:type="dxa"/>
          <w:left w:w="108" w:type="dxa"/>
          <w:bottom w:w="0" w:type="dxa"/>
          <w:right w:w="108" w:type="dxa"/>
        </w:tblCellMar>
      </w:tblPr>
      <w:tblGrid>
        <w:gridCol w:w="1968"/>
        <w:gridCol w:w="1390"/>
        <w:gridCol w:w="2940"/>
        <w:gridCol w:w="1743"/>
        <w:gridCol w:w="1247"/>
      </w:tblGrid>
      <w:tr w14:paraId="6E3D1429">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059" w:type="pct"/>
            <w:vAlign w:val="center"/>
          </w:tcPr>
          <w:p w14:paraId="7C8F6B2F">
            <w:pPr>
              <w:pStyle w:val="39"/>
              <w:adjustRightInd w:val="0"/>
              <w:snapToGrid w:val="0"/>
              <w:rPr>
                <w:b/>
                <w:color w:val="auto"/>
              </w:rPr>
            </w:pPr>
            <w:r>
              <w:rPr>
                <w:rFonts w:hint="eastAsia"/>
                <w:b/>
                <w:color w:val="auto"/>
              </w:rPr>
              <w:t>污染</w:t>
            </w:r>
            <w:r>
              <w:rPr>
                <w:b/>
                <w:color w:val="auto"/>
              </w:rPr>
              <w:t>设施名称</w:t>
            </w:r>
          </w:p>
        </w:tc>
        <w:tc>
          <w:tcPr>
            <w:tcW w:w="748" w:type="pct"/>
            <w:vAlign w:val="center"/>
          </w:tcPr>
          <w:p w14:paraId="250FE8A1">
            <w:pPr>
              <w:pStyle w:val="39"/>
              <w:adjustRightInd w:val="0"/>
              <w:snapToGrid w:val="0"/>
              <w:rPr>
                <w:b/>
                <w:color w:val="auto"/>
              </w:rPr>
            </w:pPr>
            <w:r>
              <w:rPr>
                <w:b/>
                <w:color w:val="auto"/>
              </w:rPr>
              <w:t>监测位置</w:t>
            </w:r>
          </w:p>
        </w:tc>
        <w:tc>
          <w:tcPr>
            <w:tcW w:w="1582" w:type="pct"/>
            <w:vAlign w:val="center"/>
          </w:tcPr>
          <w:p w14:paraId="10C0CC6B">
            <w:pPr>
              <w:pStyle w:val="39"/>
              <w:adjustRightInd w:val="0"/>
              <w:snapToGrid w:val="0"/>
              <w:rPr>
                <w:b/>
                <w:color w:val="auto"/>
              </w:rPr>
            </w:pPr>
            <w:r>
              <w:rPr>
                <w:b/>
                <w:color w:val="auto"/>
              </w:rPr>
              <w:t>监测因子</w:t>
            </w:r>
          </w:p>
        </w:tc>
        <w:tc>
          <w:tcPr>
            <w:tcW w:w="938" w:type="pct"/>
            <w:vAlign w:val="center"/>
          </w:tcPr>
          <w:p w14:paraId="4F6EF1BF">
            <w:pPr>
              <w:pStyle w:val="39"/>
              <w:adjustRightInd w:val="0"/>
              <w:snapToGrid w:val="0"/>
              <w:rPr>
                <w:b/>
                <w:color w:val="auto"/>
              </w:rPr>
            </w:pPr>
            <w:r>
              <w:rPr>
                <w:b/>
                <w:color w:val="auto"/>
              </w:rPr>
              <w:t>监测频次</w:t>
            </w:r>
          </w:p>
        </w:tc>
        <w:tc>
          <w:tcPr>
            <w:tcW w:w="671" w:type="pct"/>
            <w:vAlign w:val="center"/>
          </w:tcPr>
          <w:p w14:paraId="7DEEE4A9">
            <w:pPr>
              <w:pStyle w:val="39"/>
              <w:adjustRightInd w:val="0"/>
              <w:snapToGrid w:val="0"/>
              <w:rPr>
                <w:b/>
                <w:color w:val="auto"/>
              </w:rPr>
            </w:pPr>
            <w:r>
              <w:rPr>
                <w:b/>
                <w:color w:val="auto"/>
              </w:rPr>
              <w:t>监测要求</w:t>
            </w:r>
          </w:p>
        </w:tc>
      </w:tr>
      <w:tr w14:paraId="660D60A3">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059" w:type="pct"/>
            <w:shd w:val="clear" w:color="auto" w:fill="auto"/>
            <w:vAlign w:val="center"/>
          </w:tcPr>
          <w:p w14:paraId="383B58B0">
            <w:pPr>
              <w:pStyle w:val="39"/>
              <w:adjustRightInd w:val="0"/>
              <w:snapToGrid w:val="0"/>
              <w:ind w:firstLine="0" w:firstLineChars="0"/>
              <w:rPr>
                <w:rFonts w:ascii="Times New Roman" w:hAnsi="Times New Roman" w:eastAsia="宋体" w:cs="Times New Roman"/>
                <w:color w:val="auto"/>
                <w:kern w:val="2"/>
                <w:sz w:val="21"/>
                <w:szCs w:val="24"/>
                <w:lang w:val="en-US" w:eastAsia="zh-CN" w:bidi="ar-SA"/>
              </w:rPr>
            </w:pPr>
            <w:r>
              <w:rPr>
                <w:rFonts w:hint="eastAsia"/>
                <w:color w:val="auto"/>
              </w:rPr>
              <w:t>污水处理站</w:t>
            </w:r>
          </w:p>
        </w:tc>
        <w:tc>
          <w:tcPr>
            <w:tcW w:w="748" w:type="pct"/>
            <w:shd w:val="clear" w:color="auto" w:fill="auto"/>
            <w:vAlign w:val="center"/>
          </w:tcPr>
          <w:p w14:paraId="57C63213">
            <w:pPr>
              <w:pStyle w:val="39"/>
              <w:adjustRightInd w:val="0"/>
              <w:snapToGrid w:val="0"/>
              <w:ind w:firstLine="0" w:firstLineChars="0"/>
              <w:rPr>
                <w:rFonts w:ascii="Times New Roman" w:hAnsi="Times New Roman" w:eastAsia="宋体" w:cs="Times New Roman"/>
                <w:color w:val="auto"/>
                <w:kern w:val="2"/>
                <w:sz w:val="21"/>
                <w:szCs w:val="20"/>
                <w:lang w:val="en-US" w:eastAsia="zh-CN" w:bidi="ar-SA"/>
              </w:rPr>
            </w:pPr>
            <w:r>
              <w:rPr>
                <w:rFonts w:hint="eastAsia"/>
                <w:color w:val="auto"/>
              </w:rPr>
              <w:t>进、出口</w:t>
            </w:r>
          </w:p>
        </w:tc>
        <w:tc>
          <w:tcPr>
            <w:tcW w:w="1582" w:type="pct"/>
            <w:vMerge w:val="restart"/>
            <w:vAlign w:val="center"/>
          </w:tcPr>
          <w:p w14:paraId="52C434AF">
            <w:pPr>
              <w:pStyle w:val="39"/>
              <w:adjustRightInd w:val="0"/>
              <w:snapToGrid w:val="0"/>
              <w:rPr>
                <w:rFonts w:hint="eastAsia"/>
                <w:bCs/>
                <w:color w:val="auto"/>
              </w:rPr>
            </w:pPr>
            <w:r>
              <w:rPr>
                <w:rFonts w:hint="eastAsia"/>
                <w:bCs/>
                <w:color w:val="auto"/>
              </w:rPr>
              <w:t>流量、</w:t>
            </w:r>
            <w:r>
              <w:rPr>
                <w:rFonts w:hint="default"/>
                <w:bCs/>
                <w:color w:val="auto"/>
                <w:lang w:val="en-US" w:eastAsia="zh-CN"/>
              </w:rPr>
              <w:t>化学需氧量、</w:t>
            </w:r>
            <w:r>
              <w:rPr>
                <w:rFonts w:hint="eastAsia"/>
                <w:bCs/>
                <w:color w:val="auto"/>
                <w:lang w:val="en-US" w:eastAsia="zh-CN"/>
              </w:rPr>
              <w:t>悬浮物、氨氮、总磷、总氮、石油类 锌、镍、</w:t>
            </w:r>
            <w:bookmarkStart w:id="43" w:name="OLE_LINK1"/>
            <w:r>
              <w:rPr>
                <w:rFonts w:hint="default"/>
                <w:bCs/>
                <w:color w:val="auto"/>
                <w:lang w:val="en-US" w:eastAsia="zh-CN"/>
              </w:rPr>
              <w:t>总铬</w:t>
            </w:r>
            <w:r>
              <w:rPr>
                <w:rFonts w:hint="eastAsia"/>
                <w:bCs/>
                <w:color w:val="auto"/>
                <w:lang w:val="en-US" w:eastAsia="zh-CN"/>
              </w:rPr>
              <w:t>、六价铬</w:t>
            </w:r>
            <w:bookmarkEnd w:id="43"/>
          </w:p>
        </w:tc>
        <w:tc>
          <w:tcPr>
            <w:tcW w:w="938" w:type="pct"/>
            <w:vMerge w:val="restart"/>
            <w:vAlign w:val="center"/>
          </w:tcPr>
          <w:p w14:paraId="4C25ED4C">
            <w:pPr>
              <w:pStyle w:val="39"/>
              <w:adjustRightInd w:val="0"/>
              <w:snapToGrid w:val="0"/>
              <w:rPr>
                <w:color w:val="auto"/>
              </w:rPr>
            </w:pPr>
            <w:r>
              <w:rPr>
                <w:color w:val="auto"/>
              </w:rPr>
              <w:t>连续检测2天，4次</w:t>
            </w:r>
            <w:r>
              <w:rPr>
                <w:rFonts w:hint="eastAsia"/>
                <w:color w:val="auto"/>
              </w:rPr>
              <w:t>/周期</w:t>
            </w:r>
          </w:p>
        </w:tc>
        <w:tc>
          <w:tcPr>
            <w:tcW w:w="671" w:type="pct"/>
            <w:vMerge w:val="restart"/>
            <w:vAlign w:val="center"/>
          </w:tcPr>
          <w:p w14:paraId="1C519A4E">
            <w:pPr>
              <w:pStyle w:val="39"/>
              <w:adjustRightInd w:val="0"/>
              <w:snapToGrid w:val="0"/>
              <w:rPr>
                <w:color w:val="auto"/>
              </w:rPr>
            </w:pPr>
            <w:r>
              <w:rPr>
                <w:color w:val="auto"/>
              </w:rPr>
              <w:t>按照竣工验收要求进行监测</w:t>
            </w:r>
          </w:p>
        </w:tc>
      </w:tr>
      <w:tr w14:paraId="3EC6683A">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059" w:type="pct"/>
            <w:shd w:val="clear" w:color="auto" w:fill="auto"/>
            <w:vAlign w:val="center"/>
          </w:tcPr>
          <w:p w14:paraId="0FC3A647">
            <w:pPr>
              <w:pStyle w:val="39"/>
              <w:adjustRightInd w:val="0"/>
              <w:snapToGrid w:val="0"/>
              <w:ind w:firstLine="0" w:firstLineChars="0"/>
              <w:rPr>
                <w:rFonts w:ascii="Times New Roman" w:hAnsi="Times New Roman" w:eastAsia="宋体" w:cs="Times New Roman"/>
                <w:color w:val="auto"/>
                <w:kern w:val="2"/>
                <w:sz w:val="21"/>
                <w:szCs w:val="20"/>
                <w:lang w:val="en-US" w:eastAsia="zh-CN" w:bidi="ar-SA"/>
              </w:rPr>
            </w:pPr>
            <w:r>
              <w:rPr>
                <w:rFonts w:hint="eastAsia"/>
                <w:color w:val="auto"/>
              </w:rPr>
              <w:t>厂区</w:t>
            </w:r>
            <w:r>
              <w:rPr>
                <w:rFonts w:hint="eastAsia"/>
                <w:color w:val="auto"/>
                <w:lang w:val="en-US" w:eastAsia="zh-CN"/>
              </w:rPr>
              <w:t>污水</w:t>
            </w:r>
            <w:r>
              <w:rPr>
                <w:rFonts w:hint="eastAsia"/>
                <w:color w:val="auto"/>
              </w:rPr>
              <w:t>总排口</w:t>
            </w:r>
          </w:p>
        </w:tc>
        <w:tc>
          <w:tcPr>
            <w:tcW w:w="748" w:type="pct"/>
            <w:shd w:val="clear" w:color="auto" w:fill="auto"/>
            <w:vAlign w:val="center"/>
          </w:tcPr>
          <w:p w14:paraId="5FCE9C93">
            <w:pPr>
              <w:pStyle w:val="39"/>
              <w:adjustRightInd w:val="0"/>
              <w:snapToGrid w:val="0"/>
              <w:ind w:firstLine="0" w:firstLineChars="0"/>
              <w:rPr>
                <w:rFonts w:ascii="Times New Roman" w:hAnsi="Times New Roman" w:eastAsia="宋体" w:cs="Times New Roman"/>
                <w:color w:val="auto"/>
                <w:kern w:val="2"/>
                <w:sz w:val="21"/>
                <w:szCs w:val="20"/>
                <w:lang w:val="en-US" w:eastAsia="zh-CN" w:bidi="ar-SA"/>
              </w:rPr>
            </w:pPr>
            <w:r>
              <w:rPr>
                <w:rFonts w:hint="eastAsia"/>
                <w:color w:val="auto"/>
              </w:rPr>
              <w:t>出口</w:t>
            </w:r>
          </w:p>
        </w:tc>
        <w:tc>
          <w:tcPr>
            <w:tcW w:w="1582" w:type="pct"/>
            <w:vMerge w:val="continue"/>
            <w:vAlign w:val="center"/>
          </w:tcPr>
          <w:p w14:paraId="1459A8BE">
            <w:pPr>
              <w:pStyle w:val="39"/>
              <w:adjustRightInd w:val="0"/>
              <w:snapToGrid w:val="0"/>
              <w:rPr>
                <w:rFonts w:hint="eastAsia"/>
                <w:bCs/>
                <w:color w:val="auto"/>
              </w:rPr>
            </w:pPr>
          </w:p>
        </w:tc>
        <w:tc>
          <w:tcPr>
            <w:tcW w:w="938" w:type="pct"/>
            <w:vMerge w:val="continue"/>
            <w:vAlign w:val="center"/>
          </w:tcPr>
          <w:p w14:paraId="4EAB45BB">
            <w:pPr>
              <w:pStyle w:val="39"/>
              <w:adjustRightInd w:val="0"/>
              <w:snapToGrid w:val="0"/>
              <w:rPr>
                <w:color w:val="auto"/>
              </w:rPr>
            </w:pPr>
          </w:p>
        </w:tc>
        <w:tc>
          <w:tcPr>
            <w:tcW w:w="671" w:type="pct"/>
            <w:vMerge w:val="continue"/>
            <w:vAlign w:val="center"/>
          </w:tcPr>
          <w:p w14:paraId="1B9F066E">
            <w:pPr>
              <w:pStyle w:val="39"/>
              <w:adjustRightInd w:val="0"/>
              <w:snapToGrid w:val="0"/>
              <w:rPr>
                <w:color w:val="auto"/>
              </w:rPr>
            </w:pPr>
          </w:p>
        </w:tc>
      </w:tr>
    </w:tbl>
    <w:p w14:paraId="4F580231">
      <w:pPr>
        <w:pStyle w:val="4"/>
        <w:ind w:firstLine="562"/>
        <w:rPr>
          <w:rFonts w:cs="Times New Roman"/>
          <w:color w:val="auto"/>
        </w:rPr>
      </w:pPr>
      <w:r>
        <w:rPr>
          <w:rFonts w:hint="eastAsia" w:cs="Times New Roman"/>
          <w:color w:val="auto"/>
        </w:rPr>
        <w:t>7</w:t>
      </w:r>
      <w:r>
        <w:rPr>
          <w:rFonts w:cs="Times New Roman"/>
          <w:color w:val="auto"/>
        </w:rPr>
        <w:t>.1.3厂界噪声</w:t>
      </w:r>
    </w:p>
    <w:p w14:paraId="7E58EFFC">
      <w:pPr>
        <w:pStyle w:val="40"/>
        <w:spacing w:beforeLines="0" w:line="520" w:lineRule="exact"/>
        <w:rPr>
          <w:color w:val="auto"/>
        </w:rPr>
      </w:pPr>
      <w:r>
        <w:rPr>
          <w:color w:val="auto"/>
        </w:rPr>
        <w:t>表7-4                               厂界噪声监测内容</w:t>
      </w:r>
    </w:p>
    <w:tbl>
      <w:tblPr>
        <w:tblStyle w:val="26"/>
        <w:tblW w:w="5000" w:type="pct"/>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autofit"/>
        <w:tblCellMar>
          <w:top w:w="0" w:type="dxa"/>
          <w:left w:w="108" w:type="dxa"/>
          <w:bottom w:w="0" w:type="dxa"/>
          <w:right w:w="108" w:type="dxa"/>
        </w:tblCellMar>
      </w:tblPr>
      <w:tblGrid>
        <w:gridCol w:w="4661"/>
        <w:gridCol w:w="1354"/>
        <w:gridCol w:w="3273"/>
      </w:tblGrid>
      <w:tr w14:paraId="17770F2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2509" w:type="pct"/>
            <w:tcBorders>
              <w:left w:val="single" w:color="auto" w:sz="8" w:space="0"/>
              <w:bottom w:val="single" w:color="000000" w:sz="4" w:space="0"/>
              <w:right w:val="single" w:color="000000" w:sz="4" w:space="0"/>
            </w:tcBorders>
            <w:vAlign w:val="center"/>
          </w:tcPr>
          <w:p w14:paraId="34FB93C1">
            <w:pPr>
              <w:pStyle w:val="39"/>
              <w:rPr>
                <w:b/>
                <w:color w:val="auto"/>
              </w:rPr>
            </w:pPr>
            <w:r>
              <w:rPr>
                <w:b/>
                <w:color w:val="auto"/>
              </w:rPr>
              <w:t>监测点位</w:t>
            </w:r>
          </w:p>
        </w:tc>
        <w:tc>
          <w:tcPr>
            <w:tcW w:w="729" w:type="pct"/>
            <w:tcBorders>
              <w:left w:val="single" w:color="000000" w:sz="4" w:space="0"/>
              <w:bottom w:val="single" w:color="000000" w:sz="4" w:space="0"/>
              <w:right w:val="single" w:color="000000" w:sz="4" w:space="0"/>
            </w:tcBorders>
            <w:vAlign w:val="center"/>
          </w:tcPr>
          <w:p w14:paraId="32601AAC">
            <w:pPr>
              <w:pStyle w:val="39"/>
              <w:rPr>
                <w:b/>
                <w:color w:val="auto"/>
              </w:rPr>
            </w:pPr>
            <w:r>
              <w:rPr>
                <w:b/>
                <w:color w:val="auto"/>
              </w:rPr>
              <w:t>监测项目</w:t>
            </w:r>
          </w:p>
        </w:tc>
        <w:tc>
          <w:tcPr>
            <w:tcW w:w="1762" w:type="pct"/>
            <w:tcBorders>
              <w:left w:val="single" w:color="000000" w:sz="4" w:space="0"/>
              <w:bottom w:val="single" w:color="000000" w:sz="4" w:space="0"/>
              <w:right w:val="single" w:color="auto" w:sz="8" w:space="0"/>
            </w:tcBorders>
            <w:vAlign w:val="center"/>
          </w:tcPr>
          <w:p w14:paraId="2BEBFDDF">
            <w:pPr>
              <w:pStyle w:val="39"/>
              <w:rPr>
                <w:b/>
                <w:color w:val="auto"/>
              </w:rPr>
            </w:pPr>
            <w:r>
              <w:rPr>
                <w:b/>
                <w:color w:val="auto"/>
              </w:rPr>
              <w:t>监测频次</w:t>
            </w:r>
          </w:p>
        </w:tc>
      </w:tr>
      <w:tr w14:paraId="2CC2583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2509" w:type="pct"/>
            <w:tcBorders>
              <w:top w:val="single" w:color="000000" w:sz="4" w:space="0"/>
              <w:left w:val="single" w:color="auto" w:sz="8" w:space="0"/>
              <w:right w:val="single" w:color="000000" w:sz="4" w:space="0"/>
            </w:tcBorders>
            <w:vAlign w:val="center"/>
          </w:tcPr>
          <w:p w14:paraId="4D8C4AE4">
            <w:pPr>
              <w:pStyle w:val="39"/>
              <w:rPr>
                <w:color w:val="auto"/>
              </w:rPr>
            </w:pPr>
            <w:r>
              <w:rPr>
                <w:color w:val="auto"/>
              </w:rPr>
              <w:t>南、</w:t>
            </w:r>
            <w:r>
              <w:rPr>
                <w:rFonts w:hint="eastAsia"/>
                <w:color w:val="auto"/>
              </w:rPr>
              <w:t>东</w:t>
            </w:r>
            <w:r>
              <w:rPr>
                <w:color w:val="auto"/>
              </w:rPr>
              <w:t>、北厂界外1m</w:t>
            </w:r>
          </w:p>
          <w:p w14:paraId="1A21E7DE">
            <w:pPr>
              <w:pStyle w:val="39"/>
              <w:rPr>
                <w:color w:val="auto"/>
              </w:rPr>
            </w:pPr>
            <w:r>
              <w:rPr>
                <w:color w:val="auto"/>
              </w:rPr>
              <w:t>各布设1个监测点位，共4个监测点</w:t>
            </w:r>
          </w:p>
        </w:tc>
        <w:tc>
          <w:tcPr>
            <w:tcW w:w="729" w:type="pct"/>
            <w:tcBorders>
              <w:top w:val="single" w:color="000000" w:sz="4" w:space="0"/>
              <w:left w:val="single" w:color="000000" w:sz="4" w:space="0"/>
              <w:right w:val="single" w:color="000000" w:sz="4" w:space="0"/>
            </w:tcBorders>
            <w:vAlign w:val="center"/>
          </w:tcPr>
          <w:p w14:paraId="21C8FDBA">
            <w:pPr>
              <w:pStyle w:val="39"/>
              <w:rPr>
                <w:color w:val="auto"/>
              </w:rPr>
            </w:pPr>
            <w:r>
              <w:rPr>
                <w:color w:val="auto"/>
              </w:rPr>
              <w:t>等效声级</w:t>
            </w:r>
          </w:p>
        </w:tc>
        <w:tc>
          <w:tcPr>
            <w:tcW w:w="1762" w:type="pct"/>
            <w:tcBorders>
              <w:top w:val="single" w:color="000000" w:sz="4" w:space="0"/>
              <w:left w:val="single" w:color="000000" w:sz="4" w:space="0"/>
              <w:right w:val="single" w:color="auto" w:sz="8" w:space="0"/>
            </w:tcBorders>
            <w:vAlign w:val="center"/>
          </w:tcPr>
          <w:p w14:paraId="36BA8663">
            <w:pPr>
              <w:pStyle w:val="39"/>
              <w:rPr>
                <w:color w:val="auto"/>
              </w:rPr>
            </w:pPr>
            <w:r>
              <w:rPr>
                <w:color w:val="auto"/>
              </w:rPr>
              <w:t>每天昼、夜各1次，连续</w:t>
            </w:r>
            <w:r>
              <w:rPr>
                <w:rFonts w:hint="eastAsia"/>
                <w:color w:val="auto"/>
              </w:rPr>
              <w:t>监测</w:t>
            </w:r>
            <w:r>
              <w:rPr>
                <w:color w:val="auto"/>
              </w:rPr>
              <w:t>2天</w:t>
            </w:r>
          </w:p>
        </w:tc>
      </w:tr>
    </w:tbl>
    <w:p w14:paraId="61205B96">
      <w:pPr>
        <w:keepNext w:val="0"/>
        <w:keepLines w:val="0"/>
        <w:pageBreakBefore w:val="0"/>
        <w:widowControl/>
        <w:kinsoku/>
        <w:wordWrap/>
        <w:overflowPunct/>
        <w:topLinePunct w:val="0"/>
        <w:autoSpaceDE/>
        <w:autoSpaceDN/>
        <w:bidi w:val="0"/>
        <w:adjustRightInd w:val="0"/>
        <w:snapToGrid w:val="0"/>
        <w:spacing w:before="327" w:beforeLines="100" w:line="480" w:lineRule="auto"/>
        <w:ind w:firstLine="0" w:firstLineChars="0"/>
        <w:jc w:val="center"/>
        <w:textAlignment w:val="auto"/>
        <w:rPr>
          <w:rFonts w:cs="Times New Roman" w:eastAsiaTheme="minorEastAsia"/>
          <w:b/>
          <w:bCs/>
          <w:color w:val="auto"/>
          <w:szCs w:val="24"/>
        </w:rPr>
      </w:pPr>
      <w:r>
        <w:rPr>
          <w:color w:val="auto"/>
        </w:rPr>
        <w:drawing>
          <wp:inline distT="0" distB="0" distL="114300" distR="114300">
            <wp:extent cx="5038725" cy="3638550"/>
            <wp:effectExtent l="0" t="0" r="9525" b="0"/>
            <wp:docPr id="2"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4"/>
                    <pic:cNvPicPr>
                      <a:picLocks noChangeAspect="1"/>
                    </pic:cNvPicPr>
                  </pic:nvPicPr>
                  <pic:blipFill>
                    <a:blip r:embed="rId41"/>
                    <a:stretch>
                      <a:fillRect/>
                    </a:stretch>
                  </pic:blipFill>
                  <pic:spPr>
                    <a:xfrm>
                      <a:off x="0" y="0"/>
                      <a:ext cx="5038725" cy="3638550"/>
                    </a:xfrm>
                    <a:prstGeom prst="rect">
                      <a:avLst/>
                    </a:prstGeom>
                    <a:noFill/>
                    <a:ln>
                      <a:noFill/>
                    </a:ln>
                  </pic:spPr>
                </pic:pic>
              </a:graphicData>
            </a:graphic>
          </wp:inline>
        </w:drawing>
      </w:r>
    </w:p>
    <w:p w14:paraId="5773E710">
      <w:pPr>
        <w:spacing w:line="360" w:lineRule="auto"/>
        <w:ind w:firstLine="0" w:firstLineChars="0"/>
        <w:jc w:val="center"/>
        <w:rPr>
          <w:rFonts w:cs="Times New Roman" w:eastAsiaTheme="minorEastAsia"/>
          <w:b/>
          <w:bCs/>
          <w:color w:val="auto"/>
          <w:szCs w:val="24"/>
        </w:rPr>
      </w:pPr>
      <w:r>
        <w:rPr>
          <w:rFonts w:cs="Times New Roman" w:eastAsiaTheme="minorEastAsia"/>
          <w:b/>
          <w:bCs/>
          <w:color w:val="auto"/>
          <w:szCs w:val="24"/>
        </w:rPr>
        <w:t>图7-1   本项目厂区平面及检测点位图</w:t>
      </w:r>
    </w:p>
    <w:p w14:paraId="0CF491A3">
      <w:pPr>
        <w:pStyle w:val="2"/>
        <w:ind w:firstLine="643"/>
        <w:rPr>
          <w:rFonts w:cs="Times New Roman"/>
          <w:color w:val="auto"/>
        </w:rPr>
      </w:pPr>
      <w:bookmarkStart w:id="44" w:name="_Toc172712303"/>
      <w:r>
        <w:rPr>
          <w:rFonts w:cs="Times New Roman"/>
          <w:color w:val="auto"/>
        </w:rPr>
        <w:t>8 质量保证和质量控制</w:t>
      </w:r>
      <w:bookmarkEnd w:id="44"/>
    </w:p>
    <w:p w14:paraId="1D83C839">
      <w:pPr>
        <w:pStyle w:val="3"/>
        <w:spacing w:before="163" w:after="163"/>
        <w:ind w:firstLine="643"/>
        <w:rPr>
          <w:rFonts w:cs="Times New Roman"/>
          <w:color w:val="auto"/>
        </w:rPr>
      </w:pPr>
      <w:bookmarkStart w:id="45" w:name="_Toc172712304"/>
      <w:r>
        <w:rPr>
          <w:rFonts w:cs="Times New Roman"/>
          <w:color w:val="auto"/>
        </w:rPr>
        <w:t>8.1监测分析方法及监测仪器</w:t>
      </w:r>
      <w:bookmarkEnd w:id="45"/>
    </w:p>
    <w:p w14:paraId="63A4FA69">
      <w:pPr>
        <w:ind w:firstLine="480"/>
        <w:rPr>
          <w:rFonts w:hint="eastAsia" w:eastAsia="宋体" w:cs="Times New Roman"/>
          <w:color w:val="auto"/>
          <w:lang w:eastAsia="zh-CN"/>
        </w:rPr>
      </w:pPr>
      <w:r>
        <w:rPr>
          <w:rFonts w:cs="Times New Roman"/>
          <w:color w:val="auto"/>
        </w:rPr>
        <w:t>本次检测分析方法、使用仪器及检出限见</w:t>
      </w:r>
      <w:r>
        <w:rPr>
          <w:rFonts w:hint="eastAsia" w:cs="Times New Roman"/>
          <w:color w:val="auto"/>
          <w:lang w:val="en-US" w:eastAsia="zh-CN"/>
        </w:rPr>
        <w:t>下</w:t>
      </w:r>
      <w:r>
        <w:rPr>
          <w:rFonts w:cs="Times New Roman"/>
          <w:color w:val="auto"/>
        </w:rPr>
        <w:t>表</w:t>
      </w:r>
      <w:r>
        <w:rPr>
          <w:rFonts w:hint="eastAsia" w:cs="Times New Roman"/>
          <w:color w:val="auto"/>
          <w:lang w:eastAsia="zh-CN"/>
        </w:rPr>
        <w:t>。</w:t>
      </w:r>
    </w:p>
    <w:p w14:paraId="48EB35C2">
      <w:pPr>
        <w:pStyle w:val="40"/>
        <w:spacing w:before="163" w:line="520" w:lineRule="exact"/>
        <w:rPr>
          <w:color w:val="auto"/>
        </w:rPr>
      </w:pPr>
      <w:r>
        <w:rPr>
          <w:color w:val="auto"/>
        </w:rPr>
        <w:t>表8-1                检测分析方法、使用仪器及检出限</w:t>
      </w:r>
    </w:p>
    <w:tbl>
      <w:tblPr>
        <w:tblStyle w:val="26"/>
        <w:tblW w:w="499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2"/>
        <w:gridCol w:w="978"/>
        <w:gridCol w:w="3016"/>
        <w:gridCol w:w="2320"/>
        <w:gridCol w:w="1011"/>
        <w:gridCol w:w="846"/>
      </w:tblGrid>
      <w:tr w14:paraId="67923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trPr>
        <w:tc>
          <w:tcPr>
            <w:tcW w:w="594" w:type="pct"/>
            <w:tcBorders>
              <w:tl2br w:val="nil"/>
              <w:tr2bl w:val="nil"/>
            </w:tcBorders>
            <w:noWrap w:val="0"/>
            <w:vAlign w:val="center"/>
          </w:tcPr>
          <w:p w14:paraId="558C285B">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default" w:ascii="Times New Roman" w:hAnsi="Times New Roman" w:eastAsia="宋体" w:cs="Times New Roman"/>
                <w:b/>
                <w:bCs/>
                <w:color w:val="000000"/>
                <w:sz w:val="21"/>
                <w:szCs w:val="21"/>
                <w:lang w:eastAsia="zh-CN"/>
              </w:rPr>
            </w:pPr>
            <w:r>
              <w:rPr>
                <w:rFonts w:hint="default" w:ascii="Times New Roman" w:hAnsi="Times New Roman" w:eastAsia="宋体" w:cs="Times New Roman"/>
                <w:b/>
                <w:bCs/>
                <w:color w:val="000000"/>
                <w:sz w:val="21"/>
                <w:szCs w:val="21"/>
              </w:rPr>
              <w:t>检测</w:t>
            </w:r>
            <w:r>
              <w:rPr>
                <w:rFonts w:hint="default" w:ascii="Times New Roman" w:hAnsi="Times New Roman" w:cs="Times New Roman"/>
                <w:b/>
                <w:bCs/>
                <w:color w:val="000000"/>
                <w:sz w:val="21"/>
                <w:szCs w:val="21"/>
                <w:lang w:eastAsia="zh-CN"/>
              </w:rPr>
              <w:t>类别</w:t>
            </w:r>
          </w:p>
        </w:tc>
        <w:tc>
          <w:tcPr>
            <w:tcW w:w="527" w:type="pct"/>
            <w:tcBorders>
              <w:tl2br w:val="nil"/>
              <w:tr2bl w:val="nil"/>
            </w:tcBorders>
            <w:noWrap w:val="0"/>
            <w:vAlign w:val="center"/>
          </w:tcPr>
          <w:p w14:paraId="11C1B004">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default" w:ascii="Times New Roman" w:hAnsi="Times New Roman" w:eastAsia="宋体" w:cs="Times New Roman"/>
                <w:b/>
                <w:bCs/>
                <w:color w:val="000000"/>
                <w:sz w:val="21"/>
                <w:szCs w:val="21"/>
                <w:lang w:eastAsia="zh-CN"/>
              </w:rPr>
            </w:pPr>
            <w:r>
              <w:rPr>
                <w:rFonts w:hint="default" w:ascii="Times New Roman" w:hAnsi="Times New Roman" w:cs="Times New Roman"/>
                <w:b/>
                <w:bCs/>
                <w:color w:val="000000"/>
                <w:sz w:val="21"/>
                <w:szCs w:val="21"/>
                <w:lang w:eastAsia="zh-CN"/>
              </w:rPr>
              <w:t>检测因子</w:t>
            </w:r>
          </w:p>
        </w:tc>
        <w:tc>
          <w:tcPr>
            <w:tcW w:w="1625" w:type="pct"/>
            <w:tcBorders>
              <w:tl2br w:val="nil"/>
              <w:tr2bl w:val="nil"/>
            </w:tcBorders>
            <w:noWrap w:val="0"/>
            <w:vAlign w:val="center"/>
          </w:tcPr>
          <w:p w14:paraId="470DCA44">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b/>
                <w:bCs/>
                <w:color w:val="000000"/>
                <w:sz w:val="21"/>
                <w:szCs w:val="21"/>
                <w:lang w:eastAsia="zh-CN"/>
              </w:rPr>
            </w:pPr>
            <w:r>
              <w:rPr>
                <w:rFonts w:hint="default" w:ascii="Times New Roman" w:hAnsi="Times New Roman" w:eastAsia="宋体" w:cs="Times New Roman"/>
                <w:b/>
                <w:bCs/>
                <w:color w:val="000000"/>
                <w:sz w:val="21"/>
                <w:szCs w:val="21"/>
              </w:rPr>
              <w:t>检测方法</w:t>
            </w:r>
            <w:r>
              <w:rPr>
                <w:rFonts w:hint="default" w:ascii="Times New Roman" w:hAnsi="Times New Roman" w:cs="Times New Roman"/>
                <w:b/>
                <w:bCs/>
                <w:color w:val="000000"/>
                <w:sz w:val="21"/>
                <w:szCs w:val="21"/>
                <w:lang w:eastAsia="zh-CN"/>
              </w:rPr>
              <w:t>及编号</w:t>
            </w:r>
          </w:p>
        </w:tc>
        <w:tc>
          <w:tcPr>
            <w:tcW w:w="1250" w:type="pct"/>
            <w:tcBorders>
              <w:tl2br w:val="nil"/>
              <w:tr2bl w:val="nil"/>
            </w:tcBorders>
            <w:noWrap w:val="0"/>
            <w:vAlign w:val="center"/>
          </w:tcPr>
          <w:p w14:paraId="65AF3DD3">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rPr>
              <w:t>检测仪器</w:t>
            </w:r>
            <w:r>
              <w:rPr>
                <w:rFonts w:hint="default" w:ascii="Times New Roman" w:hAnsi="Times New Roman" w:cs="Times New Roman"/>
                <w:b/>
                <w:bCs/>
                <w:color w:val="000000"/>
                <w:sz w:val="21"/>
                <w:szCs w:val="21"/>
                <w:lang w:eastAsia="zh-CN"/>
              </w:rPr>
              <w:t>及型号</w:t>
            </w:r>
            <w:r>
              <w:rPr>
                <w:rFonts w:hint="default" w:ascii="Times New Roman" w:hAnsi="Times New Roman" w:cs="Times New Roman"/>
                <w:b/>
                <w:bCs/>
                <w:color w:val="000000"/>
                <w:sz w:val="21"/>
                <w:szCs w:val="21"/>
                <w:lang w:val="en-US" w:eastAsia="zh-CN"/>
              </w:rPr>
              <w:t>/编号</w:t>
            </w:r>
          </w:p>
        </w:tc>
        <w:tc>
          <w:tcPr>
            <w:tcW w:w="545" w:type="pct"/>
            <w:tcBorders>
              <w:tl2br w:val="nil"/>
              <w:tr2bl w:val="nil"/>
            </w:tcBorders>
            <w:noWrap w:val="0"/>
            <w:vAlign w:val="center"/>
          </w:tcPr>
          <w:p w14:paraId="5116B5DC">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rPr>
              <w:t>检出限</w:t>
            </w:r>
          </w:p>
        </w:tc>
        <w:tc>
          <w:tcPr>
            <w:tcW w:w="456" w:type="pct"/>
            <w:tcBorders>
              <w:tl2br w:val="nil"/>
              <w:tr2bl w:val="nil"/>
            </w:tcBorders>
            <w:noWrap w:val="0"/>
            <w:vAlign w:val="center"/>
          </w:tcPr>
          <w:p w14:paraId="3F0E8C76">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b/>
                <w:bCs/>
                <w:color w:val="000000"/>
                <w:sz w:val="21"/>
                <w:szCs w:val="21"/>
              </w:rPr>
            </w:pPr>
            <w:r>
              <w:rPr>
                <w:rFonts w:hint="eastAsia" w:ascii="Times New Roman" w:hAnsi="Times New Roman" w:eastAsia="宋体" w:cs="Times New Roman"/>
                <w:b/>
                <w:bCs/>
                <w:color w:val="auto"/>
                <w:sz w:val="21"/>
                <w:szCs w:val="21"/>
                <w:lang w:val="en-US" w:eastAsia="zh-CN"/>
              </w:rPr>
              <w:t>最低检出浓度</w:t>
            </w:r>
          </w:p>
        </w:tc>
      </w:tr>
      <w:tr w14:paraId="5EC57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94" w:type="pct"/>
            <w:vMerge w:val="restart"/>
            <w:tcBorders>
              <w:tl2br w:val="nil"/>
              <w:tr2bl w:val="nil"/>
            </w:tcBorders>
            <w:noWrap w:val="0"/>
            <w:vAlign w:val="center"/>
          </w:tcPr>
          <w:p w14:paraId="6B2A6D96">
            <w:pPr>
              <w:adjustRightInd/>
              <w:snapToGrid/>
              <w:spacing w:line="240" w:lineRule="auto"/>
              <w:ind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废气</w:t>
            </w:r>
          </w:p>
          <w:p w14:paraId="5177A230">
            <w:pPr>
              <w:adjustRightInd/>
              <w:snapToGrid/>
              <w:spacing w:line="240" w:lineRule="auto"/>
              <w:ind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有组织</w:t>
            </w:r>
          </w:p>
          <w:p w14:paraId="4C96870B">
            <w:pPr>
              <w:adjustRightInd/>
              <w:snapToGrid/>
              <w:spacing w:line="240" w:lineRule="auto"/>
              <w:ind w:firstLine="0" w:firstLineChars="0"/>
              <w:jc w:val="center"/>
              <w:rPr>
                <w:rFonts w:hint="eastAsia" w:ascii="Times New Roman" w:hAnsi="Times New Roman" w:eastAsia="宋体" w:cs="Times New Roman"/>
                <w:color w:val="000000"/>
                <w:sz w:val="21"/>
                <w:szCs w:val="21"/>
                <w:lang w:val="en-US" w:eastAsia="zh-CN"/>
              </w:rPr>
            </w:pPr>
            <w:r>
              <w:rPr>
                <w:rFonts w:hint="default" w:ascii="Times New Roman" w:hAnsi="Times New Roman" w:eastAsia="宋体" w:cs="Times New Roman"/>
                <w:sz w:val="21"/>
                <w:szCs w:val="21"/>
                <w:lang w:val="en-US" w:eastAsia="zh-CN"/>
              </w:rPr>
              <w:t>排放</w:t>
            </w:r>
          </w:p>
        </w:tc>
        <w:tc>
          <w:tcPr>
            <w:tcW w:w="527" w:type="pct"/>
            <w:tcBorders>
              <w:tl2br w:val="nil"/>
              <w:tr2bl w:val="nil"/>
            </w:tcBorders>
            <w:noWrap w:val="0"/>
            <w:vAlign w:val="center"/>
          </w:tcPr>
          <w:p w14:paraId="5B483E91">
            <w:pPr>
              <w:pStyle w:val="39"/>
              <w:ind w:firstLine="0" w:firstLineChars="0"/>
              <w:jc w:val="center"/>
              <w:rPr>
                <w:rFonts w:hint="eastAsia" w:ascii="Times New Roman" w:hAnsi="Times New Roman" w:eastAsia="宋体" w:cs="Times New Roman"/>
                <w:color w:val="auto"/>
                <w:sz w:val="21"/>
                <w:szCs w:val="21"/>
                <w:lang w:val="en-US" w:eastAsia="zh-CN" w:bidi="ar"/>
              </w:rPr>
            </w:pPr>
            <w:r>
              <w:rPr>
                <w:rFonts w:hint="eastAsia" w:ascii="Times New Roman" w:hAnsi="Times New Roman" w:eastAsia="宋体" w:cs="Times New Roman"/>
                <w:kern w:val="0"/>
                <w:sz w:val="21"/>
                <w:szCs w:val="21"/>
                <w:lang w:val="en-US" w:eastAsia="zh-CN" w:bidi="ar-SA"/>
              </w:rPr>
              <w:t>流量</w:t>
            </w:r>
          </w:p>
        </w:tc>
        <w:tc>
          <w:tcPr>
            <w:tcW w:w="1625" w:type="pct"/>
            <w:tcBorders>
              <w:tl2br w:val="nil"/>
              <w:tr2bl w:val="nil"/>
            </w:tcBorders>
            <w:noWrap w:val="0"/>
            <w:vAlign w:val="center"/>
          </w:tcPr>
          <w:p w14:paraId="55C236E5">
            <w:pPr>
              <w:pStyle w:val="39"/>
              <w:ind w:firstLine="0" w:firstLineChars="0"/>
              <w:jc w:val="center"/>
              <w:rPr>
                <w:rFonts w:hint="default"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固定污染源排气中颗粒物测定与气态污染物采样方法</w:t>
            </w:r>
            <w:r>
              <w:rPr>
                <w:rFonts w:hint="eastAsia" w:ascii="Times New Roman" w:hAnsi="Times New Roman" w:eastAsia="宋体"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 xml:space="preserve"> </w:t>
            </w:r>
          </w:p>
          <w:p w14:paraId="024C0207">
            <w:pPr>
              <w:pStyle w:val="39"/>
              <w:ind w:firstLine="0" w:firstLineChars="0"/>
              <w:jc w:val="center"/>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（7排气流速</w:t>
            </w:r>
            <w:r>
              <w:rPr>
                <w:rFonts w:hint="eastAsia" w:ascii="Times New Roman" w:hAnsi="Times New Roman" w:eastAsia="宋体" w:cs="Times New Roman"/>
                <w:kern w:val="0"/>
                <w:sz w:val="21"/>
                <w:szCs w:val="21"/>
                <w:lang w:val="en-US" w:eastAsia="zh-CN" w:bidi="ar-SA"/>
              </w:rPr>
              <w:t>、</w:t>
            </w:r>
            <w:r>
              <w:rPr>
                <w:rFonts w:hint="default" w:ascii="Times New Roman" w:hAnsi="Times New Roman" w:eastAsia="宋体" w:cs="Times New Roman"/>
                <w:kern w:val="0"/>
                <w:sz w:val="21"/>
                <w:szCs w:val="21"/>
                <w:lang w:val="en-US" w:eastAsia="zh-CN" w:bidi="ar-SA"/>
              </w:rPr>
              <w:t>流量的测定）</w:t>
            </w:r>
          </w:p>
          <w:p w14:paraId="7E0456D3">
            <w:pPr>
              <w:pStyle w:val="39"/>
              <w:ind w:firstLine="0" w:firstLineChars="0"/>
              <w:jc w:val="center"/>
              <w:rPr>
                <w:rFonts w:hint="default" w:ascii="Times New Roman" w:hAnsi="Times New Roman" w:cs="Times New Roman"/>
                <w:sz w:val="21"/>
                <w:szCs w:val="21"/>
                <w:lang w:bidi="ar"/>
              </w:rPr>
            </w:pPr>
            <w:r>
              <w:rPr>
                <w:rFonts w:hint="default" w:ascii="Times New Roman" w:hAnsi="Times New Roman" w:eastAsia="宋体" w:cs="Times New Roman"/>
                <w:kern w:val="0"/>
                <w:sz w:val="21"/>
                <w:szCs w:val="21"/>
                <w:lang w:val="en-US" w:eastAsia="zh-CN" w:bidi="ar-SA"/>
              </w:rPr>
              <w:t>GB/T 16157-1996及修改单</w:t>
            </w:r>
          </w:p>
        </w:tc>
        <w:tc>
          <w:tcPr>
            <w:tcW w:w="1250" w:type="pct"/>
            <w:vMerge w:val="restart"/>
            <w:tcBorders>
              <w:tl2br w:val="nil"/>
              <w:tr2bl w:val="nil"/>
            </w:tcBorders>
            <w:noWrap w:val="0"/>
            <w:vAlign w:val="center"/>
          </w:tcPr>
          <w:p w14:paraId="6855861D">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 xml:space="preserve"> 低浓度烟尘（气）测试仪TW-3200D型</w:t>
            </w:r>
          </w:p>
          <w:p w14:paraId="6CDD2C06">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JYYQ-2-01-</w:t>
            </w:r>
            <w:r>
              <w:rPr>
                <w:rFonts w:hint="eastAsia" w:ascii="Times New Roman" w:hAnsi="Times New Roman" w:eastAsia="宋体" w:cs="Times New Roman"/>
                <w:color w:val="auto"/>
                <w:sz w:val="21"/>
                <w:szCs w:val="21"/>
                <w:lang w:val="en-US" w:eastAsia="zh-CN"/>
              </w:rPr>
              <w:t>5</w:t>
            </w:r>
          </w:p>
          <w:p w14:paraId="205489E3">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rPr>
                <w:rFonts w:hint="default" w:ascii="宋体" w:hAnsi="宋体" w:cs="宋体"/>
                <w:color w:val="auto"/>
                <w:sz w:val="21"/>
                <w:szCs w:val="21"/>
                <w:u w:val="none"/>
                <w:lang w:val="en-US" w:eastAsia="zh-CN"/>
              </w:rPr>
            </w:pPr>
            <w:r>
              <w:rPr>
                <w:rFonts w:hint="default" w:ascii="Times New Roman" w:hAnsi="Times New Roman" w:eastAsia="宋体" w:cs="Times New Roman"/>
                <w:color w:val="auto"/>
                <w:sz w:val="21"/>
                <w:szCs w:val="21"/>
                <w:lang w:val="en-US" w:eastAsia="zh-CN"/>
              </w:rPr>
              <w:t>JYYQ-2-01-</w:t>
            </w:r>
            <w:r>
              <w:rPr>
                <w:rFonts w:hint="eastAsia" w:ascii="Times New Roman" w:hAnsi="Times New Roman" w:eastAsia="宋体" w:cs="Times New Roman"/>
                <w:color w:val="auto"/>
                <w:sz w:val="21"/>
                <w:szCs w:val="21"/>
                <w:lang w:val="en-US" w:eastAsia="zh-CN"/>
              </w:rPr>
              <w:t>7</w:t>
            </w:r>
          </w:p>
        </w:tc>
        <w:tc>
          <w:tcPr>
            <w:tcW w:w="545" w:type="pct"/>
            <w:tcBorders>
              <w:tl2br w:val="nil"/>
              <w:tr2bl w:val="nil"/>
            </w:tcBorders>
            <w:noWrap w:val="0"/>
            <w:vAlign w:val="center"/>
          </w:tcPr>
          <w:p w14:paraId="7039E1A9">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w:t>
            </w:r>
          </w:p>
        </w:tc>
        <w:tc>
          <w:tcPr>
            <w:tcW w:w="456" w:type="pct"/>
            <w:tcBorders>
              <w:tl2br w:val="nil"/>
              <w:tr2bl w:val="nil"/>
            </w:tcBorders>
            <w:noWrap w:val="0"/>
            <w:vAlign w:val="center"/>
          </w:tcPr>
          <w:p w14:paraId="7B0E7358">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w:t>
            </w:r>
          </w:p>
        </w:tc>
      </w:tr>
      <w:tr w14:paraId="173A1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94" w:type="pct"/>
            <w:vMerge w:val="continue"/>
            <w:tcBorders>
              <w:tl2br w:val="nil"/>
              <w:tr2bl w:val="nil"/>
            </w:tcBorders>
            <w:noWrap w:val="0"/>
            <w:vAlign w:val="center"/>
          </w:tcPr>
          <w:p w14:paraId="6D6A7449">
            <w:pPr>
              <w:adjustRightInd/>
              <w:snapToGrid/>
              <w:spacing w:line="240" w:lineRule="auto"/>
              <w:ind w:firstLine="0" w:firstLineChars="0"/>
              <w:jc w:val="center"/>
              <w:rPr>
                <w:rFonts w:hint="default" w:ascii="Times New Roman" w:hAnsi="Times New Roman" w:eastAsia="宋体" w:cs="Times New Roman"/>
                <w:sz w:val="21"/>
                <w:szCs w:val="21"/>
                <w:lang w:val="en-US" w:eastAsia="zh-CN"/>
              </w:rPr>
            </w:pPr>
          </w:p>
        </w:tc>
        <w:tc>
          <w:tcPr>
            <w:tcW w:w="527" w:type="pct"/>
            <w:tcBorders>
              <w:tl2br w:val="nil"/>
              <w:tr2bl w:val="nil"/>
            </w:tcBorders>
            <w:noWrap w:val="0"/>
            <w:vAlign w:val="center"/>
          </w:tcPr>
          <w:p w14:paraId="30E15A2A">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eastAsia"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氮氧化物</w:t>
            </w:r>
          </w:p>
        </w:tc>
        <w:tc>
          <w:tcPr>
            <w:tcW w:w="1625" w:type="pct"/>
            <w:tcBorders>
              <w:tl2br w:val="nil"/>
              <w:tr2bl w:val="nil"/>
            </w:tcBorders>
            <w:noWrap w:val="0"/>
            <w:vAlign w:val="center"/>
          </w:tcPr>
          <w:p w14:paraId="043DB5B2">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《固定污染源废气 氮氧化物的测定 定电位电解法》</w:t>
            </w:r>
          </w:p>
          <w:p w14:paraId="174F3AE6">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HJ 693-2014</w:t>
            </w:r>
          </w:p>
        </w:tc>
        <w:tc>
          <w:tcPr>
            <w:tcW w:w="1250" w:type="pct"/>
            <w:vMerge w:val="continue"/>
            <w:tcBorders>
              <w:tl2br w:val="nil"/>
              <w:tr2bl w:val="nil"/>
            </w:tcBorders>
            <w:noWrap w:val="0"/>
            <w:vAlign w:val="center"/>
          </w:tcPr>
          <w:p w14:paraId="43304876">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default" w:ascii="Times New Roman" w:hAnsi="Times New Roman" w:eastAsia="宋体" w:cs="Times New Roman"/>
                <w:color w:val="auto"/>
                <w:sz w:val="21"/>
                <w:szCs w:val="21"/>
                <w:lang w:val="en-US" w:eastAsia="zh-CN" w:bidi="ar-SA"/>
              </w:rPr>
            </w:pPr>
          </w:p>
        </w:tc>
        <w:tc>
          <w:tcPr>
            <w:tcW w:w="545" w:type="pct"/>
            <w:tcBorders>
              <w:tl2br w:val="nil"/>
              <w:tr2bl w:val="nil"/>
            </w:tcBorders>
            <w:noWrap w:val="0"/>
            <w:vAlign w:val="center"/>
          </w:tcPr>
          <w:p w14:paraId="2BFA4EB1">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eastAsia" w:cs="Times New Roman"/>
                <w:color w:val="auto"/>
                <w:sz w:val="21"/>
                <w:szCs w:val="21"/>
                <w:lang w:val="en-US" w:eastAsia="zh-CN"/>
              </w:rPr>
            </w:pPr>
            <w:r>
              <w:rPr>
                <w:rFonts w:hint="eastAsia" w:cs="Times New Roman"/>
                <w:color w:val="auto"/>
                <w:sz w:val="21"/>
                <w:szCs w:val="21"/>
                <w:lang w:val="en-US" w:eastAsia="zh-CN"/>
              </w:rPr>
              <w:t>3</w:t>
            </w:r>
          </w:p>
          <w:p w14:paraId="6BED3222">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eastAsia" w:ascii="Times New Roman" w:hAnsi="Times New Roman" w:eastAsia="宋体" w:cs="Times New Roman"/>
                <w:color w:val="auto"/>
                <w:sz w:val="21"/>
                <w:szCs w:val="21"/>
                <w:lang w:val="en-US" w:eastAsia="zh-CN" w:bidi="ar-SA"/>
              </w:rPr>
            </w:pPr>
            <w:r>
              <w:rPr>
                <w:rFonts w:hint="eastAsia" w:cs="Times New Roman"/>
                <w:b w:val="0"/>
                <w:bCs w:val="0"/>
                <w:color w:val="auto"/>
                <w:sz w:val="21"/>
                <w:szCs w:val="21"/>
                <w:vertAlign w:val="baseline"/>
                <w:lang w:val="en-US" w:eastAsia="zh-CN"/>
              </w:rPr>
              <w:t>mg/m</w:t>
            </w:r>
            <w:r>
              <w:rPr>
                <w:rFonts w:hint="eastAsia" w:cs="Times New Roman"/>
                <w:b w:val="0"/>
                <w:bCs w:val="0"/>
                <w:color w:val="auto"/>
                <w:sz w:val="21"/>
                <w:szCs w:val="21"/>
                <w:vertAlign w:val="superscript"/>
                <w:lang w:val="en-US" w:eastAsia="zh-CN"/>
              </w:rPr>
              <w:t>3</w:t>
            </w:r>
          </w:p>
        </w:tc>
        <w:tc>
          <w:tcPr>
            <w:tcW w:w="456" w:type="pct"/>
            <w:tcBorders>
              <w:tl2br w:val="nil"/>
              <w:tr2bl w:val="nil"/>
            </w:tcBorders>
            <w:noWrap w:val="0"/>
            <w:vAlign w:val="center"/>
          </w:tcPr>
          <w:p w14:paraId="4BF3FC7C">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bidi="ar-SA"/>
              </w:rPr>
            </w:pPr>
            <w:r>
              <w:rPr>
                <w:rFonts w:hint="default" w:ascii="Times New Roman" w:hAnsi="Times New Roman" w:eastAsia="宋体" w:cs="Times New Roman"/>
                <w:color w:val="000000"/>
                <w:sz w:val="21"/>
                <w:szCs w:val="21"/>
                <w:lang w:val="en-US" w:eastAsia="zh-CN"/>
              </w:rPr>
              <w:t>/</w:t>
            </w:r>
          </w:p>
        </w:tc>
      </w:tr>
      <w:tr w14:paraId="40F97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94" w:type="pct"/>
            <w:vMerge w:val="continue"/>
            <w:tcBorders>
              <w:tl2br w:val="nil"/>
              <w:tr2bl w:val="nil"/>
            </w:tcBorders>
            <w:noWrap w:val="0"/>
            <w:vAlign w:val="center"/>
          </w:tcPr>
          <w:p w14:paraId="778EC391">
            <w:pPr>
              <w:adjustRightInd/>
              <w:snapToGrid/>
              <w:spacing w:line="240" w:lineRule="auto"/>
              <w:ind w:firstLine="0" w:firstLineChars="0"/>
              <w:jc w:val="center"/>
              <w:rPr>
                <w:rFonts w:hint="default" w:ascii="Times New Roman" w:hAnsi="Times New Roman" w:eastAsia="宋体" w:cs="Times New Roman"/>
                <w:sz w:val="21"/>
                <w:szCs w:val="21"/>
                <w:lang w:val="en-US" w:eastAsia="zh-CN"/>
              </w:rPr>
            </w:pPr>
          </w:p>
        </w:tc>
        <w:tc>
          <w:tcPr>
            <w:tcW w:w="527" w:type="pct"/>
            <w:tcBorders>
              <w:tl2br w:val="nil"/>
              <w:tr2bl w:val="nil"/>
            </w:tcBorders>
            <w:noWrap w:val="0"/>
            <w:vAlign w:val="center"/>
          </w:tcPr>
          <w:p w14:paraId="7C7EE1BC">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宋体" w:hAnsi="宋体" w:eastAsia="宋体" w:cs="宋体"/>
                <w:color w:val="auto"/>
                <w:sz w:val="21"/>
                <w:szCs w:val="21"/>
                <w:lang w:val="en-US" w:eastAsia="zh-CN"/>
              </w:rPr>
              <w:t>硫酸雾</w:t>
            </w:r>
          </w:p>
        </w:tc>
        <w:tc>
          <w:tcPr>
            <w:tcW w:w="1625" w:type="pct"/>
            <w:tcBorders>
              <w:tl2br w:val="nil"/>
              <w:tr2bl w:val="nil"/>
            </w:tcBorders>
            <w:noWrap w:val="0"/>
            <w:vAlign w:val="center"/>
          </w:tcPr>
          <w:p w14:paraId="1ADAB2AD">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r>
              <w:rPr>
                <w:rFonts w:hint="eastAsia" w:ascii="宋体" w:hAnsi="宋体" w:cs="Times New Roman"/>
                <w:color w:val="auto"/>
                <w:sz w:val="21"/>
                <w:szCs w:val="21"/>
                <w:lang w:eastAsia="zh-CN"/>
              </w:rPr>
              <w:t>固定污染源废气 硫酸雾的测定 离子色谱法</w:t>
            </w:r>
            <w:r>
              <w:rPr>
                <w:rFonts w:hint="eastAsia" w:ascii="Times New Roman" w:hAnsi="Times New Roman" w:eastAsia="宋体" w:cs="Times New Roman"/>
                <w:color w:val="auto"/>
                <w:sz w:val="21"/>
                <w:szCs w:val="21"/>
                <w:lang w:val="en-US" w:eastAsia="zh-CN"/>
              </w:rPr>
              <w:t>》HJ 544-2016</w:t>
            </w:r>
          </w:p>
        </w:tc>
        <w:tc>
          <w:tcPr>
            <w:tcW w:w="1250" w:type="pct"/>
            <w:tcBorders>
              <w:tl2br w:val="nil"/>
              <w:tr2bl w:val="nil"/>
            </w:tcBorders>
            <w:noWrap w:val="0"/>
            <w:vAlign w:val="center"/>
          </w:tcPr>
          <w:p w14:paraId="72B9340E">
            <w:pPr>
              <w:adjustRightInd/>
              <w:snapToGrid w:val="0"/>
              <w:spacing w:line="240" w:lineRule="auto"/>
              <w:ind w:firstLine="0" w:firstLineChars="0"/>
              <w:jc w:val="center"/>
              <w:rPr>
                <w:rFonts w:cs="Times New Roman"/>
                <w:color w:val="auto"/>
                <w:sz w:val="21"/>
                <w:szCs w:val="21"/>
                <w:lang w:bidi="ar"/>
              </w:rPr>
            </w:pPr>
            <w:r>
              <w:rPr>
                <w:rFonts w:cs="Times New Roman"/>
                <w:color w:val="auto"/>
                <w:sz w:val="21"/>
                <w:szCs w:val="21"/>
                <w:lang w:bidi="ar"/>
              </w:rPr>
              <w:t xml:space="preserve"> 离子色谱仪</w:t>
            </w:r>
          </w:p>
          <w:p w14:paraId="5053DD81">
            <w:pPr>
              <w:adjustRightInd/>
              <w:snapToGrid w:val="0"/>
              <w:spacing w:line="240" w:lineRule="auto"/>
              <w:ind w:firstLine="0" w:firstLineChars="0"/>
              <w:jc w:val="center"/>
              <w:rPr>
                <w:rFonts w:cs="Times New Roman"/>
                <w:color w:val="auto"/>
                <w:sz w:val="21"/>
                <w:szCs w:val="21"/>
                <w:lang w:bidi="ar"/>
              </w:rPr>
            </w:pPr>
            <w:r>
              <w:rPr>
                <w:rFonts w:cs="Times New Roman"/>
                <w:color w:val="auto"/>
                <w:sz w:val="21"/>
                <w:szCs w:val="21"/>
                <w:lang w:bidi="ar"/>
              </w:rPr>
              <w:t>CIC-D100</w:t>
            </w:r>
          </w:p>
          <w:p w14:paraId="55E8A210">
            <w:pPr>
              <w:adjustRightInd/>
              <w:snapToGrid w:val="0"/>
              <w:spacing w:line="240" w:lineRule="auto"/>
              <w:ind w:firstLine="0" w:firstLineChars="0"/>
              <w:jc w:val="center"/>
              <w:rPr>
                <w:rFonts w:hint="default" w:ascii="Times New Roman" w:hAnsi="Times New Roman" w:eastAsia="宋体" w:cs="Times New Roman"/>
                <w:i/>
                <w:iCs/>
                <w:color w:val="auto"/>
                <w:sz w:val="21"/>
                <w:szCs w:val="21"/>
                <w:lang w:val="en-US" w:eastAsia="zh-CN"/>
              </w:rPr>
            </w:pPr>
            <w:r>
              <w:rPr>
                <w:rFonts w:hint="eastAsia" w:cs="Times New Roman"/>
                <w:color w:val="auto"/>
                <w:sz w:val="21"/>
                <w:szCs w:val="21"/>
                <w:lang w:bidi="ar"/>
              </w:rPr>
              <w:t>JYYQ-1-10-1</w:t>
            </w:r>
          </w:p>
        </w:tc>
        <w:tc>
          <w:tcPr>
            <w:tcW w:w="545" w:type="pct"/>
            <w:tcBorders>
              <w:tl2br w:val="nil"/>
              <w:tr2bl w:val="nil"/>
            </w:tcBorders>
            <w:noWrap w:val="0"/>
            <w:vAlign w:val="center"/>
          </w:tcPr>
          <w:p w14:paraId="3F4C5D89">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0.2</w:t>
            </w:r>
          </w:p>
          <w:p w14:paraId="2A074345">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mg/m</w:t>
            </w:r>
            <w:r>
              <w:rPr>
                <w:rFonts w:hint="default" w:ascii="Times New Roman" w:hAnsi="Times New Roman" w:eastAsia="宋体" w:cs="Times New Roman"/>
                <w:color w:val="auto"/>
                <w:sz w:val="21"/>
                <w:szCs w:val="21"/>
                <w:vertAlign w:val="superscript"/>
              </w:rPr>
              <w:t>3</w:t>
            </w:r>
          </w:p>
        </w:tc>
        <w:tc>
          <w:tcPr>
            <w:tcW w:w="456" w:type="pct"/>
            <w:tcBorders>
              <w:tl2br w:val="nil"/>
              <w:tr2bl w:val="nil"/>
            </w:tcBorders>
            <w:noWrap w:val="0"/>
            <w:vAlign w:val="center"/>
          </w:tcPr>
          <w:p w14:paraId="2AE32D72">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eastAsia"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w:t>
            </w:r>
          </w:p>
        </w:tc>
      </w:tr>
      <w:tr w14:paraId="02771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94" w:type="pct"/>
            <w:vMerge w:val="continue"/>
            <w:tcBorders>
              <w:tl2br w:val="nil"/>
              <w:tr2bl w:val="nil"/>
            </w:tcBorders>
            <w:noWrap w:val="0"/>
            <w:vAlign w:val="center"/>
          </w:tcPr>
          <w:p w14:paraId="5C608F2D">
            <w:pPr>
              <w:adjustRightInd/>
              <w:snapToGrid/>
              <w:spacing w:line="240" w:lineRule="auto"/>
              <w:ind w:firstLine="0" w:firstLineChars="0"/>
              <w:jc w:val="center"/>
              <w:rPr>
                <w:rFonts w:hint="default" w:ascii="Times New Roman" w:hAnsi="Times New Roman" w:eastAsia="宋体" w:cs="Times New Roman"/>
                <w:sz w:val="21"/>
                <w:szCs w:val="21"/>
                <w:lang w:val="en-US" w:eastAsia="zh-CN"/>
              </w:rPr>
            </w:pPr>
          </w:p>
        </w:tc>
        <w:tc>
          <w:tcPr>
            <w:tcW w:w="527" w:type="pct"/>
            <w:tcBorders>
              <w:tl2br w:val="nil"/>
              <w:tr2bl w:val="nil"/>
            </w:tcBorders>
            <w:noWrap w:val="0"/>
            <w:vAlign w:val="center"/>
          </w:tcPr>
          <w:p w14:paraId="694AD442">
            <w:pPr>
              <w:pStyle w:val="39"/>
              <w:ind w:firstLine="0" w:firstLineChars="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000000"/>
                <w:kern w:val="0"/>
                <w:sz w:val="21"/>
                <w:szCs w:val="21"/>
                <w:lang w:val="en-US" w:eastAsia="zh-CN" w:bidi="ar-SA"/>
              </w:rPr>
              <w:t>氯化氢</w:t>
            </w:r>
          </w:p>
        </w:tc>
        <w:tc>
          <w:tcPr>
            <w:tcW w:w="1625" w:type="pct"/>
            <w:tcBorders>
              <w:tl2br w:val="nil"/>
              <w:tr2bl w:val="nil"/>
            </w:tcBorders>
            <w:noWrap w:val="0"/>
            <w:vAlign w:val="center"/>
          </w:tcPr>
          <w:p w14:paraId="4D1C337F">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000000"/>
                <w:sz w:val="21"/>
                <w:szCs w:val="21"/>
                <w:lang w:val="en-US" w:eastAsia="zh-CN"/>
              </w:rPr>
              <w:t>《环境空气和废气 氯化氢的测定 离子色谱法》HJ 549-2016</w:t>
            </w:r>
          </w:p>
        </w:tc>
        <w:tc>
          <w:tcPr>
            <w:tcW w:w="1250" w:type="pct"/>
            <w:tcBorders>
              <w:tl2br w:val="nil"/>
              <w:tr2bl w:val="nil"/>
            </w:tcBorders>
            <w:noWrap w:val="0"/>
            <w:vAlign w:val="center"/>
          </w:tcPr>
          <w:p w14:paraId="59359A0F">
            <w:pPr>
              <w:adjustRightInd/>
              <w:snapToGrid w:val="0"/>
              <w:spacing w:line="240" w:lineRule="auto"/>
              <w:ind w:firstLine="0" w:firstLineChars="0"/>
              <w:jc w:val="center"/>
              <w:rPr>
                <w:rFonts w:cs="Times New Roman"/>
                <w:color w:val="000000"/>
                <w:sz w:val="21"/>
                <w:szCs w:val="21"/>
                <w:lang w:bidi="ar"/>
              </w:rPr>
            </w:pPr>
            <w:r>
              <w:rPr>
                <w:rFonts w:cs="Times New Roman"/>
                <w:color w:val="000000"/>
                <w:sz w:val="21"/>
                <w:szCs w:val="21"/>
                <w:lang w:bidi="ar"/>
              </w:rPr>
              <w:t>离子色谱仪</w:t>
            </w:r>
          </w:p>
          <w:p w14:paraId="199617AA">
            <w:pPr>
              <w:adjustRightInd/>
              <w:snapToGrid w:val="0"/>
              <w:spacing w:line="240" w:lineRule="auto"/>
              <w:ind w:firstLine="0" w:firstLineChars="0"/>
              <w:jc w:val="center"/>
              <w:rPr>
                <w:rFonts w:cs="Times New Roman"/>
                <w:color w:val="000000"/>
                <w:sz w:val="21"/>
                <w:szCs w:val="21"/>
                <w:lang w:bidi="ar"/>
              </w:rPr>
            </w:pPr>
            <w:r>
              <w:rPr>
                <w:rFonts w:hint="eastAsia" w:cs="Times New Roman"/>
                <w:color w:val="000000"/>
                <w:sz w:val="21"/>
                <w:szCs w:val="21"/>
                <w:lang w:bidi="ar"/>
              </w:rPr>
              <w:t>CIC-D100</w:t>
            </w:r>
          </w:p>
          <w:p w14:paraId="3BD67AE6">
            <w:pPr>
              <w:pStyle w:val="39"/>
              <w:ind w:firstLine="0" w:firstLineChars="0"/>
              <w:jc w:val="center"/>
              <w:rPr>
                <w:rFonts w:hint="default" w:ascii="Times New Roman" w:hAnsi="Times New Roman" w:eastAsia="宋体" w:cs="Times New Roman"/>
                <w:color w:val="auto"/>
                <w:sz w:val="21"/>
                <w:szCs w:val="21"/>
                <w:lang w:val="en-US" w:eastAsia="zh-CN"/>
              </w:rPr>
            </w:pPr>
            <w:r>
              <w:rPr>
                <w:rFonts w:hint="eastAsia"/>
                <w:color w:val="000000"/>
                <w:sz w:val="21"/>
                <w:szCs w:val="21"/>
                <w:lang w:bidi="ar"/>
              </w:rPr>
              <w:t>JYYQ-1-10-1</w:t>
            </w:r>
          </w:p>
        </w:tc>
        <w:tc>
          <w:tcPr>
            <w:tcW w:w="545" w:type="pct"/>
            <w:tcBorders>
              <w:tl2br w:val="nil"/>
              <w:tr2bl w:val="nil"/>
            </w:tcBorders>
            <w:noWrap w:val="0"/>
            <w:vAlign w:val="center"/>
          </w:tcPr>
          <w:p w14:paraId="33336AA7">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eastAsia"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0.2</w:t>
            </w:r>
          </w:p>
          <w:p w14:paraId="0CC61587">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000000"/>
                <w:sz w:val="21"/>
                <w:szCs w:val="21"/>
              </w:rPr>
              <w:t>mg/m</w:t>
            </w:r>
            <w:r>
              <w:rPr>
                <w:rFonts w:hint="default" w:ascii="Times New Roman" w:hAnsi="Times New Roman" w:eastAsia="宋体" w:cs="Times New Roman"/>
                <w:color w:val="000000"/>
                <w:sz w:val="21"/>
                <w:szCs w:val="21"/>
                <w:vertAlign w:val="superscript"/>
              </w:rPr>
              <w:t>3</w:t>
            </w:r>
          </w:p>
        </w:tc>
        <w:tc>
          <w:tcPr>
            <w:tcW w:w="456" w:type="pct"/>
            <w:tcBorders>
              <w:tl2br w:val="nil"/>
              <w:tr2bl w:val="nil"/>
            </w:tcBorders>
            <w:noWrap w:val="0"/>
            <w:vAlign w:val="center"/>
          </w:tcPr>
          <w:p w14:paraId="1FE54482">
            <w:pPr>
              <w:pStyle w:val="39"/>
              <w:ind w:firstLine="0" w:firstLineChars="0"/>
              <w:jc w:val="center"/>
              <w:rPr>
                <w:rFonts w:hint="eastAsia" w:ascii="Times New Roman" w:hAnsi="Times New Roman" w:eastAsia="宋体" w:cs="Times New Roman"/>
                <w:b w:val="0"/>
                <w:bCs w:val="0"/>
                <w:color w:val="auto"/>
                <w:sz w:val="21"/>
                <w:szCs w:val="21"/>
                <w:vertAlign w:val="baseline"/>
                <w:lang w:val="en-US" w:eastAsia="zh-CN"/>
              </w:rPr>
            </w:pPr>
            <w:r>
              <w:rPr>
                <w:rFonts w:hint="eastAsia" w:ascii="Times New Roman" w:hAnsi="Times New Roman" w:cs="Times New Roman"/>
                <w:color w:val="000000"/>
                <w:kern w:val="0"/>
                <w:sz w:val="21"/>
                <w:szCs w:val="21"/>
                <w:lang w:val="en-US" w:eastAsia="zh-CN" w:bidi="ar-SA"/>
              </w:rPr>
              <w:t>/</w:t>
            </w:r>
          </w:p>
        </w:tc>
      </w:tr>
      <w:tr w14:paraId="71D10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94" w:type="pct"/>
            <w:vMerge w:val="continue"/>
            <w:tcBorders>
              <w:tl2br w:val="nil"/>
              <w:tr2bl w:val="nil"/>
            </w:tcBorders>
            <w:noWrap w:val="0"/>
            <w:vAlign w:val="center"/>
          </w:tcPr>
          <w:p w14:paraId="149CCAC4">
            <w:pPr>
              <w:adjustRightInd/>
              <w:snapToGrid/>
              <w:spacing w:line="240" w:lineRule="auto"/>
              <w:ind w:firstLine="0" w:firstLineChars="0"/>
              <w:jc w:val="center"/>
              <w:rPr>
                <w:rFonts w:hint="default" w:ascii="Times New Roman" w:hAnsi="Times New Roman" w:eastAsia="宋体" w:cs="Times New Roman"/>
                <w:sz w:val="21"/>
                <w:szCs w:val="21"/>
                <w:lang w:val="en-US" w:eastAsia="zh-CN"/>
              </w:rPr>
            </w:pPr>
          </w:p>
        </w:tc>
        <w:tc>
          <w:tcPr>
            <w:tcW w:w="527" w:type="pct"/>
            <w:tcBorders>
              <w:tl2br w:val="nil"/>
              <w:tr2bl w:val="nil"/>
            </w:tcBorders>
            <w:noWrap w:val="0"/>
            <w:vAlign w:val="center"/>
          </w:tcPr>
          <w:p w14:paraId="669270E4">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铬酸雾</w:t>
            </w:r>
          </w:p>
        </w:tc>
        <w:tc>
          <w:tcPr>
            <w:tcW w:w="1625" w:type="pct"/>
            <w:tcBorders>
              <w:tl2br w:val="nil"/>
              <w:tr2bl w:val="nil"/>
            </w:tcBorders>
            <w:noWrap w:val="0"/>
            <w:vAlign w:val="center"/>
          </w:tcPr>
          <w:p w14:paraId="582FC212">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《固定污染源排气中铬酸雾的测定 二苯基碳酰二肼分光光度法》HJ/T 29-1999</w:t>
            </w:r>
          </w:p>
        </w:tc>
        <w:tc>
          <w:tcPr>
            <w:tcW w:w="1250" w:type="pct"/>
            <w:tcBorders>
              <w:tl2br w:val="nil"/>
              <w:tr2bl w:val="nil"/>
            </w:tcBorders>
            <w:noWrap w:val="0"/>
            <w:vAlign w:val="center"/>
          </w:tcPr>
          <w:p w14:paraId="1F0E6123">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rPr>
                <w:rFonts w:hint="default" w:ascii="Times New Roman" w:hAnsi="Times New Roman" w:eastAsia="宋体" w:cs="Times New Roman"/>
                <w:color w:val="auto"/>
                <w:sz w:val="21"/>
                <w:szCs w:val="21"/>
                <w:lang w:val="en-US" w:eastAsia="zh-CN" w:bidi="ar"/>
              </w:rPr>
            </w:pPr>
            <w:r>
              <w:rPr>
                <w:rFonts w:hint="default" w:ascii="Times New Roman" w:hAnsi="Times New Roman" w:eastAsia="宋体" w:cs="Times New Roman"/>
                <w:color w:val="auto"/>
                <w:sz w:val="21"/>
                <w:szCs w:val="21"/>
                <w:lang w:val="en-US" w:eastAsia="zh-CN" w:bidi="ar"/>
              </w:rPr>
              <w:t>紫外可见分光光度计</w:t>
            </w:r>
          </w:p>
          <w:p w14:paraId="56310110">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rPr>
                <w:rFonts w:hint="default" w:ascii="Times New Roman" w:hAnsi="Times New Roman" w:eastAsia="宋体" w:cs="Times New Roman"/>
                <w:color w:val="auto"/>
                <w:sz w:val="21"/>
                <w:szCs w:val="21"/>
                <w:lang w:val="en-US" w:eastAsia="zh-CN" w:bidi="ar"/>
              </w:rPr>
            </w:pPr>
            <w:r>
              <w:rPr>
                <w:rFonts w:hint="default" w:ascii="Times New Roman" w:hAnsi="Times New Roman" w:eastAsia="宋体" w:cs="Times New Roman"/>
                <w:color w:val="auto"/>
                <w:sz w:val="21"/>
                <w:szCs w:val="21"/>
                <w:lang w:val="en-US" w:eastAsia="zh-CN" w:bidi="ar"/>
              </w:rPr>
              <w:t>T6新世纪</w:t>
            </w:r>
          </w:p>
          <w:p w14:paraId="167FE15E">
            <w:pPr>
              <w:adjustRightInd/>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bidi="ar"/>
              </w:rPr>
              <w:t>JYYQ-1-07-1</w:t>
            </w:r>
          </w:p>
        </w:tc>
        <w:tc>
          <w:tcPr>
            <w:tcW w:w="545" w:type="pct"/>
            <w:tcBorders>
              <w:tl2br w:val="nil"/>
              <w:tr2bl w:val="nil"/>
            </w:tcBorders>
            <w:noWrap w:val="0"/>
            <w:vAlign w:val="center"/>
          </w:tcPr>
          <w:p w14:paraId="47236914">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eastAsia" w:ascii="Times New Roman" w:hAnsi="Times New Roman" w:eastAsia="宋体" w:cs="Times New Roman"/>
                <w:color w:val="auto"/>
                <w:sz w:val="21"/>
                <w:szCs w:val="21"/>
                <w:vertAlign w:val="superscript"/>
                <w:lang w:val="en-US" w:eastAsia="zh-CN"/>
              </w:rPr>
            </w:pPr>
            <w:r>
              <w:rPr>
                <w:rFonts w:hint="eastAsia" w:ascii="Times New Roman" w:hAnsi="Times New Roman" w:eastAsia="宋体" w:cs="Times New Roman"/>
                <w:color w:val="auto"/>
                <w:sz w:val="21"/>
                <w:szCs w:val="21"/>
                <w:lang w:val="en-US" w:eastAsia="zh-CN"/>
              </w:rPr>
              <w:t>5</w:t>
            </w:r>
            <w:r>
              <w:rPr>
                <w:rFonts w:hint="default" w:ascii="Times New Roman" w:hAnsi="Times New Roman" w:eastAsia="宋体"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-3</w:t>
            </w:r>
          </w:p>
          <w:p w14:paraId="447D9B14">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eastAsia" w:cs="Times New Roman"/>
                <w:b w:val="0"/>
                <w:bCs w:val="0"/>
                <w:color w:val="auto"/>
                <w:sz w:val="21"/>
                <w:szCs w:val="21"/>
                <w:vertAlign w:val="baseline"/>
                <w:lang w:val="en-US" w:eastAsia="zh-CN"/>
              </w:rPr>
            </w:pPr>
            <w:r>
              <w:rPr>
                <w:rFonts w:hint="default" w:ascii="Times New Roman" w:hAnsi="Times New Roman" w:eastAsia="宋体" w:cs="Times New Roman"/>
                <w:color w:val="auto"/>
                <w:sz w:val="21"/>
                <w:szCs w:val="21"/>
              </w:rPr>
              <w:t>mg/m</w:t>
            </w:r>
            <w:r>
              <w:rPr>
                <w:rFonts w:hint="default" w:ascii="Times New Roman" w:hAnsi="Times New Roman" w:eastAsia="宋体" w:cs="Times New Roman"/>
                <w:color w:val="auto"/>
                <w:sz w:val="21"/>
                <w:szCs w:val="21"/>
                <w:vertAlign w:val="superscript"/>
              </w:rPr>
              <w:t>3</w:t>
            </w:r>
          </w:p>
        </w:tc>
        <w:tc>
          <w:tcPr>
            <w:tcW w:w="456" w:type="pct"/>
            <w:tcBorders>
              <w:tl2br w:val="nil"/>
              <w:tr2bl w:val="nil"/>
            </w:tcBorders>
            <w:noWrap w:val="0"/>
            <w:vAlign w:val="center"/>
          </w:tcPr>
          <w:p w14:paraId="7883066F">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auto"/>
                <w:kern w:val="0"/>
                <w:sz w:val="21"/>
                <w:szCs w:val="21"/>
                <w:lang w:val="en-US" w:eastAsia="zh-CN" w:bidi="ar"/>
              </w:rPr>
              <w:t>/</w:t>
            </w:r>
          </w:p>
        </w:tc>
      </w:tr>
      <w:tr w14:paraId="56375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94" w:type="pct"/>
            <w:vMerge w:val="continue"/>
            <w:tcBorders>
              <w:tl2br w:val="nil"/>
              <w:tr2bl w:val="nil"/>
            </w:tcBorders>
            <w:noWrap w:val="0"/>
            <w:vAlign w:val="center"/>
          </w:tcPr>
          <w:p w14:paraId="00316F40">
            <w:pPr>
              <w:adjustRightInd/>
              <w:snapToGrid/>
              <w:spacing w:line="240" w:lineRule="auto"/>
              <w:ind w:firstLine="0" w:firstLineChars="0"/>
              <w:jc w:val="center"/>
              <w:rPr>
                <w:rFonts w:hint="default" w:ascii="Times New Roman" w:hAnsi="Times New Roman" w:eastAsia="宋体" w:cs="Times New Roman"/>
                <w:sz w:val="21"/>
                <w:szCs w:val="21"/>
                <w:lang w:val="en-US" w:eastAsia="zh-CN"/>
              </w:rPr>
            </w:pPr>
          </w:p>
        </w:tc>
        <w:tc>
          <w:tcPr>
            <w:tcW w:w="527" w:type="pct"/>
            <w:tcBorders>
              <w:tl2br w:val="nil"/>
              <w:tr2bl w:val="nil"/>
            </w:tcBorders>
            <w:noWrap w:val="0"/>
            <w:vAlign w:val="center"/>
          </w:tcPr>
          <w:p w14:paraId="666AD653">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eastAsia" w:ascii="Times New Roman" w:hAnsi="Times New Roman" w:eastAsia="宋体" w:cs="Times New Roman"/>
                <w:kern w:val="0"/>
                <w:sz w:val="21"/>
                <w:szCs w:val="21"/>
                <w:lang w:val="en-US" w:eastAsia="zh-CN" w:bidi="ar-SA"/>
              </w:rPr>
            </w:pPr>
            <w:r>
              <w:rPr>
                <w:rFonts w:hint="default" w:ascii="Times New Roman" w:hAnsi="Times New Roman" w:eastAsia="宋体" w:cs="Times New Roman"/>
                <w:color w:val="000000"/>
                <w:sz w:val="21"/>
                <w:szCs w:val="21"/>
                <w:lang w:val="en-US" w:eastAsia="zh-CN"/>
              </w:rPr>
              <w:t>氨</w:t>
            </w:r>
          </w:p>
        </w:tc>
        <w:tc>
          <w:tcPr>
            <w:tcW w:w="1625" w:type="pct"/>
            <w:tcBorders>
              <w:tl2br w:val="nil"/>
              <w:tr2bl w:val="nil"/>
            </w:tcBorders>
            <w:noWrap w:val="0"/>
            <w:vAlign w:val="center"/>
          </w:tcPr>
          <w:p w14:paraId="2AE13422">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《环境空气和废气 氨的测定 纳氏试剂分光光度法》</w:t>
            </w:r>
          </w:p>
          <w:p w14:paraId="6E887D76">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color w:val="000000"/>
                <w:sz w:val="21"/>
                <w:szCs w:val="21"/>
                <w:lang w:val="en-US" w:eastAsia="zh-CN"/>
              </w:rPr>
              <w:t>HJ 533-2009</w:t>
            </w:r>
          </w:p>
        </w:tc>
        <w:tc>
          <w:tcPr>
            <w:tcW w:w="1250" w:type="pct"/>
            <w:tcBorders>
              <w:tl2br w:val="nil"/>
              <w:tr2bl w:val="nil"/>
            </w:tcBorders>
            <w:noWrap w:val="0"/>
            <w:vAlign w:val="center"/>
          </w:tcPr>
          <w:p w14:paraId="4F850972">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可见分光光度计</w:t>
            </w:r>
          </w:p>
          <w:p w14:paraId="2497206E">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721</w:t>
            </w:r>
          </w:p>
          <w:p w14:paraId="537410AF">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sz w:val="21"/>
                <w:szCs w:val="21"/>
              </w:rPr>
              <w:t>JYYQ-1-08-1</w:t>
            </w:r>
          </w:p>
        </w:tc>
        <w:tc>
          <w:tcPr>
            <w:tcW w:w="545" w:type="pct"/>
            <w:tcBorders>
              <w:tl2br w:val="nil"/>
              <w:tr2bl w:val="nil"/>
            </w:tcBorders>
            <w:noWrap w:val="0"/>
            <w:vAlign w:val="center"/>
          </w:tcPr>
          <w:p w14:paraId="632D0FE0">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0.25</w:t>
            </w:r>
          </w:p>
          <w:p w14:paraId="7A397229">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eastAsia"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color w:val="000000"/>
                <w:sz w:val="21"/>
                <w:szCs w:val="21"/>
                <w:lang w:val="en-US" w:eastAsia="zh-CN"/>
              </w:rPr>
              <w:t>mg/m</w:t>
            </w:r>
            <w:r>
              <w:rPr>
                <w:rFonts w:hint="default" w:ascii="Times New Roman" w:hAnsi="Times New Roman" w:eastAsia="宋体" w:cs="Times New Roman"/>
                <w:color w:val="000000"/>
                <w:sz w:val="21"/>
                <w:szCs w:val="21"/>
                <w:vertAlign w:val="superscript"/>
                <w:lang w:val="en-US" w:eastAsia="zh-CN"/>
              </w:rPr>
              <w:t>3</w:t>
            </w:r>
          </w:p>
        </w:tc>
        <w:tc>
          <w:tcPr>
            <w:tcW w:w="456" w:type="pct"/>
            <w:tcBorders>
              <w:tl2br w:val="nil"/>
              <w:tr2bl w:val="nil"/>
            </w:tcBorders>
            <w:noWrap w:val="0"/>
            <w:vAlign w:val="center"/>
          </w:tcPr>
          <w:p w14:paraId="4994DAB8">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b w:val="0"/>
                <w:bCs w:val="0"/>
                <w:color w:val="auto"/>
                <w:sz w:val="21"/>
                <w:szCs w:val="21"/>
                <w:vertAlign w:val="baseline"/>
                <w:lang w:val="en-US" w:eastAsia="zh-CN"/>
              </w:rPr>
              <w:t>/</w:t>
            </w:r>
          </w:p>
        </w:tc>
      </w:tr>
      <w:tr w14:paraId="11DFD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94" w:type="pct"/>
            <w:vMerge w:val="continue"/>
            <w:tcBorders>
              <w:tl2br w:val="nil"/>
              <w:tr2bl w:val="nil"/>
            </w:tcBorders>
            <w:noWrap w:val="0"/>
            <w:vAlign w:val="center"/>
          </w:tcPr>
          <w:p w14:paraId="2DF9F066">
            <w:pPr>
              <w:adjustRightInd/>
              <w:snapToGrid/>
              <w:spacing w:line="240" w:lineRule="auto"/>
              <w:ind w:firstLine="0" w:firstLineChars="0"/>
              <w:jc w:val="center"/>
              <w:rPr>
                <w:rFonts w:hint="default" w:ascii="Times New Roman" w:hAnsi="Times New Roman" w:eastAsia="宋体" w:cs="Times New Roman"/>
                <w:sz w:val="21"/>
                <w:szCs w:val="21"/>
                <w:lang w:val="en-US" w:eastAsia="zh-CN"/>
              </w:rPr>
            </w:pPr>
          </w:p>
        </w:tc>
        <w:tc>
          <w:tcPr>
            <w:tcW w:w="527" w:type="pct"/>
            <w:tcBorders>
              <w:tl2br w:val="nil"/>
              <w:tr2bl w:val="nil"/>
            </w:tcBorders>
            <w:noWrap w:val="0"/>
            <w:vAlign w:val="center"/>
          </w:tcPr>
          <w:p w14:paraId="6706EEAA">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eastAsia" w:ascii="Times New Roman" w:hAnsi="Times New Roman" w:eastAsia="宋体" w:cs="Times New Roman"/>
                <w:kern w:val="0"/>
                <w:sz w:val="21"/>
                <w:szCs w:val="21"/>
                <w:lang w:val="en-US" w:eastAsia="zh-CN" w:bidi="ar-SA"/>
              </w:rPr>
            </w:pPr>
            <w:r>
              <w:rPr>
                <w:rFonts w:hint="default" w:ascii="Times New Roman" w:hAnsi="Times New Roman" w:eastAsia="宋体" w:cs="Times New Roman"/>
                <w:color w:val="auto"/>
                <w:sz w:val="21"/>
                <w:szCs w:val="21"/>
                <w:lang w:val="en-US" w:eastAsia="zh-CN"/>
              </w:rPr>
              <w:t>硫化氢</w:t>
            </w:r>
          </w:p>
        </w:tc>
        <w:tc>
          <w:tcPr>
            <w:tcW w:w="1625" w:type="pct"/>
            <w:tcBorders>
              <w:tl2br w:val="nil"/>
              <w:tr2bl w:val="nil"/>
            </w:tcBorders>
            <w:noWrap w:val="0"/>
            <w:vAlign w:val="center"/>
          </w:tcPr>
          <w:p w14:paraId="5769A038">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sz w:val="21"/>
                <w:szCs w:val="21"/>
                <w:lang w:eastAsia="zh-CN" w:bidi="ar"/>
              </w:rPr>
              <w:t>《</w:t>
            </w:r>
            <w:r>
              <w:rPr>
                <w:rFonts w:hint="eastAsia" w:ascii="Times New Roman" w:hAnsi="Times New Roman" w:cs="Times New Roman"/>
                <w:sz w:val="21"/>
                <w:szCs w:val="21"/>
                <w:lang w:val="en-US" w:eastAsia="zh-CN" w:bidi="ar-SA"/>
              </w:rPr>
              <w:t>固定污染源废气 硫化氢的测定 亚甲基蓝分光光度法</w:t>
            </w:r>
            <w:r>
              <w:rPr>
                <w:rFonts w:hint="eastAsia" w:ascii="Times New Roman" w:hAnsi="Times New Roman" w:eastAsia="宋体" w:cs="Times New Roman"/>
                <w:color w:val="auto"/>
                <w:sz w:val="21"/>
                <w:szCs w:val="21"/>
                <w:lang w:val="en-US" w:eastAsia="zh-CN"/>
              </w:rPr>
              <w:t>》</w:t>
            </w:r>
          </w:p>
          <w:p w14:paraId="2E67A530">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default" w:ascii="Times New Roman" w:hAnsi="Times New Roman" w:eastAsia="宋体" w:cs="Times New Roman"/>
                <w:kern w:val="0"/>
                <w:sz w:val="21"/>
                <w:szCs w:val="21"/>
                <w:lang w:val="en-US" w:eastAsia="zh-CN" w:bidi="ar-SA"/>
              </w:rPr>
            </w:pPr>
            <w:r>
              <w:rPr>
                <w:rFonts w:hint="eastAsia" w:ascii="Times New Roman" w:hAnsi="Times New Roman" w:cs="Times New Roman"/>
                <w:sz w:val="21"/>
                <w:szCs w:val="21"/>
                <w:lang w:val="en-US" w:eastAsia="zh-CN" w:bidi="ar-SA"/>
              </w:rPr>
              <w:t>HJ 1388-2024</w:t>
            </w:r>
          </w:p>
        </w:tc>
        <w:tc>
          <w:tcPr>
            <w:tcW w:w="1250" w:type="pct"/>
            <w:tcBorders>
              <w:tl2br w:val="nil"/>
              <w:tr2bl w:val="nil"/>
            </w:tcBorders>
            <w:noWrap w:val="0"/>
            <w:vAlign w:val="center"/>
          </w:tcPr>
          <w:p w14:paraId="7C8A76E9">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紫外可见分光光度计</w:t>
            </w:r>
          </w:p>
          <w:p w14:paraId="741D5B7C">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T6新世纪</w:t>
            </w:r>
          </w:p>
          <w:p w14:paraId="123F358B">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JYYQ-1-07-1</w:t>
            </w:r>
          </w:p>
        </w:tc>
        <w:tc>
          <w:tcPr>
            <w:tcW w:w="545" w:type="pct"/>
            <w:tcBorders>
              <w:tl2br w:val="nil"/>
              <w:tr2bl w:val="nil"/>
            </w:tcBorders>
            <w:noWrap w:val="0"/>
            <w:vAlign w:val="center"/>
          </w:tcPr>
          <w:p w14:paraId="696095E1">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color w:val="000000"/>
                <w:sz w:val="21"/>
                <w:szCs w:val="21"/>
                <w:lang w:val="en-US" w:eastAsia="zh-CN" w:bidi="ar-SA"/>
              </w:rPr>
            </w:pPr>
            <w:r>
              <w:rPr>
                <w:rFonts w:hint="default" w:ascii="Times New Roman" w:hAnsi="Times New Roman" w:eastAsia="宋体" w:cs="Times New Roman"/>
                <w:color w:val="000000"/>
                <w:sz w:val="21"/>
                <w:szCs w:val="21"/>
                <w:lang w:val="en-US" w:eastAsia="zh-CN" w:bidi="ar-SA"/>
              </w:rPr>
              <w:t>0.0</w:t>
            </w:r>
            <w:r>
              <w:rPr>
                <w:rFonts w:hint="eastAsia" w:ascii="Times New Roman" w:hAnsi="Times New Roman" w:eastAsia="宋体" w:cs="Times New Roman"/>
                <w:color w:val="000000"/>
                <w:sz w:val="21"/>
                <w:szCs w:val="21"/>
                <w:lang w:val="en-US" w:eastAsia="zh-CN" w:bidi="ar-SA"/>
              </w:rPr>
              <w:t>07</w:t>
            </w:r>
          </w:p>
          <w:p w14:paraId="0A5FFB52">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eastAsia"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color w:val="000000"/>
                <w:sz w:val="21"/>
                <w:szCs w:val="21"/>
              </w:rPr>
              <w:t>mg/m</w:t>
            </w:r>
            <w:r>
              <w:rPr>
                <w:rFonts w:hint="default" w:ascii="Times New Roman" w:hAnsi="Times New Roman" w:eastAsia="宋体" w:cs="Times New Roman"/>
                <w:color w:val="000000"/>
                <w:sz w:val="21"/>
                <w:szCs w:val="21"/>
                <w:vertAlign w:val="superscript"/>
              </w:rPr>
              <w:t>3</w:t>
            </w:r>
          </w:p>
        </w:tc>
        <w:tc>
          <w:tcPr>
            <w:tcW w:w="456" w:type="pct"/>
            <w:tcBorders>
              <w:tl2br w:val="nil"/>
              <w:tr2bl w:val="nil"/>
            </w:tcBorders>
            <w:noWrap w:val="0"/>
            <w:vAlign w:val="center"/>
          </w:tcPr>
          <w:p w14:paraId="30FEF896">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color w:val="000000"/>
                <w:sz w:val="21"/>
                <w:szCs w:val="21"/>
              </w:rPr>
            </w:pPr>
            <w:r>
              <w:rPr>
                <w:rFonts w:hint="eastAsia" w:ascii="Times New Roman" w:hAnsi="Times New Roman" w:eastAsia="宋体" w:cs="Times New Roman"/>
                <w:b w:val="0"/>
                <w:bCs w:val="0"/>
                <w:color w:val="auto"/>
                <w:sz w:val="21"/>
                <w:szCs w:val="21"/>
                <w:vertAlign w:val="baseline"/>
                <w:lang w:val="en-US" w:eastAsia="zh-CN"/>
              </w:rPr>
              <w:t>/</w:t>
            </w:r>
          </w:p>
        </w:tc>
      </w:tr>
      <w:tr w14:paraId="5B0D3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94" w:type="pct"/>
            <w:vMerge w:val="continue"/>
            <w:tcBorders>
              <w:tl2br w:val="nil"/>
              <w:tr2bl w:val="nil"/>
            </w:tcBorders>
            <w:noWrap w:val="0"/>
            <w:vAlign w:val="center"/>
          </w:tcPr>
          <w:p w14:paraId="1664F521">
            <w:pPr>
              <w:adjustRightInd/>
              <w:snapToGrid/>
              <w:spacing w:line="240" w:lineRule="auto"/>
              <w:ind w:firstLine="0" w:firstLineChars="0"/>
              <w:jc w:val="center"/>
              <w:rPr>
                <w:rFonts w:hint="default" w:ascii="Times New Roman" w:hAnsi="Times New Roman" w:eastAsia="宋体" w:cs="Times New Roman"/>
                <w:sz w:val="21"/>
                <w:szCs w:val="21"/>
                <w:lang w:val="en-US" w:eastAsia="zh-CN"/>
              </w:rPr>
            </w:pPr>
          </w:p>
        </w:tc>
        <w:tc>
          <w:tcPr>
            <w:tcW w:w="527" w:type="pct"/>
            <w:tcBorders>
              <w:tl2br w:val="nil"/>
              <w:tr2bl w:val="nil"/>
            </w:tcBorders>
            <w:noWrap w:val="0"/>
            <w:vAlign w:val="center"/>
          </w:tcPr>
          <w:p w14:paraId="2DE2EC5D">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color w:val="auto"/>
                <w:sz w:val="21"/>
                <w:szCs w:val="21"/>
                <w:lang w:val="en-US" w:eastAsia="zh-CN" w:bidi="ar"/>
              </w:rPr>
              <w:t>臭气浓度</w:t>
            </w:r>
          </w:p>
        </w:tc>
        <w:tc>
          <w:tcPr>
            <w:tcW w:w="1625" w:type="pct"/>
            <w:tcBorders>
              <w:tl2br w:val="nil"/>
              <w:tr2bl w:val="nil"/>
            </w:tcBorders>
            <w:noWrap w:val="0"/>
            <w:vAlign w:val="center"/>
          </w:tcPr>
          <w:p w14:paraId="07A149C9">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default" w:ascii="Times New Roman" w:hAnsi="Times New Roman" w:cs="Times New Roman"/>
                <w:sz w:val="21"/>
                <w:szCs w:val="21"/>
                <w:lang w:bidi="ar"/>
              </w:rPr>
            </w:pPr>
            <w:r>
              <w:rPr>
                <w:rFonts w:hint="default" w:ascii="Times New Roman" w:hAnsi="Times New Roman" w:cs="Times New Roman"/>
                <w:sz w:val="21"/>
                <w:szCs w:val="21"/>
                <w:lang w:bidi="ar"/>
              </w:rPr>
              <w:t>《</w:t>
            </w:r>
            <w:r>
              <w:rPr>
                <w:rFonts w:hint="eastAsia" w:ascii="Times New Roman" w:hAnsi="Times New Roman" w:eastAsia="宋体" w:cs="Times New Roman"/>
                <w:sz w:val="21"/>
                <w:szCs w:val="21"/>
                <w:lang w:val="en-US" w:eastAsia="zh-CN" w:bidi="ar"/>
              </w:rPr>
              <w:t>环境空气和废气 臭气的测定 三点比较式臭袋法</w:t>
            </w:r>
            <w:r>
              <w:rPr>
                <w:rFonts w:hint="default" w:ascii="Times New Roman" w:hAnsi="Times New Roman" w:cs="Times New Roman"/>
                <w:sz w:val="21"/>
                <w:szCs w:val="21"/>
                <w:lang w:bidi="ar"/>
              </w:rPr>
              <w:t>》</w:t>
            </w:r>
          </w:p>
          <w:p w14:paraId="4407330B">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default" w:ascii="Times New Roman" w:hAnsi="Times New Roman" w:eastAsia="宋体" w:cs="Times New Roman"/>
                <w:kern w:val="0"/>
                <w:sz w:val="21"/>
                <w:szCs w:val="21"/>
                <w:lang w:val="en-US" w:eastAsia="zh-CN" w:bidi="ar-SA"/>
              </w:rPr>
            </w:pPr>
            <w:r>
              <w:rPr>
                <w:rFonts w:hint="eastAsia" w:ascii="Times New Roman" w:hAnsi="Times New Roman" w:eastAsia="宋体" w:cs="Times New Roman"/>
                <w:sz w:val="21"/>
                <w:szCs w:val="21"/>
                <w:lang w:val="en-US" w:eastAsia="zh-CN" w:bidi="ar"/>
              </w:rPr>
              <w:t>HJ 1262-2022</w:t>
            </w:r>
          </w:p>
        </w:tc>
        <w:tc>
          <w:tcPr>
            <w:tcW w:w="1250" w:type="pct"/>
            <w:tcBorders>
              <w:tl2br w:val="nil"/>
              <w:tr2bl w:val="nil"/>
            </w:tcBorders>
            <w:noWrap w:val="0"/>
            <w:vAlign w:val="center"/>
          </w:tcPr>
          <w:p w14:paraId="7E10E42D">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kern w:val="0"/>
                <w:sz w:val="21"/>
                <w:szCs w:val="21"/>
                <w:lang w:val="en-US" w:eastAsia="zh-CN" w:bidi="ar"/>
              </w:rPr>
              <w:t>/</w:t>
            </w:r>
          </w:p>
        </w:tc>
        <w:tc>
          <w:tcPr>
            <w:tcW w:w="545" w:type="pct"/>
            <w:tcBorders>
              <w:tl2br w:val="nil"/>
              <w:tr2bl w:val="nil"/>
            </w:tcBorders>
            <w:noWrap w:val="0"/>
            <w:vAlign w:val="center"/>
          </w:tcPr>
          <w:p w14:paraId="6C4E53D2">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eastAsia"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w:t>
            </w:r>
          </w:p>
        </w:tc>
        <w:tc>
          <w:tcPr>
            <w:tcW w:w="456" w:type="pct"/>
            <w:tcBorders>
              <w:tl2br w:val="nil"/>
              <w:tr2bl w:val="nil"/>
            </w:tcBorders>
            <w:noWrap w:val="0"/>
            <w:vAlign w:val="center"/>
          </w:tcPr>
          <w:p w14:paraId="61326B13">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10</w:t>
            </w:r>
          </w:p>
          <w:p w14:paraId="2D5842E4">
            <w:pPr>
              <w:keepNext w:val="0"/>
              <w:keepLines w:val="0"/>
              <w:pageBreakBefore w:val="0"/>
              <w:widowControl/>
              <w:kinsoku/>
              <w:wordWrap/>
              <w:overflowPunct/>
              <w:topLinePunct w:val="0"/>
              <w:autoSpaceDE/>
              <w:autoSpaceDN/>
              <w:bidi w:val="0"/>
              <w:adjustRightInd/>
              <w:snapToGrid w:val="0"/>
              <w:spacing w:line="240" w:lineRule="auto"/>
              <w:ind w:left="-240" w:leftChars="-100" w:right="-240" w:rightChars="-100" w:firstLine="0" w:firstLineChars="0"/>
              <w:jc w:val="center"/>
              <w:textAlignment w:val="auto"/>
              <w:rPr>
                <w:rFonts w:hint="eastAsia"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color w:val="auto"/>
                <w:sz w:val="21"/>
                <w:szCs w:val="21"/>
                <w:lang w:val="en-US" w:eastAsia="zh-CN"/>
              </w:rPr>
              <w:t>（无量纲）</w:t>
            </w:r>
          </w:p>
        </w:tc>
      </w:tr>
      <w:tr w14:paraId="28C56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94" w:type="pct"/>
            <w:vMerge w:val="restart"/>
            <w:tcBorders>
              <w:tl2br w:val="nil"/>
              <w:tr2bl w:val="nil"/>
            </w:tcBorders>
            <w:noWrap w:val="0"/>
            <w:vAlign w:val="center"/>
          </w:tcPr>
          <w:p w14:paraId="3B084A8E">
            <w:pPr>
              <w:adjustRightInd/>
              <w:snapToGrid/>
              <w:spacing w:line="240" w:lineRule="auto"/>
              <w:ind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废气</w:t>
            </w:r>
          </w:p>
          <w:p w14:paraId="0ED3AEB9">
            <w:pPr>
              <w:adjustRightInd/>
              <w:snapToGrid/>
              <w:spacing w:line="240" w:lineRule="auto"/>
              <w:ind w:firstLine="0" w:firstLineChars="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无</w:t>
            </w:r>
            <w:r>
              <w:rPr>
                <w:rFonts w:hint="default" w:ascii="Times New Roman" w:hAnsi="Times New Roman" w:eastAsia="宋体" w:cs="Times New Roman"/>
                <w:sz w:val="21"/>
                <w:szCs w:val="21"/>
                <w:lang w:val="en-US" w:eastAsia="zh-CN"/>
              </w:rPr>
              <w:t>组织</w:t>
            </w:r>
          </w:p>
          <w:p w14:paraId="33A961D3">
            <w:pPr>
              <w:adjustRightInd/>
              <w:snapToGrid/>
              <w:spacing w:line="240" w:lineRule="auto"/>
              <w:ind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排放</w:t>
            </w:r>
          </w:p>
        </w:tc>
        <w:tc>
          <w:tcPr>
            <w:tcW w:w="527" w:type="pct"/>
            <w:tcBorders>
              <w:tl2br w:val="nil"/>
              <w:tr2bl w:val="nil"/>
            </w:tcBorders>
            <w:noWrap w:val="0"/>
            <w:vAlign w:val="center"/>
          </w:tcPr>
          <w:p w14:paraId="363A2B19">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eastAsia" w:ascii="Times New Roman" w:hAnsi="Times New Roman" w:eastAsia="宋体" w:cs="Times New Roman"/>
                <w:kern w:val="0"/>
                <w:sz w:val="21"/>
                <w:szCs w:val="21"/>
                <w:lang w:val="en-US" w:eastAsia="zh-CN" w:bidi="ar-SA"/>
              </w:rPr>
            </w:pPr>
            <w:r>
              <w:rPr>
                <w:rFonts w:hint="default" w:ascii="Times New Roman" w:hAnsi="Times New Roman" w:eastAsia="宋体" w:cs="Times New Roman"/>
                <w:color w:val="auto"/>
                <w:sz w:val="21"/>
                <w:szCs w:val="21"/>
                <w:lang w:val="en-US" w:eastAsia="zh-CN"/>
              </w:rPr>
              <w:t>氯化氢</w:t>
            </w:r>
          </w:p>
        </w:tc>
        <w:tc>
          <w:tcPr>
            <w:tcW w:w="1625" w:type="pct"/>
            <w:tcBorders>
              <w:tl2br w:val="nil"/>
              <w:tr2bl w:val="nil"/>
            </w:tcBorders>
            <w:noWrap w:val="0"/>
            <w:vAlign w:val="center"/>
          </w:tcPr>
          <w:p w14:paraId="6563222A">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《环境空气和废气 氯化氢的测定 离子色谱法》</w:t>
            </w:r>
          </w:p>
          <w:p w14:paraId="79CCB386">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color w:val="auto"/>
                <w:sz w:val="21"/>
                <w:szCs w:val="21"/>
                <w:lang w:val="en-US" w:eastAsia="zh-CN"/>
              </w:rPr>
              <w:t>HJ 549-2016</w:t>
            </w:r>
          </w:p>
        </w:tc>
        <w:tc>
          <w:tcPr>
            <w:tcW w:w="1250" w:type="pct"/>
            <w:tcBorders>
              <w:tl2br w:val="nil"/>
              <w:tr2bl w:val="nil"/>
            </w:tcBorders>
            <w:noWrap w:val="0"/>
            <w:vAlign w:val="center"/>
          </w:tcPr>
          <w:p w14:paraId="260D6B2C">
            <w:pPr>
              <w:adjustRightInd/>
              <w:snapToGrid w:val="0"/>
              <w:spacing w:line="240" w:lineRule="auto"/>
              <w:ind w:firstLine="0" w:firstLineChars="0"/>
              <w:jc w:val="center"/>
              <w:rPr>
                <w:rFonts w:hint="default" w:ascii="Times New Roman" w:hAnsi="Times New Roman" w:eastAsia="宋体" w:cs="Times New Roman"/>
                <w:color w:val="000000"/>
                <w:sz w:val="21"/>
                <w:szCs w:val="21"/>
                <w:lang w:val="en-US" w:eastAsia="zh-CN" w:bidi="ar"/>
              </w:rPr>
            </w:pPr>
            <w:r>
              <w:rPr>
                <w:rFonts w:hint="default" w:ascii="Times New Roman" w:hAnsi="Times New Roman" w:eastAsia="宋体" w:cs="Times New Roman"/>
                <w:color w:val="000000"/>
                <w:sz w:val="21"/>
                <w:szCs w:val="21"/>
                <w:lang w:val="en-US" w:eastAsia="zh-CN" w:bidi="ar"/>
              </w:rPr>
              <w:t>离子色谱仪</w:t>
            </w:r>
          </w:p>
          <w:p w14:paraId="59C5EAD5">
            <w:pPr>
              <w:adjustRightInd/>
              <w:snapToGrid w:val="0"/>
              <w:spacing w:line="240" w:lineRule="auto"/>
              <w:ind w:firstLine="0" w:firstLineChars="0"/>
              <w:jc w:val="center"/>
              <w:rPr>
                <w:rFonts w:hint="default" w:ascii="Times New Roman" w:hAnsi="Times New Roman" w:eastAsia="宋体" w:cs="Times New Roman"/>
                <w:color w:val="000000"/>
                <w:sz w:val="21"/>
                <w:szCs w:val="21"/>
                <w:lang w:val="en-US" w:eastAsia="zh-CN" w:bidi="ar"/>
              </w:rPr>
            </w:pPr>
            <w:r>
              <w:rPr>
                <w:rFonts w:hint="default" w:ascii="Times New Roman" w:hAnsi="Times New Roman" w:eastAsia="宋体" w:cs="Times New Roman"/>
                <w:color w:val="000000"/>
                <w:sz w:val="21"/>
                <w:szCs w:val="21"/>
                <w:lang w:val="en-US" w:eastAsia="zh-CN" w:bidi="ar"/>
              </w:rPr>
              <w:t>CIC-D100</w:t>
            </w:r>
          </w:p>
          <w:p w14:paraId="008BD60B">
            <w:pPr>
              <w:adjustRightInd/>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000000"/>
                <w:sz w:val="21"/>
                <w:szCs w:val="21"/>
                <w:lang w:val="en-US" w:eastAsia="zh-CN" w:bidi="ar"/>
              </w:rPr>
              <w:t>JYYQ-1-10-1</w:t>
            </w:r>
          </w:p>
        </w:tc>
        <w:tc>
          <w:tcPr>
            <w:tcW w:w="545" w:type="pct"/>
            <w:tcBorders>
              <w:tl2br w:val="nil"/>
              <w:tr2bl w:val="nil"/>
            </w:tcBorders>
            <w:noWrap w:val="0"/>
            <w:vAlign w:val="center"/>
          </w:tcPr>
          <w:p w14:paraId="391DDD24">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0.02</w:t>
            </w:r>
          </w:p>
          <w:p w14:paraId="47D55FE9">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eastAsia"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mg/m</w:t>
            </w:r>
            <w:r>
              <w:rPr>
                <w:rFonts w:hint="default" w:ascii="Times New Roman" w:hAnsi="Times New Roman" w:eastAsia="宋体" w:cs="Times New Roman"/>
                <w:b w:val="0"/>
                <w:bCs w:val="0"/>
                <w:color w:val="auto"/>
                <w:sz w:val="21"/>
                <w:szCs w:val="21"/>
                <w:vertAlign w:val="superscript"/>
                <w:lang w:val="en-US" w:eastAsia="zh-CN"/>
              </w:rPr>
              <w:t>3</w:t>
            </w:r>
          </w:p>
        </w:tc>
        <w:tc>
          <w:tcPr>
            <w:tcW w:w="456" w:type="pct"/>
            <w:tcBorders>
              <w:tl2br w:val="nil"/>
              <w:tr2bl w:val="nil"/>
            </w:tcBorders>
            <w:noWrap w:val="0"/>
            <w:vAlign w:val="center"/>
          </w:tcPr>
          <w:p w14:paraId="6A844008">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r>
      <w:tr w14:paraId="07786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94" w:type="pct"/>
            <w:vMerge w:val="continue"/>
            <w:tcBorders>
              <w:tl2br w:val="nil"/>
              <w:tr2bl w:val="nil"/>
            </w:tcBorders>
            <w:noWrap w:val="0"/>
            <w:vAlign w:val="center"/>
          </w:tcPr>
          <w:p w14:paraId="506A87CD">
            <w:pPr>
              <w:adjustRightInd/>
              <w:snapToGrid/>
              <w:spacing w:line="240" w:lineRule="auto"/>
              <w:ind w:firstLine="0" w:firstLineChars="0"/>
              <w:jc w:val="center"/>
              <w:rPr>
                <w:rFonts w:hint="default" w:ascii="Times New Roman" w:hAnsi="Times New Roman" w:eastAsia="宋体" w:cs="Times New Roman"/>
                <w:sz w:val="21"/>
                <w:szCs w:val="21"/>
                <w:lang w:val="en-US" w:eastAsia="zh-CN"/>
              </w:rPr>
            </w:pPr>
          </w:p>
        </w:tc>
        <w:tc>
          <w:tcPr>
            <w:tcW w:w="527" w:type="pct"/>
            <w:tcBorders>
              <w:tl2br w:val="nil"/>
              <w:tr2bl w:val="nil"/>
            </w:tcBorders>
            <w:noWrap w:val="0"/>
            <w:vAlign w:val="center"/>
          </w:tcPr>
          <w:p w14:paraId="3537540F">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eastAsia" w:ascii="Times New Roman" w:hAnsi="Times New Roman" w:eastAsia="宋体" w:cs="Times New Roman"/>
                <w:kern w:val="0"/>
                <w:sz w:val="21"/>
                <w:szCs w:val="21"/>
                <w:lang w:val="en-US" w:eastAsia="zh-CN" w:bidi="ar-SA"/>
              </w:rPr>
            </w:pPr>
            <w:r>
              <w:rPr>
                <w:rFonts w:hint="eastAsia" w:ascii="宋体" w:hAnsi="宋体" w:eastAsia="宋体" w:cs="宋体"/>
                <w:color w:val="000000"/>
                <w:sz w:val="21"/>
                <w:szCs w:val="21"/>
                <w:lang w:val="en-US" w:eastAsia="zh-CN"/>
              </w:rPr>
              <w:t>硫酸雾</w:t>
            </w:r>
          </w:p>
        </w:tc>
        <w:tc>
          <w:tcPr>
            <w:tcW w:w="1625" w:type="pct"/>
            <w:tcBorders>
              <w:tl2br w:val="nil"/>
              <w:tr2bl w:val="nil"/>
            </w:tcBorders>
            <w:noWrap w:val="0"/>
            <w:vAlign w:val="center"/>
          </w:tcPr>
          <w:p w14:paraId="0A635EDC">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《固定污染源废气 硫酸雾的测定 离子色谱法》</w:t>
            </w:r>
          </w:p>
          <w:p w14:paraId="6F7208DF">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default" w:ascii="Times New Roman" w:hAnsi="Times New Roman" w:eastAsia="宋体" w:cs="Times New Roman"/>
                <w:kern w:val="0"/>
                <w:sz w:val="21"/>
                <w:szCs w:val="21"/>
                <w:lang w:val="en-US" w:eastAsia="zh-CN" w:bidi="ar-SA"/>
              </w:rPr>
            </w:pPr>
            <w:r>
              <w:rPr>
                <w:rFonts w:hint="eastAsia" w:ascii="Times New Roman" w:hAnsi="Times New Roman" w:eastAsia="宋体" w:cs="Times New Roman"/>
                <w:color w:val="000000"/>
                <w:sz w:val="21"/>
                <w:szCs w:val="21"/>
                <w:lang w:val="en-US" w:eastAsia="zh-CN"/>
              </w:rPr>
              <w:t>HJ 544-2016</w:t>
            </w:r>
          </w:p>
        </w:tc>
        <w:tc>
          <w:tcPr>
            <w:tcW w:w="1250" w:type="pct"/>
            <w:tcBorders>
              <w:tl2br w:val="nil"/>
              <w:tr2bl w:val="nil"/>
            </w:tcBorders>
            <w:noWrap w:val="0"/>
            <w:vAlign w:val="center"/>
          </w:tcPr>
          <w:p w14:paraId="7DEA4639">
            <w:pPr>
              <w:adjustRightInd/>
              <w:snapToGrid w:val="0"/>
              <w:spacing w:line="240" w:lineRule="auto"/>
              <w:ind w:firstLine="0" w:firstLineChars="0"/>
              <w:jc w:val="center"/>
              <w:rPr>
                <w:rFonts w:cs="Times New Roman"/>
                <w:color w:val="000000"/>
                <w:sz w:val="21"/>
                <w:szCs w:val="21"/>
                <w:lang w:bidi="ar"/>
              </w:rPr>
            </w:pPr>
            <w:r>
              <w:rPr>
                <w:rFonts w:cs="Times New Roman"/>
                <w:color w:val="000000"/>
                <w:sz w:val="21"/>
                <w:szCs w:val="21"/>
                <w:lang w:bidi="ar"/>
              </w:rPr>
              <w:t xml:space="preserve"> 离子色谱仪</w:t>
            </w:r>
          </w:p>
          <w:p w14:paraId="13F5677F">
            <w:pPr>
              <w:adjustRightInd/>
              <w:snapToGrid w:val="0"/>
              <w:spacing w:line="240" w:lineRule="auto"/>
              <w:ind w:firstLine="0" w:firstLineChars="0"/>
              <w:jc w:val="center"/>
              <w:rPr>
                <w:rFonts w:cs="Times New Roman"/>
                <w:color w:val="000000"/>
                <w:sz w:val="21"/>
                <w:szCs w:val="21"/>
                <w:lang w:bidi="ar"/>
              </w:rPr>
            </w:pPr>
            <w:r>
              <w:rPr>
                <w:rFonts w:cs="Times New Roman"/>
                <w:color w:val="000000"/>
                <w:sz w:val="21"/>
                <w:szCs w:val="21"/>
                <w:lang w:bidi="ar"/>
              </w:rPr>
              <w:t>CIC-D100</w:t>
            </w:r>
          </w:p>
          <w:p w14:paraId="5A5238FA">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000000"/>
                <w:sz w:val="21"/>
                <w:szCs w:val="21"/>
                <w:lang w:bidi="ar"/>
              </w:rPr>
              <w:t>JYYQ-1-10-1</w:t>
            </w:r>
          </w:p>
        </w:tc>
        <w:tc>
          <w:tcPr>
            <w:tcW w:w="545" w:type="pct"/>
            <w:tcBorders>
              <w:tl2br w:val="nil"/>
              <w:tr2bl w:val="nil"/>
            </w:tcBorders>
            <w:noWrap w:val="0"/>
            <w:vAlign w:val="center"/>
          </w:tcPr>
          <w:p w14:paraId="21D02774">
            <w:pPr>
              <w:keepNext w:val="0"/>
              <w:keepLines w:val="0"/>
              <w:pageBreakBefore w:val="0"/>
              <w:widowControl/>
              <w:tabs>
                <w:tab w:val="left" w:pos="517"/>
              </w:tabs>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eastAsia"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0.005</w:t>
            </w:r>
          </w:p>
          <w:p w14:paraId="0D11BFCC">
            <w:pPr>
              <w:keepNext w:val="0"/>
              <w:keepLines w:val="0"/>
              <w:pageBreakBefore w:val="0"/>
              <w:widowControl/>
              <w:tabs>
                <w:tab w:val="left" w:pos="517"/>
              </w:tabs>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eastAsia"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color w:val="000000"/>
                <w:sz w:val="21"/>
                <w:szCs w:val="21"/>
                <w:lang w:val="en-US" w:eastAsia="zh-CN"/>
              </w:rPr>
              <w:t>mg/m</w:t>
            </w:r>
            <w:r>
              <w:rPr>
                <w:rFonts w:hint="default" w:ascii="Times New Roman" w:hAnsi="Times New Roman" w:eastAsia="宋体" w:cs="Times New Roman"/>
                <w:color w:val="000000"/>
                <w:sz w:val="21"/>
                <w:szCs w:val="21"/>
                <w:vertAlign w:val="superscript"/>
              </w:rPr>
              <w:t>3</w:t>
            </w:r>
          </w:p>
        </w:tc>
        <w:tc>
          <w:tcPr>
            <w:tcW w:w="456" w:type="pct"/>
            <w:tcBorders>
              <w:tl2br w:val="nil"/>
              <w:tr2bl w:val="nil"/>
            </w:tcBorders>
            <w:noWrap w:val="0"/>
            <w:vAlign w:val="center"/>
          </w:tcPr>
          <w:p w14:paraId="380D969F">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eastAsia" w:ascii="宋体" w:hAnsi="宋体" w:eastAsia="宋体" w:cs="宋体"/>
                <w:color w:val="000000"/>
                <w:sz w:val="21"/>
                <w:szCs w:val="21"/>
                <w:lang w:val="en-US" w:eastAsia="zh-CN"/>
              </w:rPr>
              <w:t>/</w:t>
            </w:r>
          </w:p>
        </w:tc>
      </w:tr>
      <w:tr w14:paraId="21708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94" w:type="pct"/>
            <w:vMerge w:val="continue"/>
            <w:tcBorders>
              <w:tl2br w:val="nil"/>
              <w:tr2bl w:val="nil"/>
            </w:tcBorders>
            <w:noWrap w:val="0"/>
            <w:vAlign w:val="center"/>
          </w:tcPr>
          <w:p w14:paraId="70BF552C">
            <w:pPr>
              <w:adjustRightInd/>
              <w:snapToGrid/>
              <w:spacing w:line="240" w:lineRule="auto"/>
              <w:ind w:firstLine="0" w:firstLineChars="0"/>
              <w:jc w:val="center"/>
              <w:rPr>
                <w:rFonts w:hint="default" w:ascii="Times New Roman" w:hAnsi="Times New Roman" w:eastAsia="宋体" w:cs="Times New Roman"/>
                <w:sz w:val="21"/>
                <w:szCs w:val="21"/>
                <w:lang w:val="en-US" w:eastAsia="zh-CN"/>
              </w:rPr>
            </w:pPr>
          </w:p>
        </w:tc>
        <w:tc>
          <w:tcPr>
            <w:tcW w:w="527" w:type="pct"/>
            <w:tcBorders>
              <w:tl2br w:val="nil"/>
              <w:tr2bl w:val="nil"/>
            </w:tcBorders>
            <w:noWrap w:val="0"/>
            <w:vAlign w:val="center"/>
          </w:tcPr>
          <w:p w14:paraId="0FBE78EA">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eastAsia" w:ascii="Times New Roman" w:hAnsi="Times New Roman" w:eastAsia="宋体" w:cs="Times New Roman"/>
                <w:kern w:val="0"/>
                <w:sz w:val="21"/>
                <w:szCs w:val="21"/>
                <w:lang w:val="en-US" w:eastAsia="zh-CN" w:bidi="ar-SA"/>
              </w:rPr>
            </w:pPr>
            <w:r>
              <w:rPr>
                <w:rFonts w:hint="default" w:ascii="Times New Roman" w:hAnsi="Times New Roman" w:eastAsia="宋体" w:cs="Times New Roman"/>
                <w:color w:val="auto"/>
                <w:sz w:val="21"/>
                <w:szCs w:val="21"/>
                <w:lang w:eastAsia="zh-CN"/>
              </w:rPr>
              <w:t>氨</w:t>
            </w:r>
          </w:p>
        </w:tc>
        <w:tc>
          <w:tcPr>
            <w:tcW w:w="1625" w:type="pct"/>
            <w:tcBorders>
              <w:tl2br w:val="nil"/>
              <w:tr2bl w:val="nil"/>
            </w:tcBorders>
            <w:noWrap w:val="0"/>
            <w:vAlign w:val="center"/>
          </w:tcPr>
          <w:p w14:paraId="63CDBAF0">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sz w:val="21"/>
                <w:szCs w:val="21"/>
                <w:lang w:val="en-US" w:eastAsia="zh-CN" w:bidi="ar"/>
              </w:rPr>
              <w:t>《环境空气和废气 氨的测定 纳氏试剂分光光度法》HJ 533-2009</w:t>
            </w:r>
          </w:p>
        </w:tc>
        <w:tc>
          <w:tcPr>
            <w:tcW w:w="1250" w:type="pct"/>
            <w:tcBorders>
              <w:tl2br w:val="nil"/>
              <w:tr2bl w:val="nil"/>
            </w:tcBorders>
            <w:noWrap w:val="0"/>
            <w:vAlign w:val="center"/>
          </w:tcPr>
          <w:p w14:paraId="090516B2">
            <w:pPr>
              <w:adjustRightInd/>
              <w:snapToGrid w:val="0"/>
              <w:spacing w:line="240" w:lineRule="auto"/>
              <w:ind w:firstLine="0" w:firstLineChars="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可见分光光度计</w:t>
            </w:r>
          </w:p>
          <w:p w14:paraId="4595C3AD">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721</w:t>
            </w:r>
          </w:p>
          <w:p w14:paraId="6A0963D7">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sz w:val="21"/>
                <w:szCs w:val="21"/>
              </w:rPr>
              <w:t>JYYQ-1-08-1</w:t>
            </w:r>
          </w:p>
        </w:tc>
        <w:tc>
          <w:tcPr>
            <w:tcW w:w="545" w:type="pct"/>
            <w:tcBorders>
              <w:tl2br w:val="nil"/>
              <w:tr2bl w:val="nil"/>
            </w:tcBorders>
            <w:noWrap w:val="0"/>
            <w:vAlign w:val="center"/>
          </w:tcPr>
          <w:p w14:paraId="07192121">
            <w:pPr>
              <w:keepNext w:val="0"/>
              <w:keepLines w:val="0"/>
              <w:pageBreakBefore w:val="0"/>
              <w:widowControl/>
              <w:tabs>
                <w:tab w:val="left" w:pos="517"/>
              </w:tabs>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 xml:space="preserve">0.01 </w:t>
            </w:r>
          </w:p>
          <w:p w14:paraId="2DD73C8A">
            <w:pPr>
              <w:keepNext w:val="0"/>
              <w:keepLines w:val="0"/>
              <w:pageBreakBefore w:val="0"/>
              <w:widowControl/>
              <w:tabs>
                <w:tab w:val="left" w:pos="517"/>
              </w:tabs>
              <w:kinsoku/>
              <w:wordWrap/>
              <w:overflowPunct/>
              <w:topLinePunct w:val="0"/>
              <w:autoSpaceDE/>
              <w:autoSpaceDN/>
              <w:bidi w:val="0"/>
              <w:adjustRightInd/>
              <w:snapToGrid w:val="0"/>
              <w:spacing w:line="240" w:lineRule="auto"/>
              <w:ind w:firstLine="0" w:firstLineChars="0"/>
              <w:jc w:val="center"/>
              <w:rPr>
                <w:rFonts w:hint="eastAsia" w:ascii="Times New Roman" w:hAnsi="Times New Roman" w:eastAsia="宋体" w:cs="Times New Roman"/>
                <w:b w:val="0"/>
                <w:bCs w:val="0"/>
                <w:color w:val="auto"/>
                <w:sz w:val="21"/>
                <w:szCs w:val="21"/>
                <w:vertAlign w:val="baseline"/>
                <w:lang w:val="en-US" w:eastAsia="zh-CN" w:bidi="ar-SA"/>
              </w:rPr>
            </w:pPr>
            <w:r>
              <w:rPr>
                <w:rFonts w:hint="default" w:ascii="Times New Roman" w:hAnsi="Times New Roman" w:eastAsia="宋体" w:cs="Times New Roman"/>
                <w:color w:val="auto"/>
                <w:sz w:val="21"/>
                <w:szCs w:val="21"/>
                <w:lang w:val="en-US" w:eastAsia="zh-CN"/>
              </w:rPr>
              <w:t>mg/m</w:t>
            </w:r>
            <w:r>
              <w:rPr>
                <w:rFonts w:hint="default" w:ascii="Times New Roman" w:hAnsi="Times New Roman" w:eastAsia="宋体" w:cs="Times New Roman"/>
                <w:color w:val="auto"/>
                <w:sz w:val="21"/>
                <w:szCs w:val="21"/>
                <w:vertAlign w:val="superscript"/>
                <w:lang w:val="en-US" w:eastAsia="zh-CN"/>
              </w:rPr>
              <w:t>3</w:t>
            </w:r>
          </w:p>
        </w:tc>
        <w:tc>
          <w:tcPr>
            <w:tcW w:w="456" w:type="pct"/>
            <w:tcBorders>
              <w:tl2br w:val="nil"/>
              <w:tr2bl w:val="nil"/>
            </w:tcBorders>
            <w:noWrap w:val="0"/>
            <w:vAlign w:val="center"/>
          </w:tcPr>
          <w:p w14:paraId="18EB0E4C">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b w:val="0"/>
                <w:bCs w:val="0"/>
                <w:color w:val="auto"/>
                <w:sz w:val="21"/>
                <w:szCs w:val="21"/>
                <w:vertAlign w:val="baseline"/>
                <w:lang w:val="en-US" w:eastAsia="zh-CN"/>
              </w:rPr>
              <w:t>/</w:t>
            </w:r>
          </w:p>
        </w:tc>
      </w:tr>
      <w:tr w14:paraId="46358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94" w:type="pct"/>
            <w:vMerge w:val="continue"/>
            <w:tcBorders>
              <w:tl2br w:val="nil"/>
              <w:tr2bl w:val="nil"/>
            </w:tcBorders>
            <w:noWrap w:val="0"/>
            <w:vAlign w:val="center"/>
          </w:tcPr>
          <w:p w14:paraId="163BBB8F">
            <w:pPr>
              <w:adjustRightInd/>
              <w:snapToGrid/>
              <w:spacing w:line="240" w:lineRule="auto"/>
              <w:ind w:firstLine="0" w:firstLineChars="0"/>
              <w:jc w:val="center"/>
              <w:rPr>
                <w:rFonts w:hint="default" w:ascii="Times New Roman" w:hAnsi="Times New Roman" w:eastAsia="宋体" w:cs="Times New Roman"/>
                <w:sz w:val="21"/>
                <w:szCs w:val="21"/>
                <w:lang w:val="en-US" w:eastAsia="zh-CN"/>
              </w:rPr>
            </w:pPr>
          </w:p>
        </w:tc>
        <w:tc>
          <w:tcPr>
            <w:tcW w:w="527" w:type="pct"/>
            <w:tcBorders>
              <w:tl2br w:val="nil"/>
              <w:tr2bl w:val="nil"/>
            </w:tcBorders>
            <w:noWrap w:val="0"/>
            <w:vAlign w:val="center"/>
          </w:tcPr>
          <w:p w14:paraId="4364F16B">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eastAsia" w:ascii="Times New Roman" w:hAnsi="Times New Roman" w:eastAsia="宋体" w:cs="Times New Roman"/>
                <w:kern w:val="0"/>
                <w:sz w:val="21"/>
                <w:szCs w:val="21"/>
                <w:lang w:val="en-US" w:eastAsia="zh-CN" w:bidi="ar-SA"/>
              </w:rPr>
            </w:pPr>
            <w:r>
              <w:rPr>
                <w:rFonts w:hint="default" w:ascii="Times New Roman" w:hAnsi="Times New Roman" w:eastAsia="宋体" w:cs="Times New Roman"/>
                <w:color w:val="auto"/>
                <w:sz w:val="21"/>
                <w:szCs w:val="21"/>
                <w:lang w:val="en-US" w:eastAsia="zh-CN"/>
              </w:rPr>
              <w:t>硫化氢</w:t>
            </w:r>
          </w:p>
        </w:tc>
        <w:tc>
          <w:tcPr>
            <w:tcW w:w="1625" w:type="pct"/>
            <w:tcBorders>
              <w:tl2br w:val="nil"/>
              <w:tr2bl w:val="nil"/>
            </w:tcBorders>
            <w:noWrap w:val="0"/>
            <w:vAlign w:val="center"/>
          </w:tcPr>
          <w:p w14:paraId="6893B358">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rPr>
                <w:rFonts w:hint="default" w:ascii="Times New Roman" w:hAnsi="Times New Roman" w:eastAsia="宋体" w:cs="Times New Roman"/>
                <w:kern w:val="0"/>
                <w:sz w:val="21"/>
                <w:szCs w:val="21"/>
                <w:lang w:val="en-US" w:eastAsia="zh-CN" w:bidi="ar-SA"/>
              </w:rPr>
            </w:pPr>
            <w:r>
              <w:rPr>
                <w:rFonts w:hint="eastAsia" w:ascii="Times New Roman" w:hAnsi="Times New Roman" w:eastAsia="宋体" w:cs="Times New Roman"/>
                <w:sz w:val="21"/>
                <w:szCs w:val="21"/>
                <w:lang w:val="en-US" w:eastAsia="zh-CN" w:bidi="ar"/>
              </w:rPr>
              <w:t>环境空气 硫化氢 亚甲基蓝分光光度法《空气和废气监测分析方法》（第四版）国家环境保护总局（2003年）</w:t>
            </w:r>
          </w:p>
        </w:tc>
        <w:tc>
          <w:tcPr>
            <w:tcW w:w="1250" w:type="pct"/>
            <w:tcBorders>
              <w:tl2br w:val="nil"/>
              <w:tr2bl w:val="nil"/>
            </w:tcBorders>
            <w:noWrap w:val="0"/>
            <w:vAlign w:val="center"/>
          </w:tcPr>
          <w:p w14:paraId="09EEF160">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紫外可见分光光度计</w:t>
            </w:r>
          </w:p>
          <w:p w14:paraId="5D689721">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T6新世纪</w:t>
            </w:r>
          </w:p>
          <w:p w14:paraId="243BCF96">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sz w:val="21"/>
                <w:szCs w:val="21"/>
                <w:lang w:val="en-US" w:eastAsia="zh-CN" w:bidi="ar"/>
              </w:rPr>
              <w:t>JYYQ-1-07-1</w:t>
            </w:r>
          </w:p>
        </w:tc>
        <w:tc>
          <w:tcPr>
            <w:tcW w:w="545" w:type="pct"/>
            <w:tcBorders>
              <w:tl2br w:val="nil"/>
              <w:tr2bl w:val="nil"/>
            </w:tcBorders>
            <w:noWrap w:val="0"/>
            <w:vAlign w:val="center"/>
          </w:tcPr>
          <w:p w14:paraId="5199C1A5">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eastAsia" w:ascii="Times New Roman" w:hAnsi="Times New Roman" w:eastAsia="宋体" w:cs="Times New Roman"/>
                <w:b w:val="0"/>
                <w:bCs w:val="0"/>
                <w:color w:val="auto"/>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w:t>
            </w:r>
          </w:p>
        </w:tc>
        <w:tc>
          <w:tcPr>
            <w:tcW w:w="456" w:type="pct"/>
            <w:tcBorders>
              <w:tl2br w:val="nil"/>
              <w:tr2bl w:val="nil"/>
            </w:tcBorders>
            <w:noWrap w:val="0"/>
            <w:vAlign w:val="center"/>
          </w:tcPr>
          <w:p w14:paraId="0A89D32F">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0.001</w:t>
            </w:r>
          </w:p>
          <w:p w14:paraId="1A64515E">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eastAsia" w:ascii="Times New Roman" w:hAnsi="Times New Roman" w:eastAsia="宋体" w:cs="Times New Roman"/>
                <w:b w:val="0"/>
                <w:bCs w:val="0"/>
                <w:color w:val="auto"/>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mg/m</w:t>
            </w:r>
            <w:r>
              <w:rPr>
                <w:rFonts w:hint="default" w:ascii="Times New Roman" w:hAnsi="Times New Roman" w:eastAsia="宋体" w:cs="Times New Roman"/>
                <w:b w:val="0"/>
                <w:bCs w:val="0"/>
                <w:color w:val="auto"/>
                <w:sz w:val="21"/>
                <w:szCs w:val="21"/>
                <w:vertAlign w:val="superscript"/>
                <w:lang w:val="en-US" w:eastAsia="zh-CN"/>
              </w:rPr>
              <w:t>3</w:t>
            </w:r>
          </w:p>
        </w:tc>
      </w:tr>
      <w:tr w14:paraId="451BB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94" w:type="pct"/>
            <w:vMerge w:val="restart"/>
            <w:tcBorders>
              <w:tl2br w:val="nil"/>
              <w:tr2bl w:val="nil"/>
            </w:tcBorders>
            <w:noWrap w:val="0"/>
            <w:vAlign w:val="center"/>
          </w:tcPr>
          <w:p w14:paraId="08A575AE">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废水</w:t>
            </w:r>
          </w:p>
        </w:tc>
        <w:tc>
          <w:tcPr>
            <w:tcW w:w="527" w:type="pct"/>
            <w:tcBorders>
              <w:tl2br w:val="nil"/>
              <w:tr2bl w:val="nil"/>
            </w:tcBorders>
            <w:noWrap w:val="0"/>
            <w:vAlign w:val="center"/>
          </w:tcPr>
          <w:p w14:paraId="6621596C">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化学</w:t>
            </w:r>
          </w:p>
          <w:p w14:paraId="76E1856D">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lang w:val="en-US" w:eastAsia="zh-CN"/>
              </w:rPr>
              <w:t>需氧量</w:t>
            </w:r>
          </w:p>
        </w:tc>
        <w:tc>
          <w:tcPr>
            <w:tcW w:w="1625" w:type="pct"/>
            <w:tcBorders>
              <w:tl2br w:val="nil"/>
              <w:tr2bl w:val="nil"/>
            </w:tcBorders>
            <w:noWrap w:val="0"/>
            <w:vAlign w:val="center"/>
          </w:tcPr>
          <w:p w14:paraId="5230840A">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lang w:val="en-US" w:eastAsia="zh-CN"/>
              </w:rPr>
              <w:t>《水质 化学需氧量的测定 重铬酸盐法》HJ 828-2017</w:t>
            </w:r>
          </w:p>
        </w:tc>
        <w:tc>
          <w:tcPr>
            <w:tcW w:w="1250" w:type="pct"/>
            <w:tcBorders>
              <w:tl2br w:val="nil"/>
              <w:tr2bl w:val="nil"/>
            </w:tcBorders>
            <w:noWrap w:val="0"/>
            <w:vAlign w:val="center"/>
          </w:tcPr>
          <w:p w14:paraId="1E3AF4E4">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lang w:val="en-US" w:eastAsia="zh-CN" w:bidi="ar-SA"/>
              </w:rPr>
              <w:t>酸式滴定管</w:t>
            </w:r>
          </w:p>
        </w:tc>
        <w:tc>
          <w:tcPr>
            <w:tcW w:w="545" w:type="pct"/>
            <w:tcBorders>
              <w:tl2br w:val="nil"/>
              <w:tr2bl w:val="nil"/>
            </w:tcBorders>
            <w:noWrap w:val="0"/>
            <w:vAlign w:val="center"/>
          </w:tcPr>
          <w:p w14:paraId="6CA1C83E">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w:t>
            </w:r>
          </w:p>
          <w:p w14:paraId="4799CE5C">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lang w:val="en-US" w:eastAsia="zh-CN"/>
              </w:rPr>
              <w:t>mg/L</w:t>
            </w:r>
          </w:p>
        </w:tc>
        <w:tc>
          <w:tcPr>
            <w:tcW w:w="456" w:type="pct"/>
            <w:tcBorders>
              <w:tl2br w:val="nil"/>
              <w:tr2bl w:val="nil"/>
            </w:tcBorders>
            <w:noWrap w:val="0"/>
            <w:vAlign w:val="center"/>
          </w:tcPr>
          <w:p w14:paraId="55917075">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eastAsia" w:ascii="Times New Roman" w:hAnsi="Times New Roman" w:eastAsia="宋体" w:cs="Times New Roman"/>
                <w:color w:val="000000"/>
                <w:sz w:val="21"/>
                <w:szCs w:val="21"/>
                <w:lang w:val="en-US" w:eastAsia="zh-CN" w:bidi="ar-SA"/>
              </w:rPr>
            </w:pPr>
            <w:r>
              <w:rPr>
                <w:rFonts w:hint="default" w:ascii="Times New Roman" w:hAnsi="Times New Roman" w:eastAsia="宋体" w:cs="Times New Roman"/>
                <w:b w:val="0"/>
                <w:bCs w:val="0"/>
                <w:color w:val="auto"/>
                <w:sz w:val="21"/>
                <w:szCs w:val="21"/>
                <w:vertAlign w:val="baseline"/>
                <w:lang w:val="en-US" w:eastAsia="zh-CN"/>
              </w:rPr>
              <w:t>/</w:t>
            </w:r>
          </w:p>
        </w:tc>
      </w:tr>
      <w:tr w14:paraId="11BC0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94" w:type="pct"/>
            <w:vMerge w:val="continue"/>
            <w:tcBorders>
              <w:tl2br w:val="nil"/>
              <w:tr2bl w:val="nil"/>
            </w:tcBorders>
            <w:noWrap w:val="0"/>
            <w:vAlign w:val="center"/>
          </w:tcPr>
          <w:p w14:paraId="47817FCC">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eastAsia" w:ascii="Times New Roman" w:hAnsi="Times New Roman" w:eastAsia="宋体" w:cs="Times New Roman"/>
                <w:color w:val="000000"/>
                <w:sz w:val="21"/>
                <w:szCs w:val="21"/>
                <w:lang w:val="en-US" w:eastAsia="zh-CN"/>
              </w:rPr>
            </w:pPr>
          </w:p>
        </w:tc>
        <w:tc>
          <w:tcPr>
            <w:tcW w:w="527" w:type="pct"/>
            <w:tcBorders>
              <w:tl2br w:val="nil"/>
              <w:tr2bl w:val="nil"/>
            </w:tcBorders>
            <w:noWrap w:val="0"/>
            <w:vAlign w:val="center"/>
          </w:tcPr>
          <w:p w14:paraId="6DDD73C3">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lang w:val="en-US" w:eastAsia="zh-CN"/>
              </w:rPr>
              <w:t>悬浮物</w:t>
            </w:r>
          </w:p>
        </w:tc>
        <w:tc>
          <w:tcPr>
            <w:tcW w:w="1625" w:type="pct"/>
            <w:tcBorders>
              <w:tl2br w:val="nil"/>
              <w:tr2bl w:val="nil"/>
            </w:tcBorders>
            <w:noWrap w:val="0"/>
            <w:vAlign w:val="center"/>
          </w:tcPr>
          <w:p w14:paraId="248D1E44">
            <w:pPr>
              <w:adjustRightInd/>
              <w:snapToGrid w:val="0"/>
              <w:spacing w:line="240" w:lineRule="auto"/>
              <w:ind w:firstLine="0" w:firstLineChars="0"/>
              <w:jc w:val="center"/>
              <w:rPr>
                <w:rFonts w:hint="eastAsia"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bidi="ar"/>
              </w:rPr>
              <w:t>《水质 悬浮物的测定 重量法》GB/T 11901-1989</w:t>
            </w:r>
          </w:p>
        </w:tc>
        <w:tc>
          <w:tcPr>
            <w:tcW w:w="1250" w:type="pct"/>
            <w:tcBorders>
              <w:tl2br w:val="nil"/>
              <w:tr2bl w:val="nil"/>
            </w:tcBorders>
            <w:noWrap w:val="0"/>
            <w:vAlign w:val="center"/>
          </w:tcPr>
          <w:p w14:paraId="047AABB7">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电子分析天平</w:t>
            </w:r>
          </w:p>
          <w:p w14:paraId="1DF7E384">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FA224（万分之一）</w:t>
            </w:r>
          </w:p>
          <w:p w14:paraId="75D9CF2E">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JYYQ-1-01-2</w:t>
            </w:r>
          </w:p>
        </w:tc>
        <w:tc>
          <w:tcPr>
            <w:tcW w:w="545" w:type="pct"/>
            <w:tcBorders>
              <w:tl2br w:val="nil"/>
              <w:tr2bl w:val="nil"/>
            </w:tcBorders>
            <w:noWrap w:val="0"/>
            <w:vAlign w:val="center"/>
          </w:tcPr>
          <w:p w14:paraId="15469CB0">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eastAsia"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w:t>
            </w:r>
          </w:p>
        </w:tc>
        <w:tc>
          <w:tcPr>
            <w:tcW w:w="456" w:type="pct"/>
            <w:tcBorders>
              <w:tl2br w:val="nil"/>
              <w:tr2bl w:val="nil"/>
            </w:tcBorders>
            <w:noWrap w:val="0"/>
            <w:vAlign w:val="center"/>
          </w:tcPr>
          <w:p w14:paraId="5DA146B6">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b w:val="0"/>
                <w:bCs w:val="0"/>
                <w:color w:val="auto"/>
                <w:sz w:val="21"/>
                <w:szCs w:val="21"/>
                <w:vertAlign w:val="baseline"/>
                <w:lang w:val="en-US" w:eastAsia="zh-CN"/>
              </w:rPr>
              <w:t>/</w:t>
            </w:r>
          </w:p>
        </w:tc>
      </w:tr>
      <w:tr w14:paraId="1BD60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94" w:type="pct"/>
            <w:vMerge w:val="continue"/>
            <w:tcBorders>
              <w:tl2br w:val="nil"/>
              <w:tr2bl w:val="nil"/>
            </w:tcBorders>
            <w:noWrap w:val="0"/>
            <w:vAlign w:val="center"/>
          </w:tcPr>
          <w:p w14:paraId="4C99F1C9">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527" w:type="pct"/>
            <w:tcBorders>
              <w:tl2br w:val="nil"/>
              <w:tr2bl w:val="nil"/>
            </w:tcBorders>
            <w:noWrap w:val="0"/>
            <w:vAlign w:val="center"/>
          </w:tcPr>
          <w:p w14:paraId="30E7A081">
            <w:pPr>
              <w:adjustRightInd/>
              <w:snapToGrid w:val="0"/>
              <w:spacing w:line="240" w:lineRule="auto"/>
              <w:ind w:firstLine="0" w:firstLineChars="0"/>
              <w:jc w:val="center"/>
              <w:rPr>
                <w:rFonts w:hint="eastAsia"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lang w:val="en-US" w:eastAsia="zh-CN"/>
              </w:rPr>
              <w:t>氨氮</w:t>
            </w:r>
          </w:p>
        </w:tc>
        <w:tc>
          <w:tcPr>
            <w:tcW w:w="1625" w:type="pct"/>
            <w:tcBorders>
              <w:tl2br w:val="nil"/>
              <w:tr2bl w:val="nil"/>
            </w:tcBorders>
            <w:noWrap w:val="0"/>
            <w:vAlign w:val="center"/>
          </w:tcPr>
          <w:p w14:paraId="121616A2">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《水质 氨氮的测定 纳氏试剂分光光度法》</w:t>
            </w:r>
          </w:p>
          <w:p w14:paraId="16FCD5A2">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HJ 535-2009</w:t>
            </w:r>
          </w:p>
        </w:tc>
        <w:tc>
          <w:tcPr>
            <w:tcW w:w="1250" w:type="pct"/>
            <w:tcBorders>
              <w:tl2br w:val="nil"/>
              <w:tr2bl w:val="nil"/>
            </w:tcBorders>
            <w:noWrap w:val="0"/>
            <w:vAlign w:val="center"/>
          </w:tcPr>
          <w:p w14:paraId="59244FD7">
            <w:pPr>
              <w:adjustRightInd/>
              <w:snapToGrid w:val="0"/>
              <w:spacing w:line="240" w:lineRule="auto"/>
              <w:ind w:firstLine="0" w:firstLineChars="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可见分光光度计</w:t>
            </w:r>
          </w:p>
          <w:p w14:paraId="618DE872">
            <w:pPr>
              <w:adjustRightInd/>
              <w:snapToGrid w:val="0"/>
              <w:spacing w:line="240" w:lineRule="auto"/>
              <w:ind w:firstLine="0" w:firstLineChars="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721</w:t>
            </w:r>
          </w:p>
          <w:p w14:paraId="7E4826A9">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sz w:val="21"/>
                <w:szCs w:val="21"/>
              </w:rPr>
              <w:t>JYYQ-1-08-1</w:t>
            </w:r>
          </w:p>
        </w:tc>
        <w:tc>
          <w:tcPr>
            <w:tcW w:w="545" w:type="pct"/>
            <w:tcBorders>
              <w:tl2br w:val="nil"/>
              <w:tr2bl w:val="nil"/>
            </w:tcBorders>
            <w:noWrap w:val="0"/>
            <w:vAlign w:val="center"/>
          </w:tcPr>
          <w:p w14:paraId="45B2235A">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0.025</w:t>
            </w:r>
          </w:p>
          <w:p w14:paraId="05FB7A00">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eastAsia"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mg/L</w:t>
            </w:r>
          </w:p>
        </w:tc>
        <w:tc>
          <w:tcPr>
            <w:tcW w:w="456" w:type="pct"/>
            <w:tcBorders>
              <w:tl2br w:val="nil"/>
              <w:tr2bl w:val="nil"/>
            </w:tcBorders>
            <w:noWrap w:val="0"/>
            <w:vAlign w:val="center"/>
          </w:tcPr>
          <w:p w14:paraId="7B8CC781">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b w:val="0"/>
                <w:bCs w:val="0"/>
                <w:color w:val="auto"/>
                <w:sz w:val="21"/>
                <w:szCs w:val="21"/>
                <w:vertAlign w:val="baseline"/>
                <w:lang w:val="en-US" w:eastAsia="zh-CN"/>
              </w:rPr>
              <w:t>/</w:t>
            </w:r>
          </w:p>
        </w:tc>
      </w:tr>
      <w:tr w14:paraId="68A68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94" w:type="pct"/>
            <w:vMerge w:val="restart"/>
            <w:tcBorders>
              <w:tl2br w:val="nil"/>
              <w:tr2bl w:val="nil"/>
            </w:tcBorders>
            <w:noWrap w:val="0"/>
            <w:vAlign w:val="center"/>
          </w:tcPr>
          <w:p w14:paraId="04FBB9BF">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废水</w:t>
            </w:r>
          </w:p>
        </w:tc>
        <w:tc>
          <w:tcPr>
            <w:tcW w:w="527" w:type="pct"/>
            <w:tcBorders>
              <w:tl2br w:val="nil"/>
              <w:tr2bl w:val="nil"/>
            </w:tcBorders>
            <w:noWrap w:val="0"/>
            <w:vAlign w:val="center"/>
          </w:tcPr>
          <w:p w14:paraId="23E55681">
            <w:pPr>
              <w:adjustRightInd/>
              <w:snapToGrid w:val="0"/>
              <w:spacing w:line="240" w:lineRule="auto"/>
              <w:ind w:firstLine="0" w:firstLineChars="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lang w:val="en-US" w:eastAsia="zh-CN"/>
              </w:rPr>
              <w:t>总磷</w:t>
            </w:r>
          </w:p>
        </w:tc>
        <w:tc>
          <w:tcPr>
            <w:tcW w:w="1625" w:type="pct"/>
            <w:tcBorders>
              <w:tl2br w:val="nil"/>
              <w:tr2bl w:val="nil"/>
            </w:tcBorders>
            <w:noWrap w:val="0"/>
            <w:vAlign w:val="center"/>
          </w:tcPr>
          <w:p w14:paraId="2E8D9E47">
            <w:pPr>
              <w:adjustRightInd/>
              <w:snapToGrid w:val="0"/>
              <w:spacing w:line="240" w:lineRule="auto"/>
              <w:ind w:firstLine="0" w:firstLineChars="0"/>
              <w:jc w:val="center"/>
              <w:rPr>
                <w:rFonts w:hint="default" w:ascii="Times New Roman" w:hAnsi="Times New Roman" w:eastAsia="宋体" w:cs="Times New Roman"/>
                <w:color w:val="auto"/>
                <w:sz w:val="21"/>
                <w:szCs w:val="21"/>
                <w:lang w:val="en-US" w:eastAsia="zh-CN" w:bidi="ar"/>
              </w:rPr>
            </w:pPr>
            <w:r>
              <w:rPr>
                <w:rFonts w:hint="default" w:ascii="Times New Roman" w:hAnsi="Times New Roman" w:eastAsia="宋体" w:cs="Times New Roman"/>
                <w:color w:val="auto"/>
                <w:sz w:val="21"/>
                <w:szCs w:val="21"/>
                <w:lang w:val="en-US" w:eastAsia="zh-CN" w:bidi="ar"/>
              </w:rPr>
              <w:t>《水质 总磷的测定 钼酸铵分光光度法》</w:t>
            </w:r>
          </w:p>
          <w:p w14:paraId="287C5030">
            <w:pPr>
              <w:adjustRightInd/>
              <w:snapToGrid w:val="0"/>
              <w:spacing w:line="240" w:lineRule="auto"/>
              <w:ind w:firstLine="0" w:firstLineChars="0"/>
              <w:jc w:val="center"/>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bidi="ar"/>
              </w:rPr>
              <w:t>GB/T 11893-1989</w:t>
            </w:r>
          </w:p>
        </w:tc>
        <w:tc>
          <w:tcPr>
            <w:tcW w:w="1250" w:type="pct"/>
            <w:tcBorders>
              <w:tl2br w:val="nil"/>
              <w:tr2bl w:val="nil"/>
            </w:tcBorders>
            <w:noWrap w:val="0"/>
            <w:vAlign w:val="center"/>
          </w:tcPr>
          <w:p w14:paraId="00F03672">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default" w:ascii="Times New Roman" w:hAnsi="Times New Roman" w:eastAsia="宋体" w:cs="Times New Roman"/>
                <w:color w:val="auto"/>
                <w:sz w:val="21"/>
                <w:szCs w:val="21"/>
                <w:lang w:val="en-US" w:eastAsia="zh-CN" w:bidi="ar"/>
              </w:rPr>
            </w:pPr>
            <w:r>
              <w:rPr>
                <w:rFonts w:hint="default" w:ascii="Times New Roman" w:hAnsi="Times New Roman" w:eastAsia="宋体" w:cs="Times New Roman"/>
                <w:color w:val="auto"/>
                <w:sz w:val="21"/>
                <w:szCs w:val="21"/>
                <w:lang w:val="en-US" w:eastAsia="zh-CN" w:bidi="ar"/>
              </w:rPr>
              <w:t>可见分光光度计</w:t>
            </w:r>
          </w:p>
          <w:p w14:paraId="300B28D6">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default" w:ascii="Times New Roman" w:hAnsi="Times New Roman" w:eastAsia="宋体" w:cs="Times New Roman"/>
                <w:color w:val="auto"/>
                <w:sz w:val="21"/>
                <w:szCs w:val="21"/>
                <w:lang w:val="en-US" w:eastAsia="zh-CN" w:bidi="ar"/>
              </w:rPr>
            </w:pPr>
            <w:r>
              <w:rPr>
                <w:rFonts w:hint="default" w:ascii="Times New Roman" w:hAnsi="Times New Roman" w:eastAsia="宋体" w:cs="Times New Roman"/>
                <w:color w:val="auto"/>
                <w:sz w:val="21"/>
                <w:szCs w:val="21"/>
                <w:lang w:val="en-US" w:eastAsia="zh-CN" w:bidi="ar"/>
              </w:rPr>
              <w:t>721</w:t>
            </w:r>
          </w:p>
          <w:p w14:paraId="11FFCC1B">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bidi="ar"/>
              </w:rPr>
              <w:t>JYYQ-1-08-1</w:t>
            </w:r>
          </w:p>
        </w:tc>
        <w:tc>
          <w:tcPr>
            <w:tcW w:w="545" w:type="pct"/>
            <w:tcBorders>
              <w:tl2br w:val="nil"/>
              <w:tr2bl w:val="nil"/>
            </w:tcBorders>
            <w:noWrap w:val="0"/>
            <w:vAlign w:val="center"/>
          </w:tcPr>
          <w:p w14:paraId="735463CA">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bidi="ar-SA"/>
              </w:rPr>
              <w:t>/</w:t>
            </w:r>
          </w:p>
        </w:tc>
        <w:tc>
          <w:tcPr>
            <w:tcW w:w="456" w:type="pct"/>
            <w:tcBorders>
              <w:tl2br w:val="nil"/>
              <w:tr2bl w:val="nil"/>
            </w:tcBorders>
            <w:noWrap w:val="0"/>
            <w:vAlign w:val="center"/>
          </w:tcPr>
          <w:p w14:paraId="323FC674">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0.01</w:t>
            </w:r>
          </w:p>
          <w:p w14:paraId="1E7AB1EE">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mg/L</w:t>
            </w:r>
          </w:p>
        </w:tc>
      </w:tr>
      <w:tr w14:paraId="22DEE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94" w:type="pct"/>
            <w:vMerge w:val="continue"/>
            <w:tcBorders>
              <w:tl2br w:val="nil"/>
              <w:tr2bl w:val="nil"/>
            </w:tcBorders>
            <w:noWrap w:val="0"/>
            <w:vAlign w:val="center"/>
          </w:tcPr>
          <w:p w14:paraId="2FDE29EE">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527" w:type="pct"/>
            <w:tcBorders>
              <w:tl2br w:val="nil"/>
              <w:tr2bl w:val="nil"/>
            </w:tcBorders>
            <w:noWrap w:val="0"/>
            <w:vAlign w:val="center"/>
          </w:tcPr>
          <w:p w14:paraId="4312A6DC">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总氮</w:t>
            </w:r>
          </w:p>
        </w:tc>
        <w:tc>
          <w:tcPr>
            <w:tcW w:w="1625" w:type="pct"/>
            <w:tcBorders>
              <w:tl2br w:val="nil"/>
              <w:tr2bl w:val="nil"/>
            </w:tcBorders>
            <w:noWrap w:val="0"/>
            <w:vAlign w:val="center"/>
          </w:tcPr>
          <w:p w14:paraId="0B656251">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《水质 总氮的测定 碱性过硫酸钾消解紫外分光光度法》</w:t>
            </w:r>
          </w:p>
          <w:p w14:paraId="7D156CB2">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sz w:val="21"/>
                <w:szCs w:val="21"/>
                <w:lang w:val="en-US" w:eastAsia="zh-CN"/>
              </w:rPr>
              <w:t>HJ 636-2012</w:t>
            </w:r>
          </w:p>
        </w:tc>
        <w:tc>
          <w:tcPr>
            <w:tcW w:w="1250" w:type="pct"/>
            <w:tcBorders>
              <w:tl2br w:val="nil"/>
              <w:tr2bl w:val="nil"/>
            </w:tcBorders>
            <w:noWrap w:val="0"/>
            <w:vAlign w:val="center"/>
          </w:tcPr>
          <w:p w14:paraId="05AD651A">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default" w:ascii="Times New Roman" w:hAnsi="Times New Roman" w:eastAsia="宋体" w:cs="Times New Roman"/>
                <w:color w:val="auto"/>
                <w:sz w:val="21"/>
                <w:szCs w:val="21"/>
                <w:lang w:val="en-US" w:eastAsia="zh-CN" w:bidi="ar"/>
              </w:rPr>
            </w:pPr>
            <w:r>
              <w:rPr>
                <w:rFonts w:hint="default" w:ascii="Times New Roman" w:hAnsi="Times New Roman" w:eastAsia="宋体" w:cs="Times New Roman"/>
                <w:color w:val="auto"/>
                <w:sz w:val="21"/>
                <w:szCs w:val="21"/>
                <w:lang w:val="en-US" w:eastAsia="zh-CN" w:bidi="ar"/>
              </w:rPr>
              <w:t>紫外可见分光光度计</w:t>
            </w:r>
          </w:p>
          <w:p w14:paraId="269BCA83">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default" w:ascii="Times New Roman" w:hAnsi="Times New Roman" w:eastAsia="宋体" w:cs="Times New Roman"/>
                <w:color w:val="auto"/>
                <w:sz w:val="21"/>
                <w:szCs w:val="21"/>
                <w:lang w:val="en-US" w:eastAsia="zh-CN" w:bidi="ar"/>
              </w:rPr>
            </w:pPr>
            <w:r>
              <w:rPr>
                <w:rFonts w:hint="default" w:ascii="Times New Roman" w:hAnsi="Times New Roman" w:eastAsia="宋体" w:cs="Times New Roman"/>
                <w:color w:val="auto"/>
                <w:sz w:val="21"/>
                <w:szCs w:val="21"/>
                <w:lang w:val="en-US" w:eastAsia="zh-CN" w:bidi="ar"/>
              </w:rPr>
              <w:t>T6新世纪</w:t>
            </w:r>
          </w:p>
          <w:p w14:paraId="119BA6B5">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default" w:ascii="Times New Roman" w:hAnsi="Times New Roman" w:eastAsia="宋体" w:cs="Times New Roman"/>
                <w:sz w:val="21"/>
                <w:szCs w:val="21"/>
                <w:lang w:val="en-US" w:eastAsia="zh-CN" w:bidi="ar-SA"/>
              </w:rPr>
            </w:pPr>
            <w:r>
              <w:rPr>
                <w:rFonts w:hint="default" w:ascii="Times New Roman" w:hAnsi="Times New Roman" w:eastAsia="宋体" w:cs="Times New Roman"/>
                <w:color w:val="auto"/>
                <w:sz w:val="21"/>
                <w:szCs w:val="21"/>
                <w:lang w:val="en-US" w:eastAsia="zh-CN" w:bidi="ar"/>
              </w:rPr>
              <w:t>JYYQ-1-07-1</w:t>
            </w:r>
          </w:p>
        </w:tc>
        <w:tc>
          <w:tcPr>
            <w:tcW w:w="545" w:type="pct"/>
            <w:tcBorders>
              <w:tl2br w:val="nil"/>
              <w:tr2bl w:val="nil"/>
            </w:tcBorders>
            <w:noWrap w:val="0"/>
            <w:vAlign w:val="center"/>
          </w:tcPr>
          <w:p w14:paraId="69DBC9D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0.05</w:t>
            </w:r>
          </w:p>
          <w:p w14:paraId="0C7E4A2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rPr>
              <w:t>mg/L</w:t>
            </w:r>
          </w:p>
        </w:tc>
        <w:tc>
          <w:tcPr>
            <w:tcW w:w="456" w:type="pct"/>
            <w:tcBorders>
              <w:tl2br w:val="nil"/>
              <w:tr2bl w:val="nil"/>
            </w:tcBorders>
            <w:noWrap w:val="0"/>
            <w:vAlign w:val="center"/>
          </w:tcPr>
          <w:p w14:paraId="0E13780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Times New Roman" w:hAnsi="Times New Roman" w:eastAsia="宋体" w:cs="Times New Roman"/>
                <w:b w:val="0"/>
                <w:bCs w:val="0"/>
                <w:color w:val="auto"/>
                <w:sz w:val="21"/>
                <w:szCs w:val="21"/>
                <w:vertAlign w:val="baseline"/>
                <w:lang w:val="en-US" w:eastAsia="zh-CN" w:bidi="ar-SA"/>
              </w:rPr>
            </w:pPr>
            <w:r>
              <w:rPr>
                <w:rFonts w:hint="default" w:ascii="Times New Roman" w:hAnsi="Times New Roman" w:eastAsia="宋体" w:cs="Times New Roman"/>
                <w:color w:val="auto"/>
                <w:sz w:val="21"/>
                <w:szCs w:val="21"/>
              </w:rPr>
              <w:t>/</w:t>
            </w:r>
          </w:p>
        </w:tc>
      </w:tr>
      <w:tr w14:paraId="4BBFE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94" w:type="pct"/>
            <w:vMerge w:val="continue"/>
            <w:tcBorders>
              <w:tl2br w:val="nil"/>
              <w:tr2bl w:val="nil"/>
            </w:tcBorders>
            <w:noWrap w:val="0"/>
            <w:vAlign w:val="center"/>
          </w:tcPr>
          <w:p w14:paraId="4C3F2DFA">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eastAsia" w:ascii="Times New Roman" w:hAnsi="Times New Roman" w:eastAsia="宋体" w:cs="Times New Roman"/>
                <w:color w:val="000000"/>
                <w:sz w:val="21"/>
                <w:szCs w:val="21"/>
                <w:lang w:val="en-US" w:eastAsia="zh-CN"/>
              </w:rPr>
            </w:pPr>
          </w:p>
        </w:tc>
        <w:tc>
          <w:tcPr>
            <w:tcW w:w="527" w:type="pct"/>
            <w:tcBorders>
              <w:tl2br w:val="nil"/>
              <w:tr2bl w:val="nil"/>
            </w:tcBorders>
            <w:noWrap w:val="0"/>
            <w:vAlign w:val="center"/>
          </w:tcPr>
          <w:p w14:paraId="46812F63">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rPr>
                <w:rFonts w:hint="eastAsia"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bidi="ar-SA"/>
              </w:rPr>
              <w:t>石油类</w:t>
            </w:r>
          </w:p>
        </w:tc>
        <w:tc>
          <w:tcPr>
            <w:tcW w:w="1625" w:type="pct"/>
            <w:tcBorders>
              <w:tl2br w:val="nil"/>
              <w:tr2bl w:val="nil"/>
            </w:tcBorders>
            <w:noWrap w:val="0"/>
            <w:vAlign w:val="center"/>
          </w:tcPr>
          <w:p w14:paraId="1DCC3AC1">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r>
              <w:rPr>
                <w:rFonts w:hint="default" w:ascii="Times New Roman" w:hAnsi="Times New Roman" w:eastAsia="宋体" w:cs="Times New Roman"/>
                <w:color w:val="auto"/>
                <w:sz w:val="21"/>
                <w:szCs w:val="21"/>
                <w:lang w:val="en-US" w:eastAsia="zh-CN" w:bidi="ar-SA"/>
              </w:rPr>
              <w:t>水质 石油类和动植物油类的测定 红外分光光度</w:t>
            </w:r>
            <w:r>
              <w:rPr>
                <w:rFonts w:hint="eastAsia" w:ascii="Times New Roman" w:hAnsi="Times New Roman" w:eastAsia="宋体" w:cs="Times New Roman"/>
                <w:color w:val="auto"/>
                <w:sz w:val="21"/>
                <w:szCs w:val="21"/>
                <w:lang w:val="en-US" w:eastAsia="zh-CN" w:bidi="ar-SA"/>
              </w:rPr>
              <w:t>法</w:t>
            </w:r>
            <w:r>
              <w:rPr>
                <w:rFonts w:hint="default" w:ascii="Times New Roman" w:hAnsi="Times New Roman" w:eastAsia="宋体" w:cs="Times New Roman"/>
                <w:color w:val="auto"/>
                <w:sz w:val="21"/>
                <w:szCs w:val="21"/>
                <w:lang w:val="en-US" w:eastAsia="zh-CN"/>
              </w:rPr>
              <w:t>》</w:t>
            </w:r>
          </w:p>
          <w:p w14:paraId="55112BA3">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sz w:val="21"/>
                <w:szCs w:val="21"/>
                <w:lang w:val="en-US" w:eastAsia="zh-CN" w:bidi="ar-SA"/>
              </w:rPr>
            </w:pPr>
            <w:r>
              <w:rPr>
                <w:rFonts w:hint="default" w:ascii="Times New Roman" w:hAnsi="Times New Roman" w:eastAsia="宋体" w:cs="Times New Roman"/>
                <w:color w:val="auto"/>
                <w:sz w:val="21"/>
                <w:szCs w:val="21"/>
                <w:lang w:val="en-US" w:eastAsia="zh-CN" w:bidi="ar-SA"/>
              </w:rPr>
              <w:t>HJ 637-2018</w:t>
            </w:r>
          </w:p>
        </w:tc>
        <w:tc>
          <w:tcPr>
            <w:tcW w:w="1250" w:type="pct"/>
            <w:tcBorders>
              <w:tl2br w:val="nil"/>
              <w:tr2bl w:val="nil"/>
            </w:tcBorders>
            <w:noWrap w:val="0"/>
            <w:vAlign w:val="center"/>
          </w:tcPr>
          <w:p w14:paraId="51759D0D">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红外测油仪</w:t>
            </w:r>
          </w:p>
          <w:p w14:paraId="1C4726F9">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OL580</w:t>
            </w:r>
          </w:p>
          <w:p w14:paraId="27D91627">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color w:val="auto"/>
                <w:sz w:val="21"/>
                <w:szCs w:val="21"/>
                <w:lang w:val="en-US" w:eastAsia="zh-CN" w:bidi="ar"/>
              </w:rPr>
            </w:pPr>
            <w:r>
              <w:rPr>
                <w:rFonts w:hint="default" w:ascii="Times New Roman" w:hAnsi="Times New Roman" w:eastAsia="宋体" w:cs="Times New Roman"/>
                <w:color w:val="000000"/>
                <w:sz w:val="21"/>
                <w:szCs w:val="21"/>
                <w:highlight w:val="none"/>
                <w:lang w:val="en-US" w:eastAsia="zh-CN" w:bidi="ar-SA"/>
              </w:rPr>
              <w:t>JYYQ-1-06-1</w:t>
            </w:r>
          </w:p>
        </w:tc>
        <w:tc>
          <w:tcPr>
            <w:tcW w:w="545" w:type="pct"/>
            <w:tcBorders>
              <w:tl2br w:val="nil"/>
              <w:tr2bl w:val="nil"/>
            </w:tcBorders>
            <w:noWrap w:val="0"/>
            <w:vAlign w:val="center"/>
          </w:tcPr>
          <w:p w14:paraId="50F3A874">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0.06</w:t>
            </w:r>
          </w:p>
          <w:p w14:paraId="169588B9">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eastAsia"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mg/L</w:t>
            </w:r>
          </w:p>
        </w:tc>
        <w:tc>
          <w:tcPr>
            <w:tcW w:w="456" w:type="pct"/>
            <w:tcBorders>
              <w:tl2br w:val="nil"/>
              <w:tr2bl w:val="nil"/>
            </w:tcBorders>
            <w:noWrap w:val="0"/>
            <w:vAlign w:val="center"/>
          </w:tcPr>
          <w:p w14:paraId="3EB4CD2A">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rPr>
                <w:rFonts w:hint="default"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rPr>
              <w:t>/</w:t>
            </w:r>
          </w:p>
        </w:tc>
      </w:tr>
      <w:tr w14:paraId="0BAD0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94" w:type="pct"/>
            <w:vMerge w:val="continue"/>
            <w:tcBorders>
              <w:tl2br w:val="nil"/>
              <w:tr2bl w:val="nil"/>
            </w:tcBorders>
            <w:noWrap w:val="0"/>
            <w:vAlign w:val="center"/>
          </w:tcPr>
          <w:p w14:paraId="220263A2">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eastAsia" w:ascii="Times New Roman" w:hAnsi="Times New Roman" w:eastAsia="宋体" w:cs="Times New Roman"/>
                <w:color w:val="000000"/>
                <w:sz w:val="21"/>
                <w:szCs w:val="21"/>
                <w:lang w:val="en-US" w:eastAsia="zh-CN"/>
              </w:rPr>
            </w:pPr>
          </w:p>
        </w:tc>
        <w:tc>
          <w:tcPr>
            <w:tcW w:w="527" w:type="pct"/>
            <w:tcBorders>
              <w:tl2br w:val="nil"/>
              <w:tr2bl w:val="nil"/>
            </w:tcBorders>
            <w:noWrap w:val="0"/>
            <w:vAlign w:val="center"/>
          </w:tcPr>
          <w:p w14:paraId="02D21468">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锌</w:t>
            </w:r>
          </w:p>
        </w:tc>
        <w:tc>
          <w:tcPr>
            <w:tcW w:w="1625" w:type="pct"/>
            <w:tcBorders>
              <w:tl2br w:val="nil"/>
              <w:tr2bl w:val="nil"/>
            </w:tcBorders>
            <w:noWrap w:val="0"/>
            <w:vAlign w:val="center"/>
          </w:tcPr>
          <w:p w14:paraId="2CB1A20E">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eastAsia" w:ascii="Times New Roman" w:hAnsi="Times New Roman" w:eastAsia="宋体" w:cs="Times New Roman"/>
                <w:color w:val="auto"/>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bidi="ar-SA"/>
              </w:rPr>
              <w:t>《水质 铜、锌、铅、镉的测定 原子吸收分光光度法》</w:t>
            </w:r>
          </w:p>
          <w:p w14:paraId="4FDF04B5">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color w:val="auto"/>
                <w:sz w:val="21"/>
                <w:szCs w:val="21"/>
                <w:highlight w:val="none"/>
                <w:lang w:val="en-US" w:eastAsia="zh-CN" w:bidi="ar-SA"/>
              </w:rPr>
              <w:t>GB/T 7475-1987</w:t>
            </w:r>
          </w:p>
        </w:tc>
        <w:tc>
          <w:tcPr>
            <w:tcW w:w="1250" w:type="pct"/>
            <w:tcBorders>
              <w:tl2br w:val="nil"/>
              <w:tr2bl w:val="nil"/>
            </w:tcBorders>
            <w:noWrap w:val="0"/>
            <w:vAlign w:val="center"/>
          </w:tcPr>
          <w:p w14:paraId="17AFA026">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center"/>
              <w:rPr>
                <w:rFonts w:hint="default" w:ascii="Times New Roman" w:hAnsi="Times New Roman" w:eastAsia="宋体" w:cs="Times New Roman"/>
                <w:color w:val="000000"/>
                <w:sz w:val="21"/>
                <w:szCs w:val="21"/>
                <w:lang w:bidi="ar"/>
              </w:rPr>
            </w:pPr>
            <w:r>
              <w:rPr>
                <w:rFonts w:hint="default" w:ascii="Times New Roman" w:hAnsi="Times New Roman" w:eastAsia="宋体" w:cs="Times New Roman"/>
                <w:color w:val="000000"/>
                <w:sz w:val="21"/>
                <w:szCs w:val="21"/>
                <w:lang w:bidi="ar"/>
              </w:rPr>
              <w:t>原子吸收分光光度计TAS-990AFG</w:t>
            </w:r>
          </w:p>
          <w:p w14:paraId="63C7C062">
            <w:pPr>
              <w:keepNext w:val="0"/>
              <w:keepLines w:val="0"/>
              <w:pageBreakBefore w:val="0"/>
              <w:widowControl/>
              <w:suppressLineNumbers w:val="0"/>
              <w:kinsoku/>
              <w:wordWrap/>
              <w:overflowPunct/>
              <w:topLinePunct w:val="0"/>
              <w:autoSpaceDE/>
              <w:autoSpaceDN/>
              <w:bidi w:val="0"/>
              <w:adjustRightInd/>
              <w:snapToGrid w:val="0"/>
              <w:spacing w:line="240" w:lineRule="auto"/>
              <w:ind w:left="-120" w:leftChars="-50" w:right="-120" w:rightChars="-50" w:firstLine="0" w:firstLineChars="0"/>
              <w:jc w:val="center"/>
              <w:textAlignment w:val="center"/>
              <w:rPr>
                <w:rFonts w:hint="default" w:ascii="Times New Roman" w:hAnsi="Times New Roman" w:eastAsia="宋体" w:cs="Times New Roman"/>
                <w:color w:val="auto"/>
                <w:sz w:val="21"/>
                <w:szCs w:val="21"/>
                <w:lang w:val="en-US" w:eastAsia="zh-CN" w:bidi="ar"/>
              </w:rPr>
            </w:pPr>
            <w:r>
              <w:rPr>
                <w:rFonts w:hint="default" w:ascii="Times New Roman" w:hAnsi="Times New Roman" w:eastAsia="宋体" w:cs="Times New Roman"/>
                <w:color w:val="000000"/>
                <w:sz w:val="21"/>
                <w:szCs w:val="21"/>
                <w:lang w:bidi="ar"/>
              </w:rPr>
              <w:t>JYYQ-1-02-1</w:t>
            </w:r>
          </w:p>
        </w:tc>
        <w:tc>
          <w:tcPr>
            <w:tcW w:w="545" w:type="pct"/>
            <w:tcBorders>
              <w:tl2br w:val="nil"/>
              <w:tr2bl w:val="nil"/>
            </w:tcBorders>
            <w:noWrap w:val="0"/>
            <w:vAlign w:val="center"/>
          </w:tcPr>
          <w:p w14:paraId="05D14F24">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w:t>
            </w:r>
          </w:p>
        </w:tc>
        <w:tc>
          <w:tcPr>
            <w:tcW w:w="456" w:type="pct"/>
            <w:tcBorders>
              <w:tl2br w:val="nil"/>
              <w:tr2bl w:val="nil"/>
            </w:tcBorders>
            <w:noWrap w:val="0"/>
            <w:vAlign w:val="center"/>
          </w:tcPr>
          <w:p w14:paraId="18391519">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0.05</w:t>
            </w:r>
          </w:p>
          <w:p w14:paraId="04DAEA8C">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val="0"/>
                <w:bCs w:val="0"/>
                <w:color w:val="auto"/>
                <w:sz w:val="21"/>
                <w:szCs w:val="21"/>
                <w:vertAlign w:val="baseline"/>
                <w:lang w:val="en-US" w:eastAsia="zh-CN"/>
              </w:rPr>
              <w:t>mg/</w:t>
            </w:r>
            <w:r>
              <w:rPr>
                <w:rFonts w:hint="eastAsia" w:ascii="Times New Roman" w:hAnsi="Times New Roman" w:eastAsia="宋体" w:cs="Times New Roman"/>
                <w:b w:val="0"/>
                <w:bCs w:val="0"/>
                <w:color w:val="auto"/>
                <w:sz w:val="21"/>
                <w:szCs w:val="21"/>
                <w:vertAlign w:val="baseline"/>
                <w:lang w:val="en-US" w:eastAsia="zh-CN"/>
              </w:rPr>
              <w:t>L</w:t>
            </w:r>
          </w:p>
        </w:tc>
      </w:tr>
      <w:tr w14:paraId="74204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94" w:type="pct"/>
            <w:vMerge w:val="continue"/>
            <w:tcBorders>
              <w:tl2br w:val="nil"/>
              <w:tr2bl w:val="nil"/>
            </w:tcBorders>
            <w:noWrap w:val="0"/>
            <w:vAlign w:val="center"/>
          </w:tcPr>
          <w:p w14:paraId="2C87135F">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527" w:type="pct"/>
            <w:tcBorders>
              <w:tl2br w:val="nil"/>
              <w:tr2bl w:val="nil"/>
            </w:tcBorders>
            <w:noWrap w:val="0"/>
            <w:vAlign w:val="center"/>
          </w:tcPr>
          <w:p w14:paraId="3BDD8EBC">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highlight w:val="none"/>
                <w:lang w:val="en-US" w:eastAsia="zh-CN" w:bidi="ar-SA"/>
              </w:rPr>
              <w:t>镍</w:t>
            </w:r>
          </w:p>
        </w:tc>
        <w:tc>
          <w:tcPr>
            <w:tcW w:w="1625" w:type="pct"/>
            <w:tcBorders>
              <w:tl2br w:val="nil"/>
              <w:tr2bl w:val="nil"/>
            </w:tcBorders>
            <w:noWrap w:val="0"/>
            <w:vAlign w:val="center"/>
          </w:tcPr>
          <w:p w14:paraId="7E11FC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20" w:leftChars="-50" w:right="-120" w:rightChars="-50" w:firstLine="0" w:firstLineChars="0"/>
              <w:jc w:val="center"/>
              <w:textAlignment w:val="center"/>
              <w:rPr>
                <w:rFonts w:hint="default" w:ascii="Times New Roman" w:hAnsi="Times New Roman" w:eastAsia="宋体" w:cs="Times New Roman"/>
                <w:sz w:val="21"/>
                <w:szCs w:val="21"/>
                <w:lang w:val="en-US" w:eastAsia="zh-CN" w:bidi="ar-SA"/>
              </w:rPr>
            </w:pPr>
            <w:r>
              <w:rPr>
                <w:rFonts w:hint="default" w:ascii="Times New Roman" w:hAnsi="Times New Roman" w:eastAsia="宋体" w:cs="Times New Roman"/>
                <w:sz w:val="21"/>
                <w:szCs w:val="21"/>
                <w:lang w:eastAsia="zh-CN" w:bidi="ar"/>
              </w:rPr>
              <w:t>《</w:t>
            </w:r>
            <w:r>
              <w:rPr>
                <w:rFonts w:hint="default" w:ascii="Times New Roman" w:hAnsi="Times New Roman" w:eastAsia="宋体" w:cs="Times New Roman"/>
                <w:sz w:val="21"/>
                <w:szCs w:val="21"/>
                <w:lang w:bidi="ar"/>
              </w:rPr>
              <w:t>水质 镍的测定 火焰原子吸收分光光度法》GB/T 11912-1989</w:t>
            </w:r>
          </w:p>
        </w:tc>
        <w:tc>
          <w:tcPr>
            <w:tcW w:w="1250" w:type="pct"/>
            <w:tcBorders>
              <w:tl2br w:val="nil"/>
              <w:tr2bl w:val="nil"/>
            </w:tcBorders>
            <w:noWrap w:val="0"/>
            <w:vAlign w:val="center"/>
          </w:tcPr>
          <w:p w14:paraId="709525D6">
            <w:pPr>
              <w:adjustRightInd/>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原子吸收分光光度计TAS-990AFG</w:t>
            </w:r>
          </w:p>
          <w:p w14:paraId="5533F440">
            <w:pPr>
              <w:adjustRightInd/>
              <w:snapToGrid w:val="0"/>
              <w:spacing w:line="240" w:lineRule="auto"/>
              <w:ind w:firstLine="0" w:firstLineChars="0"/>
              <w:jc w:val="center"/>
              <w:rPr>
                <w:rFonts w:hint="default" w:ascii="Times New Roman" w:hAnsi="Times New Roman" w:eastAsia="宋体" w:cs="Times New Roman"/>
                <w:color w:val="auto"/>
                <w:sz w:val="21"/>
                <w:szCs w:val="21"/>
                <w:lang w:val="en-US" w:eastAsia="zh-CN" w:bidi="ar"/>
              </w:rPr>
            </w:pPr>
            <w:r>
              <w:rPr>
                <w:rFonts w:hint="default" w:ascii="Times New Roman" w:hAnsi="Times New Roman" w:eastAsia="宋体" w:cs="Times New Roman"/>
                <w:color w:val="auto"/>
                <w:sz w:val="21"/>
                <w:szCs w:val="21"/>
                <w:lang w:val="en-US" w:eastAsia="zh-CN"/>
              </w:rPr>
              <w:t>JYYQ-1-02-1</w:t>
            </w:r>
          </w:p>
        </w:tc>
        <w:tc>
          <w:tcPr>
            <w:tcW w:w="545" w:type="pct"/>
            <w:tcBorders>
              <w:tl2br w:val="nil"/>
              <w:tr2bl w:val="nil"/>
            </w:tcBorders>
            <w:noWrap w:val="0"/>
            <w:vAlign w:val="center"/>
          </w:tcPr>
          <w:p w14:paraId="02520C20">
            <w:pPr>
              <w:adjustRightInd/>
              <w:snapToGrid w:val="0"/>
              <w:spacing w:line="240" w:lineRule="auto"/>
              <w:ind w:firstLine="0" w:firstLineChars="0"/>
              <w:jc w:val="center"/>
              <w:textAlignment w:val="center"/>
              <w:rPr>
                <w:rFonts w:hint="eastAsia"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w:t>
            </w:r>
          </w:p>
        </w:tc>
        <w:tc>
          <w:tcPr>
            <w:tcW w:w="456" w:type="pct"/>
            <w:tcBorders>
              <w:tl2br w:val="nil"/>
              <w:tr2bl w:val="nil"/>
            </w:tcBorders>
            <w:noWrap w:val="0"/>
            <w:vAlign w:val="center"/>
          </w:tcPr>
          <w:p w14:paraId="1CD86A21">
            <w:pPr>
              <w:adjustRightInd/>
              <w:snapToGrid w:val="0"/>
              <w:spacing w:line="240" w:lineRule="auto"/>
              <w:ind w:firstLine="0" w:firstLineChars="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0.05</w:t>
            </w:r>
          </w:p>
          <w:p w14:paraId="4DF161D7">
            <w:pPr>
              <w:adjustRightInd/>
              <w:snapToGrid w:val="0"/>
              <w:spacing w:line="240" w:lineRule="auto"/>
              <w:ind w:firstLine="0" w:firstLineChars="0"/>
              <w:jc w:val="center"/>
              <w:textAlignment w:val="center"/>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rPr>
              <w:t>mg/L</w:t>
            </w:r>
          </w:p>
        </w:tc>
      </w:tr>
      <w:tr w14:paraId="0D8E2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94" w:type="pct"/>
            <w:vMerge w:val="continue"/>
            <w:tcBorders>
              <w:tl2br w:val="nil"/>
              <w:tr2bl w:val="nil"/>
            </w:tcBorders>
            <w:noWrap w:val="0"/>
            <w:vAlign w:val="center"/>
          </w:tcPr>
          <w:p w14:paraId="296B0BC9">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eastAsia" w:ascii="Times New Roman" w:hAnsi="Times New Roman" w:eastAsia="宋体" w:cs="Times New Roman"/>
                <w:color w:val="000000"/>
                <w:sz w:val="21"/>
                <w:szCs w:val="21"/>
                <w:lang w:val="en-US" w:eastAsia="zh-CN"/>
              </w:rPr>
            </w:pPr>
          </w:p>
        </w:tc>
        <w:tc>
          <w:tcPr>
            <w:tcW w:w="527" w:type="pct"/>
            <w:tcBorders>
              <w:tl2br w:val="nil"/>
              <w:tr2bl w:val="nil"/>
            </w:tcBorders>
            <w:noWrap w:val="0"/>
            <w:vAlign w:val="center"/>
          </w:tcPr>
          <w:p w14:paraId="43925A3F">
            <w:pPr>
              <w:adjustRightInd/>
              <w:snapToGrid w:val="0"/>
              <w:spacing w:line="240" w:lineRule="auto"/>
              <w:ind w:firstLine="0" w:firstLineChars="0"/>
              <w:jc w:val="center"/>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highlight w:val="none"/>
                <w:lang w:val="en-US" w:eastAsia="zh-CN"/>
              </w:rPr>
              <w:t>总铬</w:t>
            </w:r>
          </w:p>
        </w:tc>
        <w:tc>
          <w:tcPr>
            <w:tcW w:w="1625" w:type="pct"/>
            <w:tcBorders>
              <w:tl2br w:val="nil"/>
              <w:tr2bl w:val="nil"/>
            </w:tcBorders>
            <w:noWrap w:val="0"/>
            <w:vAlign w:val="center"/>
          </w:tcPr>
          <w:p w14:paraId="37375B6B">
            <w:pPr>
              <w:adjustRightInd/>
              <w:snapToGrid w:val="0"/>
              <w:spacing w:line="240" w:lineRule="auto"/>
              <w:ind w:firstLine="0" w:firstLineChars="0"/>
              <w:jc w:val="center"/>
              <w:rPr>
                <w:rFonts w:hint="default" w:ascii="Times New Roman" w:hAnsi="Times New Roman" w:eastAsia="宋体" w:cs="Times New Roman"/>
                <w:sz w:val="21"/>
                <w:szCs w:val="21"/>
                <w:lang w:val="en-US" w:eastAsia="zh-CN" w:bidi="ar-SA"/>
              </w:rPr>
            </w:pP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水质 总铬的测定（第一篇 高锰酸钾氧化-二苯碳酰二肼分光光度法）</w:t>
            </w: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GB/T 7466-1987</w:t>
            </w:r>
          </w:p>
        </w:tc>
        <w:tc>
          <w:tcPr>
            <w:tcW w:w="1250" w:type="pct"/>
            <w:tcBorders>
              <w:tl2br w:val="nil"/>
              <w:tr2bl w:val="nil"/>
            </w:tcBorders>
            <w:noWrap w:val="0"/>
            <w:vAlign w:val="center"/>
          </w:tcPr>
          <w:p w14:paraId="6A2C0DF8">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紫外可见分光光度计</w:t>
            </w:r>
          </w:p>
          <w:p w14:paraId="6255C798">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T6新世纪</w:t>
            </w:r>
          </w:p>
          <w:p w14:paraId="69A69E4A">
            <w:pPr>
              <w:adjustRightInd/>
              <w:snapToGrid w:val="0"/>
              <w:spacing w:line="240" w:lineRule="auto"/>
              <w:ind w:firstLine="0" w:firstLineChars="0"/>
              <w:jc w:val="center"/>
              <w:rPr>
                <w:rFonts w:hint="default" w:ascii="Times New Roman" w:hAnsi="Times New Roman" w:eastAsia="宋体" w:cs="Times New Roman"/>
                <w:color w:val="auto"/>
                <w:sz w:val="21"/>
                <w:szCs w:val="21"/>
                <w:lang w:val="en-US" w:eastAsia="zh-CN" w:bidi="ar"/>
              </w:rPr>
            </w:pPr>
            <w:r>
              <w:rPr>
                <w:rFonts w:hint="default" w:ascii="Times New Roman" w:hAnsi="Times New Roman" w:eastAsia="宋体" w:cs="Times New Roman"/>
                <w:sz w:val="21"/>
                <w:szCs w:val="21"/>
                <w:lang w:val="en-US" w:eastAsia="zh-CN" w:bidi="ar"/>
              </w:rPr>
              <w:t>JYYQ-1-07-1</w:t>
            </w:r>
          </w:p>
        </w:tc>
        <w:tc>
          <w:tcPr>
            <w:tcW w:w="545" w:type="pct"/>
            <w:tcBorders>
              <w:tl2br w:val="nil"/>
              <w:tr2bl w:val="nil"/>
            </w:tcBorders>
            <w:noWrap w:val="0"/>
            <w:vAlign w:val="center"/>
          </w:tcPr>
          <w:p w14:paraId="449E4722">
            <w:pPr>
              <w:adjustRightInd/>
              <w:snapToGrid w:val="0"/>
              <w:spacing w:line="240" w:lineRule="auto"/>
              <w:ind w:firstLine="0" w:firstLineChars="0"/>
              <w:jc w:val="center"/>
              <w:textAlignment w:val="center"/>
              <w:rPr>
                <w:rFonts w:hint="eastAsia"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highlight w:val="none"/>
                <w:lang w:val="en-US" w:eastAsia="zh-CN"/>
              </w:rPr>
              <w:t>/</w:t>
            </w:r>
          </w:p>
        </w:tc>
        <w:tc>
          <w:tcPr>
            <w:tcW w:w="456" w:type="pct"/>
            <w:tcBorders>
              <w:tl2br w:val="nil"/>
              <w:tr2bl w:val="nil"/>
            </w:tcBorders>
            <w:noWrap w:val="0"/>
            <w:vAlign w:val="center"/>
          </w:tcPr>
          <w:p w14:paraId="01405E81">
            <w:pPr>
              <w:adjustRightInd/>
              <w:snapToGrid w:val="0"/>
              <w:spacing w:line="240" w:lineRule="auto"/>
              <w:ind w:firstLine="0" w:firstLineChars="0"/>
              <w:jc w:val="center"/>
              <w:textAlignment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0.004</w:t>
            </w:r>
          </w:p>
          <w:p w14:paraId="32A71E62">
            <w:pPr>
              <w:adjustRightInd/>
              <w:snapToGrid w:val="0"/>
              <w:spacing w:line="240" w:lineRule="auto"/>
              <w:ind w:firstLine="0" w:firstLineChars="0"/>
              <w:jc w:val="center"/>
              <w:textAlignment w:val="center"/>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highlight w:val="none"/>
              </w:rPr>
              <w:t>mg/L</w:t>
            </w:r>
          </w:p>
        </w:tc>
      </w:tr>
      <w:tr w14:paraId="05E6A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94" w:type="pct"/>
            <w:vMerge w:val="continue"/>
            <w:tcBorders>
              <w:tl2br w:val="nil"/>
              <w:tr2bl w:val="nil"/>
            </w:tcBorders>
            <w:noWrap w:val="0"/>
            <w:vAlign w:val="center"/>
          </w:tcPr>
          <w:p w14:paraId="1135171D">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eastAsia" w:ascii="Times New Roman" w:hAnsi="Times New Roman" w:eastAsia="宋体" w:cs="Times New Roman"/>
                <w:color w:val="000000"/>
                <w:sz w:val="21"/>
                <w:szCs w:val="21"/>
                <w:lang w:val="en-US" w:eastAsia="zh-CN"/>
              </w:rPr>
            </w:pPr>
          </w:p>
        </w:tc>
        <w:tc>
          <w:tcPr>
            <w:tcW w:w="527" w:type="pct"/>
            <w:tcBorders>
              <w:tl2br w:val="nil"/>
              <w:tr2bl w:val="nil"/>
            </w:tcBorders>
            <w:noWrap w:val="0"/>
            <w:vAlign w:val="center"/>
          </w:tcPr>
          <w:p w14:paraId="01548C09">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kern w:val="2"/>
                <w:sz w:val="21"/>
                <w:szCs w:val="21"/>
                <w:highlight w:val="none"/>
                <w:lang w:val="en-US" w:eastAsia="zh-CN" w:bidi="ar-SA"/>
              </w:rPr>
              <w:t>六价铬</w:t>
            </w:r>
          </w:p>
        </w:tc>
        <w:tc>
          <w:tcPr>
            <w:tcW w:w="1625" w:type="pct"/>
            <w:tcBorders>
              <w:tl2br w:val="nil"/>
              <w:tr2bl w:val="nil"/>
            </w:tcBorders>
            <w:noWrap w:val="0"/>
            <w:vAlign w:val="center"/>
          </w:tcPr>
          <w:p w14:paraId="6941FB68">
            <w:pPr>
              <w:adjustRightInd/>
              <w:snapToGrid w:val="0"/>
              <w:spacing w:line="240" w:lineRule="auto"/>
              <w:ind w:firstLine="0" w:firstLineChars="0"/>
              <w:jc w:val="center"/>
              <w:textAlignment w:val="center"/>
              <w:rPr>
                <w:rFonts w:hint="default" w:ascii="Times New Roman" w:hAnsi="Times New Roman" w:eastAsia="宋体" w:cs="Times New Roman"/>
                <w:color w:val="auto"/>
                <w:sz w:val="21"/>
                <w:szCs w:val="21"/>
                <w:lang w:bidi="ar"/>
              </w:rPr>
            </w:pPr>
            <w:r>
              <w:rPr>
                <w:rFonts w:hint="default" w:ascii="Times New Roman" w:hAnsi="Times New Roman" w:eastAsia="宋体" w:cs="Times New Roman"/>
                <w:color w:val="auto"/>
                <w:sz w:val="21"/>
                <w:szCs w:val="21"/>
                <w:lang w:bidi="ar"/>
              </w:rPr>
              <w:t>《水质 六价铬的测定 二苯碳酰二肼分光光度法》</w:t>
            </w:r>
          </w:p>
          <w:p w14:paraId="05CDA72B">
            <w:pPr>
              <w:adjustRightInd/>
              <w:snapToGrid w:val="0"/>
              <w:spacing w:line="240" w:lineRule="auto"/>
              <w:ind w:firstLine="0" w:firstLineChars="0"/>
              <w:jc w:val="center"/>
              <w:textAlignment w:val="center"/>
              <w:rPr>
                <w:rFonts w:hint="default" w:ascii="Times New Roman" w:hAnsi="Times New Roman" w:eastAsia="宋体" w:cs="Times New Roman"/>
                <w:sz w:val="21"/>
                <w:szCs w:val="21"/>
                <w:lang w:val="en-US" w:eastAsia="zh-CN" w:bidi="ar-SA"/>
              </w:rPr>
            </w:pPr>
            <w:r>
              <w:rPr>
                <w:rFonts w:hint="default" w:ascii="Times New Roman" w:hAnsi="Times New Roman" w:eastAsia="宋体" w:cs="Times New Roman"/>
                <w:color w:val="auto"/>
                <w:sz w:val="21"/>
                <w:szCs w:val="21"/>
                <w:lang w:bidi="ar"/>
              </w:rPr>
              <w:t>GB/T 7467-1987</w:t>
            </w:r>
          </w:p>
        </w:tc>
        <w:tc>
          <w:tcPr>
            <w:tcW w:w="1250" w:type="pct"/>
            <w:tcBorders>
              <w:tl2br w:val="nil"/>
              <w:tr2bl w:val="nil"/>
            </w:tcBorders>
            <w:noWrap w:val="0"/>
            <w:vAlign w:val="center"/>
          </w:tcPr>
          <w:p w14:paraId="55C75652">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紫外可见分光光度计</w:t>
            </w:r>
          </w:p>
          <w:p w14:paraId="7B0A5394">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T6新世纪</w:t>
            </w:r>
          </w:p>
          <w:p w14:paraId="325414FF">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rPr>
                <w:rFonts w:hint="default" w:ascii="Times New Roman" w:hAnsi="Times New Roman" w:eastAsia="宋体" w:cs="Times New Roman"/>
                <w:color w:val="auto"/>
                <w:sz w:val="21"/>
                <w:szCs w:val="21"/>
                <w:lang w:val="en-US" w:eastAsia="zh-CN" w:bidi="ar"/>
              </w:rPr>
            </w:pPr>
            <w:r>
              <w:rPr>
                <w:rFonts w:hint="default" w:ascii="Times New Roman" w:hAnsi="Times New Roman" w:eastAsia="宋体" w:cs="Times New Roman"/>
                <w:sz w:val="21"/>
                <w:szCs w:val="21"/>
                <w:lang w:val="en-US" w:eastAsia="zh-CN" w:bidi="ar"/>
              </w:rPr>
              <w:t>JYYQ-1-07-1</w:t>
            </w:r>
          </w:p>
        </w:tc>
        <w:tc>
          <w:tcPr>
            <w:tcW w:w="545" w:type="pct"/>
            <w:tcBorders>
              <w:tl2br w:val="nil"/>
              <w:tr2bl w:val="nil"/>
            </w:tcBorders>
            <w:noWrap w:val="0"/>
            <w:vAlign w:val="center"/>
          </w:tcPr>
          <w:p w14:paraId="49981861">
            <w:pPr>
              <w:adjustRightInd/>
              <w:snapToGrid w:val="0"/>
              <w:spacing w:line="240" w:lineRule="auto"/>
              <w:ind w:firstLine="0" w:firstLineChars="0"/>
              <w:jc w:val="center"/>
              <w:textAlignment w:val="center"/>
              <w:rPr>
                <w:rFonts w:hint="eastAsia"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bidi="ar"/>
              </w:rPr>
              <w:t>/</w:t>
            </w:r>
          </w:p>
        </w:tc>
        <w:tc>
          <w:tcPr>
            <w:tcW w:w="456" w:type="pct"/>
            <w:tcBorders>
              <w:tl2br w:val="nil"/>
              <w:tr2bl w:val="nil"/>
            </w:tcBorders>
            <w:noWrap w:val="0"/>
            <w:vAlign w:val="center"/>
          </w:tcPr>
          <w:p w14:paraId="0E3D65B7">
            <w:pPr>
              <w:adjustRightInd/>
              <w:snapToGrid w:val="0"/>
              <w:spacing w:line="240" w:lineRule="auto"/>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0.004</w:t>
            </w:r>
          </w:p>
          <w:p w14:paraId="5C885DA3">
            <w:pPr>
              <w:adjustRightInd/>
              <w:snapToGrid w:val="0"/>
              <w:spacing w:line="240" w:lineRule="auto"/>
              <w:ind w:firstLine="0" w:firstLineChars="0"/>
              <w:jc w:val="center"/>
              <w:textAlignment w:val="center"/>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rPr>
              <w:t>mg/L</w:t>
            </w:r>
          </w:p>
        </w:tc>
      </w:tr>
      <w:tr w14:paraId="1D32C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94" w:type="pct"/>
            <w:tcBorders>
              <w:tl2br w:val="nil"/>
              <w:tr2bl w:val="nil"/>
            </w:tcBorders>
            <w:noWrap w:val="0"/>
            <w:vAlign w:val="center"/>
          </w:tcPr>
          <w:p w14:paraId="0C089E1A">
            <w:pPr>
              <w:adjustRightInd/>
              <w:snapToGrid w:val="0"/>
              <w:spacing w:line="240" w:lineRule="auto"/>
              <w:ind w:left="-120" w:leftChars="-50" w:right="-120" w:rightChars="-50" w:firstLine="0" w:firstLineChars="0"/>
              <w:jc w:val="center"/>
              <w:rPr>
                <w:rFonts w:hint="default" w:ascii="Times New Roman" w:hAnsi="Times New Roman" w:eastAsia="宋体" w:cs="Times New Roman"/>
                <w:color w:val="000000"/>
                <w:sz w:val="21"/>
                <w:szCs w:val="21"/>
                <w:lang w:val="en-US" w:eastAsia="zh-CN"/>
              </w:rPr>
            </w:pPr>
            <w:r>
              <w:rPr>
                <w:rFonts w:hint="eastAsia" w:ascii="Times New Roman" w:hAnsi="Times New Roman" w:cs="Times New Roman"/>
                <w:sz w:val="21"/>
                <w:szCs w:val="21"/>
                <w:lang w:eastAsia="zh-CN"/>
              </w:rPr>
              <w:t>噪声</w:t>
            </w:r>
          </w:p>
        </w:tc>
        <w:tc>
          <w:tcPr>
            <w:tcW w:w="527" w:type="pct"/>
            <w:tcBorders>
              <w:tl2br w:val="nil"/>
              <w:tr2bl w:val="nil"/>
            </w:tcBorders>
            <w:noWrap w:val="0"/>
            <w:vAlign w:val="center"/>
          </w:tcPr>
          <w:p w14:paraId="358F5BC8">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厂界</w:t>
            </w:r>
          </w:p>
          <w:p w14:paraId="256C3BE4">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环境噪声</w:t>
            </w:r>
          </w:p>
        </w:tc>
        <w:tc>
          <w:tcPr>
            <w:tcW w:w="1625" w:type="pct"/>
            <w:tcBorders>
              <w:tl2br w:val="nil"/>
              <w:tr2bl w:val="nil"/>
            </w:tcBorders>
            <w:noWrap w:val="0"/>
            <w:vAlign w:val="center"/>
          </w:tcPr>
          <w:p w14:paraId="220098C5">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eastAsia" w:ascii="Times New Roman" w:hAnsi="Times New Roman" w:eastAsia="宋体" w:cs="Times New Roman"/>
                <w:sz w:val="21"/>
                <w:szCs w:val="21"/>
                <w:lang w:eastAsia="zh-CN" w:bidi="ar"/>
              </w:rPr>
            </w:pPr>
            <w:r>
              <w:rPr>
                <w:rFonts w:hint="default" w:ascii="Times New Roman" w:hAnsi="Times New Roman" w:cs="Times New Roman"/>
                <w:sz w:val="21"/>
                <w:szCs w:val="21"/>
                <w:lang w:bidi="ar"/>
              </w:rPr>
              <w:t>《</w:t>
            </w:r>
            <w:r>
              <w:rPr>
                <w:rFonts w:hint="eastAsia" w:ascii="Times New Roman" w:hAnsi="Times New Roman" w:cs="Times New Roman"/>
                <w:sz w:val="21"/>
                <w:szCs w:val="21"/>
                <w:lang w:eastAsia="zh-CN" w:bidi="ar"/>
              </w:rPr>
              <w:t>工业企业厂界环境噪声排放标准</w:t>
            </w:r>
            <w:r>
              <w:rPr>
                <w:rFonts w:hint="default" w:ascii="Times New Roman" w:hAnsi="Times New Roman" w:cs="Times New Roman"/>
                <w:sz w:val="21"/>
                <w:szCs w:val="21"/>
                <w:lang w:bidi="ar"/>
              </w:rPr>
              <w:t>》</w:t>
            </w:r>
            <w:r>
              <w:rPr>
                <w:rFonts w:hint="eastAsia" w:ascii="Times New Roman" w:hAnsi="Times New Roman" w:cs="Times New Roman"/>
                <w:sz w:val="21"/>
                <w:szCs w:val="21"/>
                <w:lang w:val="en-US" w:eastAsia="zh-CN" w:bidi="ar"/>
              </w:rPr>
              <w:t>GB 12348-2008</w:t>
            </w:r>
          </w:p>
        </w:tc>
        <w:tc>
          <w:tcPr>
            <w:tcW w:w="1250" w:type="pct"/>
            <w:tcBorders>
              <w:tl2br w:val="nil"/>
              <w:tr2bl w:val="nil"/>
            </w:tcBorders>
            <w:noWrap w:val="0"/>
            <w:vAlign w:val="center"/>
          </w:tcPr>
          <w:p w14:paraId="07795CC9">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多功能声级计</w:t>
            </w:r>
          </w:p>
          <w:p w14:paraId="352C1E0B">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default" w:ascii="Times New Roman" w:hAnsi="Times New Roman" w:eastAsia="宋体" w:cs="Times New Roman"/>
                <w:color w:val="auto"/>
                <w:sz w:val="21"/>
                <w:szCs w:val="21"/>
                <w:lang w:val="en-US" w:eastAsia="zh-CN" w:bidi="ar"/>
              </w:rPr>
            </w:pPr>
            <w:r>
              <w:rPr>
                <w:rFonts w:hint="default" w:ascii="Times New Roman" w:hAnsi="Times New Roman" w:eastAsia="宋体" w:cs="Times New Roman"/>
                <w:color w:val="auto"/>
                <w:sz w:val="21"/>
                <w:szCs w:val="21"/>
                <w:lang w:val="en-US" w:eastAsia="zh-CN" w:bidi="ar"/>
              </w:rPr>
              <w:t>AWA</w:t>
            </w:r>
            <w:r>
              <w:rPr>
                <w:rFonts w:hint="eastAsia" w:ascii="Times New Roman" w:hAnsi="Times New Roman" w:eastAsia="宋体" w:cs="Times New Roman"/>
                <w:color w:val="auto"/>
                <w:sz w:val="21"/>
                <w:szCs w:val="21"/>
                <w:lang w:val="en-US" w:eastAsia="zh-CN" w:bidi="ar"/>
              </w:rPr>
              <w:t>5688</w:t>
            </w:r>
          </w:p>
          <w:p w14:paraId="1A34F25A">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eastAsia" w:ascii="Times New Roman" w:hAnsi="Times New Roman" w:eastAsia="宋体" w:cs="Times New Roman"/>
                <w:color w:val="auto"/>
                <w:sz w:val="21"/>
                <w:szCs w:val="21"/>
                <w:lang w:val="en-US" w:eastAsia="zh-CN" w:bidi="ar"/>
              </w:rPr>
            </w:pPr>
            <w:r>
              <w:rPr>
                <w:rFonts w:hint="default" w:ascii="Times New Roman" w:hAnsi="Times New Roman" w:eastAsia="宋体" w:cs="Times New Roman"/>
                <w:color w:val="auto"/>
                <w:sz w:val="21"/>
                <w:szCs w:val="21"/>
                <w:lang w:val="en-US" w:eastAsia="zh-CN" w:bidi="ar"/>
              </w:rPr>
              <w:t>JYYQ-2-0</w:t>
            </w:r>
            <w:r>
              <w:rPr>
                <w:rFonts w:hint="eastAsia" w:ascii="Times New Roman" w:hAnsi="Times New Roman" w:eastAsia="宋体" w:cs="Times New Roman"/>
                <w:color w:val="auto"/>
                <w:sz w:val="21"/>
                <w:szCs w:val="21"/>
                <w:lang w:val="en-US" w:eastAsia="zh-CN" w:bidi="ar"/>
              </w:rPr>
              <w:t>4</w:t>
            </w:r>
            <w:r>
              <w:rPr>
                <w:rFonts w:hint="default" w:ascii="Times New Roman" w:hAnsi="Times New Roman" w:eastAsia="宋体" w:cs="Times New Roman"/>
                <w:color w:val="auto"/>
                <w:sz w:val="21"/>
                <w:szCs w:val="21"/>
                <w:lang w:val="en-US" w:eastAsia="zh-CN" w:bidi="ar"/>
              </w:rPr>
              <w:t>-</w:t>
            </w:r>
            <w:r>
              <w:rPr>
                <w:rFonts w:hint="eastAsia" w:ascii="Times New Roman" w:hAnsi="Times New Roman" w:eastAsia="宋体" w:cs="Times New Roman"/>
                <w:color w:val="auto"/>
                <w:sz w:val="21"/>
                <w:szCs w:val="21"/>
                <w:lang w:val="en-US" w:eastAsia="zh-CN" w:bidi="ar"/>
              </w:rPr>
              <w:t>5</w:t>
            </w:r>
          </w:p>
          <w:p w14:paraId="432695B7">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default" w:ascii="Times New Roman" w:hAnsi="Times New Roman" w:eastAsia="宋体" w:cs="Times New Roman"/>
                <w:color w:val="auto"/>
                <w:sz w:val="21"/>
                <w:szCs w:val="21"/>
                <w:highlight w:val="yellow"/>
                <w:lang w:val="en-US" w:eastAsia="zh-CN"/>
              </w:rPr>
            </w:pPr>
            <w:r>
              <w:rPr>
                <w:rFonts w:hint="default" w:ascii="Times New Roman" w:hAnsi="Times New Roman" w:eastAsia="宋体" w:cs="Times New Roman"/>
                <w:color w:val="auto"/>
                <w:sz w:val="21"/>
                <w:szCs w:val="21"/>
                <w:lang w:val="en-US" w:eastAsia="zh-CN" w:bidi="ar"/>
              </w:rPr>
              <w:t>JYYQ-2-0</w:t>
            </w:r>
            <w:r>
              <w:rPr>
                <w:rFonts w:hint="eastAsia" w:ascii="Times New Roman" w:hAnsi="Times New Roman" w:eastAsia="宋体" w:cs="Times New Roman"/>
                <w:color w:val="auto"/>
                <w:sz w:val="21"/>
                <w:szCs w:val="21"/>
                <w:lang w:val="en-US" w:eastAsia="zh-CN" w:bidi="ar"/>
              </w:rPr>
              <w:t>4</w:t>
            </w:r>
            <w:r>
              <w:rPr>
                <w:rFonts w:hint="default" w:ascii="Times New Roman" w:hAnsi="Times New Roman" w:eastAsia="宋体" w:cs="Times New Roman"/>
                <w:color w:val="auto"/>
                <w:sz w:val="21"/>
                <w:szCs w:val="21"/>
                <w:lang w:val="en-US" w:eastAsia="zh-CN" w:bidi="ar"/>
              </w:rPr>
              <w:t>-</w:t>
            </w:r>
            <w:r>
              <w:rPr>
                <w:rFonts w:hint="eastAsia" w:ascii="Times New Roman" w:hAnsi="Times New Roman" w:eastAsia="宋体" w:cs="Times New Roman"/>
                <w:color w:val="auto"/>
                <w:sz w:val="21"/>
                <w:szCs w:val="21"/>
                <w:lang w:val="en-US" w:eastAsia="zh-CN" w:bidi="ar"/>
              </w:rPr>
              <w:t>7</w:t>
            </w:r>
          </w:p>
        </w:tc>
        <w:tc>
          <w:tcPr>
            <w:tcW w:w="545" w:type="pct"/>
            <w:tcBorders>
              <w:tl2br w:val="nil"/>
              <w:tr2bl w:val="nil"/>
            </w:tcBorders>
            <w:noWrap w:val="0"/>
            <w:vAlign w:val="center"/>
          </w:tcPr>
          <w:p w14:paraId="44C4D8DC">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color w:val="auto"/>
                <w:sz w:val="21"/>
                <w:szCs w:val="21"/>
                <w:lang w:val="en-US" w:eastAsia="zh-CN"/>
              </w:rPr>
              <w:t>/</w:t>
            </w:r>
          </w:p>
        </w:tc>
        <w:tc>
          <w:tcPr>
            <w:tcW w:w="456" w:type="pct"/>
            <w:tcBorders>
              <w:tl2br w:val="nil"/>
              <w:tr2bl w:val="nil"/>
            </w:tcBorders>
            <w:noWrap w:val="0"/>
            <w:vAlign w:val="center"/>
          </w:tcPr>
          <w:p w14:paraId="7C0B55FD">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b w:val="0"/>
                <w:bCs w:val="0"/>
                <w:color w:val="auto"/>
                <w:sz w:val="21"/>
                <w:szCs w:val="21"/>
                <w:vertAlign w:val="baseline"/>
                <w:lang w:val="en-US" w:eastAsia="zh-CN"/>
              </w:rPr>
              <w:t>/</w:t>
            </w:r>
          </w:p>
        </w:tc>
      </w:tr>
    </w:tbl>
    <w:p w14:paraId="2E7FBB27">
      <w:pPr>
        <w:pStyle w:val="3"/>
        <w:spacing w:before="163" w:after="163"/>
        <w:ind w:firstLine="643"/>
        <w:rPr>
          <w:rFonts w:cs="Times New Roman"/>
          <w:color w:val="auto"/>
        </w:rPr>
      </w:pPr>
      <w:bookmarkStart w:id="46" w:name="_Toc172712305"/>
      <w:r>
        <w:rPr>
          <w:rFonts w:cs="Times New Roman"/>
          <w:color w:val="auto"/>
        </w:rPr>
        <w:t>8.2质量控制措施</w:t>
      </w:r>
      <w:bookmarkEnd w:id="46"/>
    </w:p>
    <w:p w14:paraId="06E0C0F7">
      <w:pPr>
        <w:widowControl w:val="0"/>
        <w:autoSpaceDE w:val="0"/>
        <w:ind w:firstLine="488"/>
        <w:jc w:val="both"/>
        <w:rPr>
          <w:rFonts w:hint="default" w:cs="Times New Roman"/>
          <w:color w:val="auto"/>
          <w:spacing w:val="4"/>
          <w:szCs w:val="28"/>
          <w:lang w:eastAsia="zh-CN"/>
        </w:rPr>
      </w:pPr>
      <w:r>
        <w:rPr>
          <w:rFonts w:hint="default" w:cs="Times New Roman"/>
          <w:color w:val="auto"/>
          <w:spacing w:val="4"/>
          <w:szCs w:val="28"/>
        </w:rPr>
        <w:t>质量保证</w:t>
      </w:r>
      <w:r>
        <w:rPr>
          <w:rFonts w:hint="default" w:cs="Times New Roman"/>
          <w:color w:val="auto"/>
          <w:spacing w:val="4"/>
          <w:szCs w:val="28"/>
          <w:lang w:val="en-US" w:eastAsia="zh-CN"/>
        </w:rPr>
        <w:t>和质量控制</w:t>
      </w:r>
      <w:r>
        <w:rPr>
          <w:rFonts w:hint="default" w:cs="Times New Roman"/>
          <w:color w:val="auto"/>
          <w:spacing w:val="4"/>
          <w:szCs w:val="28"/>
        </w:rPr>
        <w:t>严格</w:t>
      </w:r>
      <w:r>
        <w:rPr>
          <w:rFonts w:hint="default" w:cs="Times New Roman"/>
          <w:color w:val="auto"/>
          <w:spacing w:val="4"/>
          <w:szCs w:val="28"/>
          <w:lang w:val="en-US" w:eastAsia="zh-CN"/>
        </w:rPr>
        <w:t>按照国家相关标准要求进行</w:t>
      </w:r>
      <w:r>
        <w:rPr>
          <w:rFonts w:hint="default" w:cs="Times New Roman"/>
          <w:color w:val="auto"/>
          <w:spacing w:val="4"/>
          <w:szCs w:val="28"/>
        </w:rPr>
        <w:t>，实施全过程质量保证</w:t>
      </w:r>
      <w:r>
        <w:rPr>
          <w:rFonts w:hint="eastAsia" w:cs="Times New Roman"/>
          <w:color w:val="auto"/>
          <w:spacing w:val="4"/>
          <w:szCs w:val="28"/>
          <w:lang w:eastAsia="zh-CN"/>
        </w:rPr>
        <w:t>，</w:t>
      </w:r>
      <w:r>
        <w:rPr>
          <w:rFonts w:hint="default" w:cs="Times New Roman"/>
          <w:color w:val="auto"/>
          <w:spacing w:val="4"/>
          <w:szCs w:val="28"/>
          <w:lang w:val="en-US" w:eastAsia="zh-CN"/>
        </w:rPr>
        <w:t>具体质控要求如下</w:t>
      </w:r>
      <w:r>
        <w:rPr>
          <w:rFonts w:hint="default" w:cs="Times New Roman"/>
          <w:color w:val="auto"/>
          <w:spacing w:val="4"/>
          <w:szCs w:val="28"/>
          <w:lang w:eastAsia="zh-CN"/>
        </w:rPr>
        <w:t>：</w:t>
      </w:r>
    </w:p>
    <w:p w14:paraId="500397FF">
      <w:pPr>
        <w:widowControl w:val="0"/>
        <w:autoSpaceDE w:val="0"/>
        <w:ind w:firstLine="488"/>
        <w:jc w:val="both"/>
        <w:rPr>
          <w:rFonts w:hint="default" w:cs="Times New Roman"/>
          <w:color w:val="auto"/>
          <w:spacing w:val="4"/>
          <w:szCs w:val="28"/>
        </w:rPr>
      </w:pPr>
      <w:r>
        <w:rPr>
          <w:rFonts w:hint="eastAsia" w:cs="Times New Roman"/>
          <w:color w:val="auto"/>
          <w:spacing w:val="4"/>
          <w:szCs w:val="28"/>
          <w:lang w:val="en-US" w:eastAsia="zh-CN"/>
        </w:rPr>
        <w:t>1、</w:t>
      </w:r>
      <w:r>
        <w:rPr>
          <w:rFonts w:hint="default" w:cs="Times New Roman"/>
          <w:color w:val="auto"/>
          <w:spacing w:val="4"/>
          <w:szCs w:val="28"/>
        </w:rPr>
        <w:t>所有检测及分析仪器均</w:t>
      </w:r>
      <w:r>
        <w:rPr>
          <w:rFonts w:hint="eastAsia" w:cs="Times New Roman"/>
          <w:color w:val="auto"/>
          <w:spacing w:val="4"/>
          <w:szCs w:val="28"/>
          <w:lang w:val="en-US" w:eastAsia="zh-CN"/>
        </w:rPr>
        <w:t>经过有资质部门检定/校准，并通过确认，均在有效期内，状态正常。</w:t>
      </w:r>
      <w:r>
        <w:rPr>
          <w:rFonts w:hint="default" w:cs="Times New Roman"/>
          <w:color w:val="auto"/>
          <w:spacing w:val="4"/>
          <w:szCs w:val="28"/>
        </w:rPr>
        <w:t>并参照有关计量检定规程定期校验和维护。</w:t>
      </w:r>
    </w:p>
    <w:p w14:paraId="5A3C58B1">
      <w:pPr>
        <w:widowControl w:val="0"/>
        <w:autoSpaceDE w:val="0"/>
        <w:ind w:firstLine="488"/>
        <w:jc w:val="both"/>
        <w:rPr>
          <w:rFonts w:hint="default" w:cs="Times New Roman"/>
          <w:color w:val="auto"/>
          <w:spacing w:val="4"/>
          <w:szCs w:val="28"/>
          <w:lang w:val="en-US" w:eastAsia="zh-CN"/>
        </w:rPr>
      </w:pPr>
      <w:r>
        <w:rPr>
          <w:rFonts w:hint="eastAsia" w:cs="Times New Roman"/>
          <w:color w:val="auto"/>
          <w:spacing w:val="4"/>
          <w:szCs w:val="28"/>
          <w:lang w:val="en-US" w:eastAsia="zh-CN"/>
        </w:rPr>
        <w:t>2、检测人员均经考核合格，并持证上岗。</w:t>
      </w:r>
    </w:p>
    <w:p w14:paraId="28E5F9BC">
      <w:pPr>
        <w:widowControl w:val="0"/>
        <w:autoSpaceDE w:val="0"/>
        <w:ind w:firstLine="488"/>
        <w:jc w:val="both"/>
        <w:rPr>
          <w:rFonts w:hint="eastAsia" w:cs="Times New Roman"/>
          <w:color w:val="auto"/>
          <w:spacing w:val="4"/>
          <w:szCs w:val="28"/>
          <w:lang w:val="en-US" w:eastAsia="zh-CN"/>
        </w:rPr>
      </w:pPr>
      <w:r>
        <w:rPr>
          <w:rFonts w:hint="eastAsia" w:cs="Times New Roman"/>
          <w:color w:val="auto"/>
          <w:spacing w:val="4"/>
          <w:szCs w:val="28"/>
          <w:lang w:val="en-US" w:eastAsia="zh-CN"/>
        </w:rPr>
        <w:t>3、废气检测前、后用流量校准器对烟尘/气测试仪和大气综合采样器进行流量校准，用标准气体对仪器进行标气校准，并按照相关规定进行现场检漏，结果均合格。</w:t>
      </w:r>
    </w:p>
    <w:p w14:paraId="5F1E6542">
      <w:pPr>
        <w:widowControl w:val="0"/>
        <w:autoSpaceDE w:val="0"/>
        <w:ind w:firstLine="488"/>
        <w:jc w:val="both"/>
        <w:rPr>
          <w:rFonts w:hint="default" w:cs="Times New Roman"/>
          <w:color w:val="auto"/>
          <w:spacing w:val="4"/>
          <w:szCs w:val="28"/>
          <w:lang w:val="en-US" w:eastAsia="zh-CN"/>
        </w:rPr>
      </w:pPr>
      <w:r>
        <w:rPr>
          <w:rFonts w:hint="eastAsia" w:cs="Times New Roman"/>
          <w:color w:val="auto"/>
          <w:spacing w:val="4"/>
          <w:szCs w:val="28"/>
          <w:lang w:val="en-US" w:eastAsia="zh-CN"/>
        </w:rPr>
        <w:t>4、噪声测量前、后用声校准器对声级计进行校准，示值偏差不大于0.5dB。</w:t>
      </w:r>
    </w:p>
    <w:p w14:paraId="1657A59D">
      <w:pPr>
        <w:widowControl w:val="0"/>
        <w:autoSpaceDE w:val="0"/>
        <w:ind w:firstLine="488"/>
        <w:jc w:val="both"/>
        <w:rPr>
          <w:rFonts w:cs="Times New Roman"/>
          <w:color w:val="auto"/>
          <w:spacing w:val="4"/>
          <w:szCs w:val="28"/>
        </w:rPr>
      </w:pPr>
      <w:r>
        <w:rPr>
          <w:rFonts w:hint="eastAsia" w:cs="Times New Roman"/>
          <w:color w:val="auto"/>
          <w:spacing w:val="4"/>
          <w:szCs w:val="28"/>
          <w:lang w:val="en-US" w:eastAsia="zh-CN"/>
        </w:rPr>
        <w:t>5、本项目按照《固定源废气监测技术规范》（HJ/T397-2007）、《固定污染源监测质量保证与质量控制技术规范（试行）》（HJ/T373-2007）、</w:t>
      </w:r>
      <w:r>
        <w:rPr>
          <w:rFonts w:hint="default" w:cs="Times New Roman"/>
          <w:color w:val="auto"/>
          <w:spacing w:val="4"/>
          <w:szCs w:val="28"/>
          <w:lang w:val="en-US" w:eastAsia="zh-CN"/>
        </w:rPr>
        <w:t>《恶臭污染环境监测技术规范》（HJ905-2017）</w:t>
      </w:r>
      <w:r>
        <w:rPr>
          <w:rFonts w:hint="eastAsia" w:cs="Times New Roman"/>
          <w:color w:val="auto"/>
          <w:spacing w:val="4"/>
          <w:szCs w:val="28"/>
          <w:lang w:val="en-US" w:eastAsia="zh-CN"/>
        </w:rPr>
        <w:t>、</w:t>
      </w:r>
      <w:r>
        <w:rPr>
          <w:rFonts w:hint="eastAsia" w:cs="Times New Roman"/>
          <w:color w:val="auto"/>
          <w:spacing w:val="4"/>
          <w:szCs w:val="28"/>
          <w:lang w:eastAsia="zh-CN"/>
        </w:rPr>
        <w:t>《</w:t>
      </w:r>
      <w:r>
        <w:rPr>
          <w:rFonts w:hint="eastAsia" w:cs="Times New Roman"/>
          <w:color w:val="auto"/>
          <w:spacing w:val="4"/>
          <w:szCs w:val="28"/>
        </w:rPr>
        <w:t>大气污染物无组织排放监测技术导则</w:t>
      </w:r>
      <w:r>
        <w:rPr>
          <w:rFonts w:hint="eastAsia" w:cs="Times New Roman"/>
          <w:color w:val="auto"/>
          <w:spacing w:val="4"/>
          <w:szCs w:val="28"/>
          <w:lang w:eastAsia="zh-CN"/>
        </w:rPr>
        <w:t>》（</w:t>
      </w:r>
      <w:r>
        <w:rPr>
          <w:rFonts w:hint="eastAsia" w:cs="Times New Roman"/>
          <w:color w:val="auto"/>
          <w:spacing w:val="4"/>
          <w:szCs w:val="28"/>
        </w:rPr>
        <w:t>HJ</w:t>
      </w:r>
      <w:r>
        <w:rPr>
          <w:rFonts w:hint="eastAsia" w:cs="Times New Roman"/>
          <w:color w:val="auto"/>
          <w:spacing w:val="4"/>
          <w:szCs w:val="28"/>
          <w:lang w:val="en-US" w:eastAsia="zh-CN"/>
        </w:rPr>
        <w:t>/</w:t>
      </w:r>
      <w:r>
        <w:rPr>
          <w:rFonts w:hint="eastAsia" w:cs="Times New Roman"/>
          <w:color w:val="auto"/>
          <w:spacing w:val="4"/>
          <w:szCs w:val="28"/>
        </w:rPr>
        <w:t>T55-2000</w:t>
      </w:r>
      <w:r>
        <w:rPr>
          <w:rFonts w:hint="eastAsia" w:cs="Times New Roman"/>
          <w:color w:val="auto"/>
          <w:spacing w:val="4"/>
          <w:szCs w:val="28"/>
          <w:lang w:eastAsia="zh-CN"/>
        </w:rPr>
        <w:t>）、《</w:t>
      </w:r>
      <w:r>
        <w:rPr>
          <w:rFonts w:hint="eastAsia" w:cs="Times New Roman"/>
          <w:color w:val="auto"/>
          <w:spacing w:val="4"/>
          <w:szCs w:val="28"/>
        </w:rPr>
        <w:t>污水监测技术规范</w:t>
      </w:r>
      <w:r>
        <w:rPr>
          <w:rFonts w:hint="eastAsia" w:cs="Times New Roman"/>
          <w:color w:val="auto"/>
          <w:spacing w:val="4"/>
          <w:szCs w:val="28"/>
          <w:lang w:eastAsia="zh-CN"/>
        </w:rPr>
        <w:t>》（</w:t>
      </w:r>
      <w:r>
        <w:rPr>
          <w:rFonts w:hint="eastAsia" w:cs="Times New Roman"/>
          <w:color w:val="auto"/>
          <w:spacing w:val="4"/>
          <w:szCs w:val="28"/>
        </w:rPr>
        <w:t>HJ91.1-2019</w:t>
      </w:r>
      <w:r>
        <w:rPr>
          <w:rFonts w:hint="eastAsia" w:cs="Times New Roman"/>
          <w:color w:val="auto"/>
          <w:spacing w:val="4"/>
          <w:szCs w:val="28"/>
          <w:lang w:eastAsia="zh-CN"/>
        </w:rPr>
        <w:t>）、</w:t>
      </w:r>
      <w:r>
        <w:rPr>
          <w:rFonts w:hint="eastAsia" w:cs="Times New Roman"/>
          <w:color w:val="auto"/>
          <w:spacing w:val="4"/>
          <w:szCs w:val="28"/>
          <w:lang w:val="en-US" w:eastAsia="zh-CN"/>
        </w:rPr>
        <w:t>《工业企业厂界环境噪声排放标准》（</w:t>
      </w:r>
      <w:r>
        <w:rPr>
          <w:rFonts w:hint="default" w:cs="Times New Roman"/>
          <w:color w:val="auto"/>
          <w:spacing w:val="4"/>
          <w:szCs w:val="28"/>
          <w:lang w:val="en-US" w:eastAsia="zh-CN"/>
        </w:rPr>
        <w:t>GB12348-2008</w:t>
      </w:r>
      <w:r>
        <w:rPr>
          <w:rFonts w:hint="eastAsia" w:cs="Times New Roman"/>
          <w:color w:val="auto"/>
          <w:spacing w:val="4"/>
          <w:szCs w:val="28"/>
          <w:lang w:val="en-US" w:eastAsia="zh-CN"/>
        </w:rPr>
        <w:t>）进行质量控制，检测数据严格实行三级审核。</w:t>
      </w:r>
    </w:p>
    <w:p w14:paraId="58F65208">
      <w:pPr>
        <w:widowControl w:val="0"/>
        <w:autoSpaceDE w:val="0"/>
        <w:ind w:firstLine="488"/>
        <w:jc w:val="both"/>
        <w:rPr>
          <w:rFonts w:cs="Times New Roman"/>
          <w:color w:val="auto"/>
          <w:spacing w:val="4"/>
          <w:szCs w:val="28"/>
        </w:rPr>
      </w:pPr>
    </w:p>
    <w:p w14:paraId="71D2BA24">
      <w:pPr>
        <w:pStyle w:val="2"/>
        <w:ind w:firstLine="643"/>
        <w:rPr>
          <w:rFonts w:cs="Times New Roman"/>
          <w:color w:val="auto"/>
        </w:rPr>
      </w:pPr>
      <w:bookmarkStart w:id="47" w:name="_Toc172712306"/>
      <w:r>
        <w:rPr>
          <w:rFonts w:cs="Times New Roman"/>
          <w:color w:val="auto"/>
        </w:rPr>
        <w:t>9 验收监测结果</w:t>
      </w:r>
      <w:bookmarkEnd w:id="47"/>
    </w:p>
    <w:p w14:paraId="3C3BF81B">
      <w:pPr>
        <w:pStyle w:val="3"/>
        <w:spacing w:before="163" w:after="163"/>
        <w:ind w:firstLine="643"/>
        <w:rPr>
          <w:rFonts w:cs="Times New Roman"/>
          <w:color w:val="auto"/>
        </w:rPr>
      </w:pPr>
      <w:bookmarkStart w:id="48" w:name="_Toc172712307"/>
      <w:r>
        <w:rPr>
          <w:rFonts w:cs="Times New Roman"/>
          <w:color w:val="auto"/>
        </w:rPr>
        <w:t>9.1生产工况</w:t>
      </w:r>
      <w:bookmarkEnd w:id="48"/>
    </w:p>
    <w:p w14:paraId="63A9F58E">
      <w:pPr>
        <w:ind w:firstLine="480"/>
        <w:rPr>
          <w:rFonts w:cs="Times New Roman"/>
          <w:color w:val="auto"/>
        </w:rPr>
      </w:pPr>
      <w:r>
        <w:rPr>
          <w:rFonts w:cs="Times New Roman"/>
          <w:color w:val="auto"/>
        </w:rPr>
        <w:t>本</w:t>
      </w:r>
      <w:r>
        <w:rPr>
          <w:rFonts w:hint="eastAsia" w:cs="Times New Roman"/>
          <w:color w:val="auto"/>
        </w:rPr>
        <w:t>次验收项目</w:t>
      </w:r>
      <w:r>
        <w:rPr>
          <w:rFonts w:cs="Times New Roman"/>
          <w:color w:val="auto"/>
        </w:rPr>
        <w:t>为</w:t>
      </w:r>
      <w:r>
        <w:rPr>
          <w:rFonts w:ascii="宋体" w:hAnsi="宋体" w:cs="Times New Roman"/>
          <w:color w:val="auto"/>
        </w:rPr>
        <w:t>“</w:t>
      </w:r>
      <w:r>
        <w:rPr>
          <w:rFonts w:cs="Times New Roman"/>
          <w:color w:val="auto"/>
        </w:rPr>
        <w:t>新乡市万宝科技有限公司</w:t>
      </w:r>
      <w:r>
        <w:rPr>
          <w:rFonts w:hint="eastAsia" w:cs="Times New Roman"/>
          <w:bCs/>
          <w:color w:val="auto"/>
          <w:lang w:eastAsia="zh-CN"/>
        </w:rPr>
        <w:t>年产2万吨五金件、2万吨汽车配件、800吨钢带、5亿只电池钢壳项目</w:t>
      </w:r>
      <w:r>
        <w:rPr>
          <w:rFonts w:ascii="宋体" w:hAnsi="宋体" w:cs="Times New Roman"/>
          <w:color w:val="auto"/>
        </w:rPr>
        <w:t>”</w:t>
      </w:r>
      <w:r>
        <w:rPr>
          <w:rFonts w:hint="eastAsia" w:ascii="宋体" w:hAnsi="宋体" w:cs="Times New Roman"/>
          <w:color w:val="auto"/>
        </w:rPr>
        <w:t>，验收内容为</w:t>
      </w:r>
      <w:r>
        <w:rPr>
          <w:rFonts w:hint="default" w:ascii="Times New Roman" w:hAnsi="Times New Roman" w:cs="Times New Roman"/>
          <w:color w:val="auto"/>
        </w:rPr>
        <w:t>“年产</w:t>
      </w:r>
      <w:r>
        <w:rPr>
          <w:rFonts w:hint="default" w:ascii="Times New Roman" w:hAnsi="Times New Roman" w:cs="Times New Roman"/>
          <w:color w:val="auto"/>
          <w:lang w:val="en-US" w:eastAsia="zh-CN"/>
        </w:rPr>
        <w:t>8000</w:t>
      </w:r>
      <w:r>
        <w:rPr>
          <w:rFonts w:hint="default" w:ascii="Times New Roman" w:hAnsi="Times New Roman" w:cs="Times New Roman"/>
          <w:color w:val="auto"/>
        </w:rPr>
        <w:t>吨汽车配件、</w:t>
      </w:r>
      <w:r>
        <w:rPr>
          <w:rFonts w:hint="default" w:ascii="Times New Roman" w:hAnsi="Times New Roman" w:cs="Times New Roman"/>
          <w:color w:val="auto"/>
          <w:lang w:val="en-US" w:eastAsia="zh-CN"/>
        </w:rPr>
        <w:t>58</w:t>
      </w:r>
      <w:r>
        <w:rPr>
          <w:rFonts w:hint="default" w:ascii="Times New Roman" w:hAnsi="Times New Roman" w:cs="Times New Roman"/>
          <w:color w:val="auto"/>
        </w:rPr>
        <w:t>0吨钢带”</w:t>
      </w:r>
      <w:r>
        <w:rPr>
          <w:rFonts w:cs="Times New Roman"/>
          <w:color w:val="auto"/>
        </w:rPr>
        <w:t>，年工作天数为300天。生产工况见下表。</w:t>
      </w:r>
    </w:p>
    <w:p w14:paraId="0A3E28F3">
      <w:pPr>
        <w:pStyle w:val="40"/>
        <w:spacing w:beforeLines="0" w:line="520" w:lineRule="exact"/>
        <w:rPr>
          <w:color w:val="auto"/>
        </w:rPr>
      </w:pPr>
      <w:r>
        <w:rPr>
          <w:color w:val="auto"/>
        </w:rPr>
        <w:t>表9-1                             验收期间工况负荷表</w:t>
      </w:r>
    </w:p>
    <w:tbl>
      <w:tblPr>
        <w:tblStyle w:val="26"/>
        <w:tblW w:w="5000" w:type="pct"/>
        <w:jc w:val="center"/>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Layout w:type="fixed"/>
        <w:tblCellMar>
          <w:top w:w="0" w:type="dxa"/>
          <w:left w:w="108" w:type="dxa"/>
          <w:bottom w:w="0" w:type="dxa"/>
          <w:right w:w="108" w:type="dxa"/>
        </w:tblCellMar>
      </w:tblPr>
      <w:tblGrid>
        <w:gridCol w:w="1341"/>
        <w:gridCol w:w="1793"/>
        <w:gridCol w:w="2355"/>
        <w:gridCol w:w="2445"/>
        <w:gridCol w:w="1355"/>
      </w:tblGrid>
      <w:tr w14:paraId="2F0F515F">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341" w:type="dxa"/>
            <w:vAlign w:val="center"/>
          </w:tcPr>
          <w:p w14:paraId="0DB59606">
            <w:pPr>
              <w:pStyle w:val="39"/>
              <w:rPr>
                <w:b/>
                <w:color w:val="auto"/>
              </w:rPr>
            </w:pPr>
            <w:r>
              <w:rPr>
                <w:b/>
                <w:color w:val="auto"/>
              </w:rPr>
              <w:t>监测日期</w:t>
            </w:r>
          </w:p>
        </w:tc>
        <w:tc>
          <w:tcPr>
            <w:tcW w:w="1793" w:type="dxa"/>
            <w:vAlign w:val="center"/>
          </w:tcPr>
          <w:p w14:paraId="5A4F07A0">
            <w:pPr>
              <w:pStyle w:val="39"/>
              <w:rPr>
                <w:b/>
                <w:color w:val="auto"/>
              </w:rPr>
            </w:pPr>
            <w:r>
              <w:rPr>
                <w:rFonts w:hint="eastAsia"/>
                <w:b/>
                <w:color w:val="auto"/>
              </w:rPr>
              <w:t>产品名称</w:t>
            </w:r>
          </w:p>
        </w:tc>
        <w:tc>
          <w:tcPr>
            <w:tcW w:w="2355" w:type="dxa"/>
            <w:vAlign w:val="center"/>
          </w:tcPr>
          <w:p w14:paraId="1BB4F2EA">
            <w:pPr>
              <w:pStyle w:val="39"/>
              <w:rPr>
                <w:b/>
                <w:color w:val="auto"/>
              </w:rPr>
            </w:pPr>
            <w:r>
              <w:rPr>
                <w:rFonts w:hint="eastAsia"/>
                <w:b/>
                <w:color w:val="auto"/>
              </w:rPr>
              <w:t>设计生产规模</w:t>
            </w:r>
          </w:p>
        </w:tc>
        <w:tc>
          <w:tcPr>
            <w:tcW w:w="2445" w:type="dxa"/>
            <w:vAlign w:val="center"/>
          </w:tcPr>
          <w:p w14:paraId="1C1A3D16">
            <w:pPr>
              <w:pStyle w:val="39"/>
              <w:rPr>
                <w:b/>
                <w:color w:val="auto"/>
              </w:rPr>
            </w:pPr>
            <w:r>
              <w:rPr>
                <w:rFonts w:hint="eastAsia"/>
                <w:b/>
                <w:color w:val="auto"/>
              </w:rPr>
              <w:t>实际生产规模</w:t>
            </w:r>
          </w:p>
        </w:tc>
        <w:tc>
          <w:tcPr>
            <w:tcW w:w="1355" w:type="dxa"/>
            <w:vAlign w:val="center"/>
          </w:tcPr>
          <w:p w14:paraId="0A4909F2">
            <w:pPr>
              <w:pStyle w:val="39"/>
              <w:rPr>
                <w:b/>
                <w:color w:val="auto"/>
              </w:rPr>
            </w:pPr>
            <w:r>
              <w:rPr>
                <w:b/>
                <w:color w:val="auto"/>
              </w:rPr>
              <w:t>生产负荷</w:t>
            </w:r>
          </w:p>
        </w:tc>
      </w:tr>
      <w:tr w14:paraId="083712BD">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341" w:type="dxa"/>
            <w:vAlign w:val="center"/>
          </w:tcPr>
          <w:p w14:paraId="7D88DEAF">
            <w:pPr>
              <w:pStyle w:val="39"/>
              <w:rPr>
                <w:rFonts w:hint="default" w:eastAsia="宋体"/>
                <w:color w:val="auto"/>
                <w:szCs w:val="21"/>
                <w:lang w:val="en-US" w:eastAsia="zh-CN"/>
              </w:rPr>
            </w:pPr>
            <w:r>
              <w:rPr>
                <w:rFonts w:hint="eastAsia"/>
                <w:color w:val="auto"/>
                <w:szCs w:val="21"/>
                <w:lang w:val="en-US" w:eastAsia="zh-CN"/>
              </w:rPr>
              <w:t>2026.5.7</w:t>
            </w:r>
          </w:p>
        </w:tc>
        <w:tc>
          <w:tcPr>
            <w:tcW w:w="1793" w:type="dxa"/>
            <w:vMerge w:val="restart"/>
            <w:vAlign w:val="center"/>
          </w:tcPr>
          <w:p w14:paraId="7CF2AFE1">
            <w:pPr>
              <w:pStyle w:val="39"/>
              <w:rPr>
                <w:color w:val="auto"/>
                <w:szCs w:val="21"/>
              </w:rPr>
            </w:pPr>
            <w:r>
              <w:rPr>
                <w:rFonts w:hint="default"/>
                <w:color w:val="auto"/>
                <w:szCs w:val="21"/>
              </w:rPr>
              <w:t>汽车配件、钢带</w:t>
            </w:r>
          </w:p>
        </w:tc>
        <w:tc>
          <w:tcPr>
            <w:tcW w:w="2355" w:type="dxa"/>
            <w:vMerge w:val="restart"/>
            <w:vAlign w:val="center"/>
          </w:tcPr>
          <w:p w14:paraId="7031206D">
            <w:pPr>
              <w:pStyle w:val="39"/>
              <w:rPr>
                <w:rFonts w:hint="eastAsia" w:eastAsia="宋体"/>
                <w:color w:val="auto"/>
                <w:szCs w:val="21"/>
                <w:lang w:eastAsia="zh-CN"/>
              </w:rPr>
            </w:pPr>
            <w:r>
              <w:rPr>
                <w:rFonts w:hint="default"/>
                <w:color w:val="auto"/>
                <w:szCs w:val="21"/>
              </w:rPr>
              <w:t>汽车配件</w:t>
            </w:r>
            <w:r>
              <w:rPr>
                <w:rFonts w:hint="eastAsia"/>
                <w:color w:val="auto"/>
                <w:szCs w:val="21"/>
                <w:lang w:val="en-US" w:eastAsia="zh-CN"/>
              </w:rPr>
              <w:t>26.67吨</w:t>
            </w:r>
            <w:r>
              <w:rPr>
                <w:rFonts w:hint="eastAsia"/>
                <w:color w:val="auto"/>
                <w:szCs w:val="21"/>
              </w:rPr>
              <w:t>/天</w:t>
            </w:r>
            <w:r>
              <w:rPr>
                <w:rFonts w:hint="eastAsia"/>
                <w:color w:val="auto"/>
                <w:szCs w:val="21"/>
                <w:lang w:eastAsia="zh-CN"/>
              </w:rPr>
              <w:t>；</w:t>
            </w:r>
          </w:p>
          <w:p w14:paraId="198ED9D4">
            <w:pPr>
              <w:pStyle w:val="39"/>
              <w:rPr>
                <w:rFonts w:hint="default" w:eastAsia="宋体"/>
                <w:color w:val="auto"/>
                <w:szCs w:val="21"/>
                <w:lang w:val="en-US" w:eastAsia="zh-CN"/>
              </w:rPr>
            </w:pPr>
            <w:r>
              <w:rPr>
                <w:rFonts w:hint="eastAsia"/>
                <w:color w:val="auto"/>
                <w:szCs w:val="21"/>
                <w:lang w:val="en-US" w:eastAsia="zh-CN"/>
              </w:rPr>
              <w:t>钢带1.93吨</w:t>
            </w:r>
            <w:r>
              <w:rPr>
                <w:rFonts w:hint="eastAsia"/>
                <w:color w:val="auto"/>
                <w:szCs w:val="21"/>
              </w:rPr>
              <w:t>/天</w:t>
            </w:r>
          </w:p>
        </w:tc>
        <w:tc>
          <w:tcPr>
            <w:tcW w:w="2445" w:type="dxa"/>
            <w:vAlign w:val="center"/>
          </w:tcPr>
          <w:p w14:paraId="730AFB10">
            <w:pPr>
              <w:pStyle w:val="39"/>
              <w:rPr>
                <w:rFonts w:hint="eastAsia" w:eastAsia="宋体"/>
                <w:color w:val="auto"/>
                <w:szCs w:val="21"/>
                <w:lang w:eastAsia="zh-CN"/>
              </w:rPr>
            </w:pPr>
            <w:r>
              <w:rPr>
                <w:rFonts w:hint="default"/>
                <w:color w:val="auto"/>
                <w:szCs w:val="21"/>
              </w:rPr>
              <w:t>汽车配件</w:t>
            </w:r>
            <w:r>
              <w:rPr>
                <w:rFonts w:hint="eastAsia"/>
                <w:color w:val="auto"/>
                <w:szCs w:val="21"/>
                <w:lang w:val="en-US" w:eastAsia="zh-CN"/>
              </w:rPr>
              <w:t>26吨</w:t>
            </w:r>
            <w:r>
              <w:rPr>
                <w:rFonts w:hint="eastAsia"/>
                <w:color w:val="auto"/>
                <w:szCs w:val="21"/>
              </w:rPr>
              <w:t>/天</w:t>
            </w:r>
            <w:r>
              <w:rPr>
                <w:rFonts w:hint="eastAsia"/>
                <w:color w:val="auto"/>
                <w:szCs w:val="21"/>
                <w:lang w:eastAsia="zh-CN"/>
              </w:rPr>
              <w:t>；</w:t>
            </w:r>
          </w:p>
          <w:p w14:paraId="47683462">
            <w:pPr>
              <w:pStyle w:val="39"/>
              <w:rPr>
                <w:color w:val="auto"/>
                <w:szCs w:val="21"/>
              </w:rPr>
            </w:pPr>
            <w:r>
              <w:rPr>
                <w:rFonts w:hint="eastAsia"/>
                <w:color w:val="auto"/>
                <w:szCs w:val="21"/>
                <w:lang w:val="en-US" w:eastAsia="zh-CN"/>
              </w:rPr>
              <w:t>钢带1.88吨</w:t>
            </w:r>
            <w:r>
              <w:rPr>
                <w:rFonts w:hint="eastAsia"/>
                <w:color w:val="auto"/>
                <w:szCs w:val="21"/>
              </w:rPr>
              <w:t>/天</w:t>
            </w:r>
          </w:p>
        </w:tc>
        <w:tc>
          <w:tcPr>
            <w:tcW w:w="1355" w:type="dxa"/>
            <w:vAlign w:val="center"/>
          </w:tcPr>
          <w:p w14:paraId="06D3D8F6">
            <w:pPr>
              <w:pStyle w:val="39"/>
              <w:rPr>
                <w:color w:val="auto"/>
                <w:szCs w:val="21"/>
              </w:rPr>
            </w:pPr>
            <w:r>
              <w:rPr>
                <w:rFonts w:hint="eastAsia"/>
                <w:color w:val="auto"/>
                <w:szCs w:val="21"/>
                <w:lang w:val="en-US" w:eastAsia="zh-CN"/>
              </w:rPr>
              <w:t>97.5</w:t>
            </w:r>
            <w:r>
              <w:rPr>
                <w:rFonts w:hint="eastAsia"/>
                <w:color w:val="auto"/>
                <w:szCs w:val="21"/>
              </w:rPr>
              <w:t>%</w:t>
            </w:r>
          </w:p>
        </w:tc>
      </w:tr>
      <w:tr w14:paraId="3A8B4267">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341" w:type="dxa"/>
            <w:vAlign w:val="center"/>
          </w:tcPr>
          <w:p w14:paraId="79B175C9">
            <w:pPr>
              <w:pStyle w:val="39"/>
              <w:rPr>
                <w:rFonts w:hint="default" w:eastAsia="宋体"/>
                <w:color w:val="auto"/>
                <w:lang w:val="en-US" w:eastAsia="zh-CN"/>
              </w:rPr>
            </w:pPr>
            <w:r>
              <w:rPr>
                <w:rFonts w:hint="eastAsia"/>
                <w:color w:val="auto"/>
                <w:lang w:val="en-US" w:eastAsia="zh-CN"/>
              </w:rPr>
              <w:t>2026.5.30-2026.5.31</w:t>
            </w:r>
          </w:p>
        </w:tc>
        <w:tc>
          <w:tcPr>
            <w:tcW w:w="1793" w:type="dxa"/>
            <w:vMerge w:val="continue"/>
            <w:vAlign w:val="center"/>
          </w:tcPr>
          <w:p w14:paraId="61D69159">
            <w:pPr>
              <w:pStyle w:val="39"/>
              <w:rPr>
                <w:color w:val="auto"/>
                <w:szCs w:val="21"/>
              </w:rPr>
            </w:pPr>
          </w:p>
        </w:tc>
        <w:tc>
          <w:tcPr>
            <w:tcW w:w="2355" w:type="dxa"/>
            <w:vMerge w:val="continue"/>
            <w:vAlign w:val="center"/>
          </w:tcPr>
          <w:p w14:paraId="3A6F8385">
            <w:pPr>
              <w:pStyle w:val="39"/>
              <w:rPr>
                <w:color w:val="auto"/>
                <w:szCs w:val="21"/>
              </w:rPr>
            </w:pPr>
          </w:p>
        </w:tc>
        <w:tc>
          <w:tcPr>
            <w:tcW w:w="2445" w:type="dxa"/>
            <w:vAlign w:val="center"/>
          </w:tcPr>
          <w:p w14:paraId="632F002B">
            <w:pPr>
              <w:pStyle w:val="39"/>
              <w:rPr>
                <w:rFonts w:hint="eastAsia" w:eastAsia="宋体"/>
                <w:color w:val="auto"/>
                <w:szCs w:val="21"/>
                <w:lang w:eastAsia="zh-CN"/>
              </w:rPr>
            </w:pPr>
            <w:r>
              <w:rPr>
                <w:rFonts w:hint="default"/>
                <w:color w:val="auto"/>
                <w:szCs w:val="21"/>
              </w:rPr>
              <w:t>汽车配件</w:t>
            </w:r>
            <w:r>
              <w:rPr>
                <w:rFonts w:hint="eastAsia"/>
                <w:color w:val="auto"/>
                <w:szCs w:val="21"/>
                <w:lang w:val="en-US" w:eastAsia="zh-CN"/>
              </w:rPr>
              <w:t>24.9吨</w:t>
            </w:r>
            <w:r>
              <w:rPr>
                <w:rFonts w:hint="eastAsia"/>
                <w:color w:val="auto"/>
                <w:szCs w:val="21"/>
              </w:rPr>
              <w:t>/天</w:t>
            </w:r>
            <w:r>
              <w:rPr>
                <w:rFonts w:hint="eastAsia"/>
                <w:color w:val="auto"/>
                <w:szCs w:val="21"/>
                <w:lang w:eastAsia="zh-CN"/>
              </w:rPr>
              <w:t>；</w:t>
            </w:r>
          </w:p>
          <w:p w14:paraId="4898DA4A">
            <w:pPr>
              <w:pStyle w:val="39"/>
              <w:rPr>
                <w:color w:val="auto"/>
                <w:szCs w:val="21"/>
              </w:rPr>
            </w:pPr>
            <w:r>
              <w:rPr>
                <w:rFonts w:hint="eastAsia"/>
                <w:color w:val="auto"/>
                <w:szCs w:val="21"/>
                <w:lang w:val="en-US" w:eastAsia="zh-CN"/>
              </w:rPr>
              <w:t>钢带1.8吨</w:t>
            </w:r>
            <w:r>
              <w:rPr>
                <w:rFonts w:hint="eastAsia"/>
                <w:color w:val="auto"/>
                <w:szCs w:val="21"/>
              </w:rPr>
              <w:t>/天</w:t>
            </w:r>
          </w:p>
        </w:tc>
        <w:tc>
          <w:tcPr>
            <w:tcW w:w="1355" w:type="dxa"/>
            <w:vAlign w:val="center"/>
          </w:tcPr>
          <w:p w14:paraId="28009CC7">
            <w:pPr>
              <w:pStyle w:val="39"/>
              <w:rPr>
                <w:color w:val="auto"/>
              </w:rPr>
            </w:pPr>
            <w:r>
              <w:rPr>
                <w:rFonts w:hint="eastAsia"/>
                <w:color w:val="auto"/>
                <w:szCs w:val="21"/>
                <w:lang w:val="en-US" w:eastAsia="zh-CN"/>
              </w:rPr>
              <w:t>93.3</w:t>
            </w:r>
            <w:r>
              <w:rPr>
                <w:rFonts w:hint="eastAsia"/>
                <w:color w:val="auto"/>
                <w:szCs w:val="21"/>
              </w:rPr>
              <w:t>%</w:t>
            </w:r>
          </w:p>
        </w:tc>
      </w:tr>
      <w:tr w14:paraId="31127AF5">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289" w:type="dxa"/>
            <w:gridSpan w:val="5"/>
            <w:vAlign w:val="center"/>
          </w:tcPr>
          <w:p w14:paraId="09B99EEC">
            <w:pPr>
              <w:pStyle w:val="39"/>
              <w:rPr>
                <w:color w:val="auto"/>
                <w:szCs w:val="21"/>
              </w:rPr>
            </w:pPr>
            <w:r>
              <w:rPr>
                <w:rFonts w:hint="eastAsia"/>
                <w:color w:val="auto"/>
                <w:szCs w:val="21"/>
              </w:rPr>
              <w:t>该生产负荷为新乡市万宝科技有限公司提供</w:t>
            </w:r>
          </w:p>
        </w:tc>
      </w:tr>
    </w:tbl>
    <w:p w14:paraId="3F98F772">
      <w:pPr>
        <w:ind w:firstLine="480"/>
        <w:rPr>
          <w:rFonts w:cs="Times New Roman"/>
          <w:color w:val="auto"/>
        </w:rPr>
      </w:pPr>
      <w:r>
        <w:rPr>
          <w:rFonts w:cs="Times New Roman"/>
          <w:color w:val="auto"/>
        </w:rPr>
        <w:t>验收监测期间，生产负荷达到</w:t>
      </w:r>
      <w:r>
        <w:rPr>
          <w:rFonts w:hint="eastAsia" w:cs="Times New Roman"/>
          <w:color w:val="auto"/>
          <w:lang w:val="en-US" w:eastAsia="zh-CN"/>
        </w:rPr>
        <w:t>93.3</w:t>
      </w:r>
      <w:r>
        <w:rPr>
          <w:rFonts w:cs="Times New Roman"/>
          <w:color w:val="auto"/>
        </w:rPr>
        <w:t>%~9</w:t>
      </w:r>
      <w:r>
        <w:rPr>
          <w:rFonts w:hint="eastAsia" w:cs="Times New Roman"/>
          <w:color w:val="auto"/>
          <w:lang w:val="en-US" w:eastAsia="zh-CN"/>
        </w:rPr>
        <w:t>7.5</w:t>
      </w:r>
      <w:r>
        <w:rPr>
          <w:rFonts w:cs="Times New Roman"/>
          <w:color w:val="auto"/>
        </w:rPr>
        <w:t>%，主体工程调试工况稳定、环境保护设施运行正常。符合验收监测期间对生产工况的要求</w:t>
      </w:r>
    </w:p>
    <w:p w14:paraId="6A59B99C">
      <w:pPr>
        <w:pStyle w:val="3"/>
        <w:spacing w:before="163" w:after="163"/>
        <w:ind w:firstLine="643"/>
        <w:rPr>
          <w:rFonts w:cs="Times New Roman"/>
          <w:color w:val="auto"/>
        </w:rPr>
      </w:pPr>
      <w:bookmarkStart w:id="49" w:name="_Toc172712308"/>
      <w:r>
        <w:rPr>
          <w:rFonts w:cs="Times New Roman"/>
          <w:color w:val="auto"/>
        </w:rPr>
        <w:t>9.2环保设施调试运行效果</w:t>
      </w:r>
      <w:bookmarkEnd w:id="49"/>
    </w:p>
    <w:p w14:paraId="0F3296C7">
      <w:pPr>
        <w:pStyle w:val="4"/>
        <w:ind w:firstLine="562"/>
        <w:rPr>
          <w:rFonts w:cs="Times New Roman"/>
          <w:color w:val="auto"/>
        </w:rPr>
      </w:pPr>
      <w:r>
        <w:rPr>
          <w:rFonts w:cs="Times New Roman"/>
          <w:color w:val="auto"/>
        </w:rPr>
        <w:t>9.2.1污染物排放监测结果</w:t>
      </w:r>
    </w:p>
    <w:p w14:paraId="4C9A6DA6">
      <w:pPr>
        <w:pStyle w:val="5"/>
        <w:ind w:firstLine="482"/>
        <w:rPr>
          <w:rFonts w:cs="Times New Roman"/>
          <w:color w:val="auto"/>
        </w:rPr>
      </w:pPr>
      <w:r>
        <w:rPr>
          <w:rFonts w:hint="eastAsia" w:cs="Times New Roman"/>
          <w:color w:val="auto"/>
        </w:rPr>
        <w:t>9</w:t>
      </w:r>
      <w:r>
        <w:rPr>
          <w:rFonts w:cs="Times New Roman"/>
          <w:color w:val="auto"/>
        </w:rPr>
        <w:t>.2.1.1</w:t>
      </w:r>
      <w:r>
        <w:rPr>
          <w:rFonts w:hint="eastAsia" w:cs="Times New Roman"/>
          <w:color w:val="auto"/>
        </w:rPr>
        <w:t>废水</w:t>
      </w:r>
    </w:p>
    <w:p w14:paraId="63E79ABE">
      <w:pPr>
        <w:ind w:firstLine="480"/>
        <w:jc w:val="both"/>
        <w:rPr>
          <w:rFonts w:cs="Times New Roman"/>
          <w:color w:val="auto"/>
        </w:rPr>
      </w:pPr>
      <w:bookmarkStart w:id="50" w:name="_Hlk101345581"/>
      <w:r>
        <w:rPr>
          <w:rFonts w:hint="eastAsia" w:cs="Times New Roman"/>
          <w:color w:val="auto"/>
        </w:rPr>
        <w:t>本项目废水主要为含铬废水、含镍废水、</w:t>
      </w:r>
      <w:r>
        <w:rPr>
          <w:rFonts w:hint="eastAsia" w:cs="Times New Roman"/>
          <w:color w:val="auto"/>
          <w:lang w:val="en-US" w:eastAsia="zh-CN"/>
        </w:rPr>
        <w:t>车间地面清洗废水、含锌废水、含油废水、含酸废水、</w:t>
      </w:r>
      <w:r>
        <w:rPr>
          <w:rFonts w:hint="eastAsia" w:cs="Times New Roman"/>
          <w:color w:val="auto"/>
        </w:rPr>
        <w:t>生活污水</w:t>
      </w:r>
      <w:r>
        <w:rPr>
          <w:rFonts w:hint="eastAsia" w:cs="Times New Roman"/>
          <w:color w:val="auto"/>
          <w:lang w:eastAsia="zh-CN"/>
        </w:rPr>
        <w:t>、</w:t>
      </w:r>
      <w:r>
        <w:rPr>
          <w:rFonts w:hint="eastAsia" w:cs="Times New Roman"/>
          <w:color w:val="auto"/>
          <w:lang w:val="en-US" w:eastAsia="zh-CN"/>
        </w:rPr>
        <w:t>纯水制备浓水及冲压冷却水</w:t>
      </w:r>
      <w:r>
        <w:rPr>
          <w:rFonts w:hint="eastAsia" w:cs="Times New Roman"/>
          <w:color w:val="auto"/>
        </w:rPr>
        <w:t>。</w:t>
      </w:r>
    </w:p>
    <w:p w14:paraId="47285B91">
      <w:pPr>
        <w:ind w:firstLine="480"/>
        <w:jc w:val="both"/>
        <w:rPr>
          <w:rFonts w:cs="Times New Roman"/>
          <w:color w:val="auto"/>
        </w:rPr>
      </w:pPr>
      <w:r>
        <w:rPr>
          <w:rFonts w:hint="eastAsia" w:cs="Times New Roman"/>
          <w:color w:val="auto"/>
        </w:rPr>
        <w:t>①含铬废水</w:t>
      </w:r>
      <w:r>
        <w:rPr>
          <w:rFonts w:hint="eastAsia" w:cs="Times New Roman"/>
          <w:color w:val="auto"/>
          <w:lang w:val="en-US" w:eastAsia="zh-CN"/>
        </w:rPr>
        <w:t>依托现有一套</w:t>
      </w:r>
      <w:r>
        <w:rPr>
          <w:rFonts w:hint="eastAsia" w:cs="Times New Roman"/>
          <w:color w:val="auto"/>
        </w:rPr>
        <w:t>含铬废水处理系统（调节+还原+混凝沉淀+砂滤+碳滤+超滤+反渗透+蒸发）处理后回用。</w:t>
      </w:r>
    </w:p>
    <w:p w14:paraId="724D9CC5">
      <w:pPr>
        <w:ind w:firstLine="480"/>
        <w:jc w:val="both"/>
        <w:rPr>
          <w:rFonts w:cs="Times New Roman"/>
          <w:color w:val="auto"/>
        </w:rPr>
      </w:pPr>
      <w:r>
        <w:rPr>
          <w:rFonts w:hint="eastAsia" w:cs="Times New Roman"/>
          <w:color w:val="auto"/>
        </w:rPr>
        <w:t>②含镍废水</w:t>
      </w:r>
      <w:r>
        <w:rPr>
          <w:rFonts w:hint="eastAsia" w:cs="Times New Roman"/>
          <w:color w:val="auto"/>
          <w:lang w:val="en-US" w:eastAsia="zh-CN"/>
        </w:rPr>
        <w:t>依托现有一套</w:t>
      </w:r>
      <w:r>
        <w:rPr>
          <w:rFonts w:hint="eastAsia" w:cs="Times New Roman"/>
          <w:color w:val="auto"/>
        </w:rPr>
        <w:t>含镍废水处理系统（调节+混凝沉淀+砂滤+碳滤+超滤+反渗透+蒸发）处理后回用。</w:t>
      </w:r>
    </w:p>
    <w:p w14:paraId="45E1839C">
      <w:pPr>
        <w:ind w:firstLine="480"/>
        <w:jc w:val="both"/>
        <w:rPr>
          <w:rFonts w:hint="eastAsia" w:cs="Times New Roman"/>
          <w:color w:val="auto"/>
          <w:lang w:val="en-US" w:eastAsia="zh-CN"/>
        </w:rPr>
      </w:pPr>
      <w:r>
        <w:rPr>
          <w:rFonts w:hint="eastAsia" w:cs="Times New Roman"/>
          <w:color w:val="auto"/>
        </w:rPr>
        <w:t>③</w:t>
      </w:r>
      <w:r>
        <w:rPr>
          <w:rFonts w:hint="eastAsia" w:cs="Times New Roman"/>
          <w:color w:val="auto"/>
          <w:lang w:val="en-US" w:eastAsia="zh-CN"/>
        </w:rPr>
        <w:t>车间地面清洗废水经一套含高COD废水处理系统（调节+芬顿高级氧化+混凝沉淀+砂滤+碳滤+超滤+反渗透+蒸发）处理后回用。</w:t>
      </w:r>
    </w:p>
    <w:p w14:paraId="6A7FF482">
      <w:pPr>
        <w:ind w:firstLine="480"/>
        <w:jc w:val="both"/>
        <w:rPr>
          <w:rFonts w:hint="default" w:cs="Times New Roman"/>
          <w:color w:val="auto"/>
          <w:lang w:val="en-US" w:eastAsia="zh-CN"/>
        </w:rPr>
      </w:pPr>
      <w:r>
        <w:rPr>
          <w:rFonts w:hint="default" w:cs="Times New Roman"/>
          <w:color w:val="auto"/>
          <w:lang w:val="en-US" w:eastAsia="zh-CN"/>
        </w:rPr>
        <w:t>④</w:t>
      </w:r>
      <w:r>
        <w:rPr>
          <w:rFonts w:hint="eastAsia" w:cs="Times New Roman"/>
          <w:color w:val="auto"/>
          <w:lang w:val="en-US" w:eastAsia="zh-CN"/>
        </w:rPr>
        <w:t>含锌废水经一套含锌废水处理系统（调节+混凝沉淀+砂滤+碳滤+超滤+反渗透+蒸发）处理后回用。</w:t>
      </w:r>
    </w:p>
    <w:p w14:paraId="0283718A">
      <w:pPr>
        <w:ind w:firstLine="480"/>
        <w:jc w:val="both"/>
        <w:rPr>
          <w:rFonts w:cs="Times New Roman"/>
          <w:color w:val="auto"/>
        </w:rPr>
      </w:pPr>
      <w:r>
        <w:rPr>
          <w:rFonts w:hint="eastAsia" w:cs="Times New Roman"/>
          <w:color w:val="auto"/>
          <w:lang w:val="en-US" w:eastAsia="zh-CN"/>
        </w:rPr>
        <w:t>⑤含油废水经槽体破乳及气浮后、含酸废水经一套含酸废水处理系统（还原+两级化学沉淀）处理后一同送入现有综合废水处理系统（</w:t>
      </w:r>
      <w:r>
        <w:rPr>
          <w:rFonts w:hint="default" w:ascii="Times New Roman" w:hAnsi="Times New Roman" w:eastAsia="宋体" w:cs="Times New Roman"/>
          <w:color w:val="auto"/>
        </w:rPr>
        <w:t>调节+混凝沉淀+水解酸化+接触氧化+二沉池</w:t>
      </w:r>
      <w:r>
        <w:rPr>
          <w:rFonts w:hint="eastAsia" w:cs="Times New Roman"/>
          <w:color w:val="auto"/>
        </w:rPr>
        <w:t>）处理，综合废水经处理后在总排口与生活污水（化粪池处理后）和纯水制备</w:t>
      </w:r>
      <w:r>
        <w:rPr>
          <w:rFonts w:hint="eastAsia" w:cs="Times New Roman"/>
          <w:color w:val="auto"/>
          <w:lang w:val="en-US" w:eastAsia="zh-CN"/>
        </w:rPr>
        <w:t>浓水、冲压冷却水</w:t>
      </w:r>
      <w:r>
        <w:rPr>
          <w:rFonts w:hint="eastAsia" w:cs="Times New Roman"/>
          <w:color w:val="auto"/>
        </w:rPr>
        <w:t>一起排放。</w:t>
      </w:r>
      <w:bookmarkEnd w:id="50"/>
    </w:p>
    <w:p w14:paraId="6E1BF9DC">
      <w:pPr>
        <w:pStyle w:val="40"/>
        <w:spacing w:beforeLines="0" w:line="520" w:lineRule="exact"/>
        <w:rPr>
          <w:color w:val="FF0000"/>
        </w:rPr>
        <w:sectPr>
          <w:pgSz w:w="11906" w:h="16838"/>
          <w:pgMar w:top="1417" w:right="1417" w:bottom="1417" w:left="1417" w:header="851" w:footer="992" w:gutter="0"/>
          <w:cols w:space="425" w:num="1"/>
          <w:docGrid w:type="lines" w:linePitch="326" w:charSpace="0"/>
        </w:sectPr>
      </w:pPr>
    </w:p>
    <w:p w14:paraId="2098B016">
      <w:pPr>
        <w:pStyle w:val="40"/>
        <w:spacing w:beforeLines="0" w:line="520" w:lineRule="exact"/>
        <w:rPr>
          <w:rFonts w:hint="eastAsia" w:eastAsia="黑体"/>
          <w:color w:val="auto"/>
          <w:lang w:eastAsia="zh-CN"/>
        </w:rPr>
      </w:pPr>
      <w:r>
        <w:rPr>
          <w:color w:val="auto"/>
        </w:rPr>
        <w:t>表9-</w:t>
      </w:r>
      <w:r>
        <w:rPr>
          <w:rFonts w:hint="eastAsia"/>
          <w:color w:val="auto"/>
        </w:rPr>
        <w:t>4</w:t>
      </w:r>
      <w:r>
        <w:rPr>
          <w:color w:val="auto"/>
        </w:rPr>
        <w:t xml:space="preserve">                      </w:t>
      </w:r>
      <w:r>
        <w:rPr>
          <w:rFonts w:hint="eastAsia"/>
          <w:color w:val="auto"/>
          <w:lang w:val="en-US" w:eastAsia="zh-CN"/>
        </w:rPr>
        <w:t xml:space="preserve">                                            </w:t>
      </w:r>
      <w:r>
        <w:rPr>
          <w:color w:val="auto"/>
        </w:rPr>
        <w:t xml:space="preserve">       </w:t>
      </w:r>
      <w:r>
        <w:rPr>
          <w:rFonts w:hint="eastAsia"/>
          <w:color w:val="auto"/>
        </w:rPr>
        <w:t>废水监测结果一览表</w:t>
      </w:r>
      <w:r>
        <w:rPr>
          <w:rFonts w:hint="eastAsia"/>
          <w:color w:val="auto"/>
          <w:lang w:val="en-US" w:eastAsia="zh-CN"/>
        </w:rPr>
        <w:t xml:space="preserve"> </w:t>
      </w:r>
    </w:p>
    <w:tbl>
      <w:tblPr>
        <w:tblStyle w:val="27"/>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988"/>
        <w:gridCol w:w="992"/>
        <w:gridCol w:w="992"/>
        <w:gridCol w:w="1006"/>
        <w:gridCol w:w="1009"/>
        <w:gridCol w:w="1009"/>
        <w:gridCol w:w="1009"/>
        <w:gridCol w:w="1009"/>
        <w:gridCol w:w="1009"/>
        <w:gridCol w:w="1009"/>
        <w:gridCol w:w="1009"/>
        <w:gridCol w:w="1009"/>
        <w:gridCol w:w="1171"/>
      </w:tblGrid>
      <w:tr w14:paraId="29C39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348" w:type="pct"/>
            <w:tcBorders>
              <w:tl2br w:val="nil"/>
              <w:tr2bl w:val="nil"/>
            </w:tcBorders>
            <w:noWrap w:val="0"/>
            <w:vAlign w:val="center"/>
          </w:tcPr>
          <w:p w14:paraId="2745A845">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bidi="ar-SA"/>
              </w:rPr>
              <w:t>采样时间</w:t>
            </w:r>
          </w:p>
        </w:tc>
        <w:tc>
          <w:tcPr>
            <w:tcW w:w="348" w:type="pct"/>
            <w:tcBorders>
              <w:tl2br w:val="nil"/>
              <w:tr2bl w:val="nil"/>
            </w:tcBorders>
            <w:noWrap w:val="0"/>
            <w:vAlign w:val="center"/>
          </w:tcPr>
          <w:p w14:paraId="0CF819E1">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default" w:ascii="Times New Roman" w:hAnsi="Times New Roman" w:eastAsia="宋体" w:cs="Times New Roman"/>
                <w:b/>
                <w:bCs/>
                <w:color w:val="auto"/>
                <w:sz w:val="21"/>
                <w:szCs w:val="21"/>
                <w:highlight w:val="none"/>
                <w:vertAlign w:val="baseline"/>
                <w:lang w:val="en-US" w:eastAsia="zh-CN" w:bidi="ar-SA"/>
              </w:rPr>
            </w:pPr>
            <w:r>
              <w:rPr>
                <w:rFonts w:hint="default" w:ascii="Times New Roman" w:hAnsi="Times New Roman" w:eastAsia="宋体" w:cs="Times New Roman"/>
                <w:b/>
                <w:bCs/>
                <w:color w:val="auto"/>
                <w:sz w:val="21"/>
                <w:szCs w:val="21"/>
                <w:highlight w:val="none"/>
                <w:vertAlign w:val="baseline"/>
                <w:lang w:val="en-US" w:eastAsia="zh-CN"/>
              </w:rPr>
              <w:t>检测点位</w:t>
            </w:r>
          </w:p>
        </w:tc>
        <w:tc>
          <w:tcPr>
            <w:tcW w:w="349" w:type="pct"/>
            <w:tcBorders>
              <w:tl2br w:val="nil"/>
              <w:tr2bl w:val="nil"/>
            </w:tcBorders>
            <w:noWrap w:val="0"/>
            <w:vAlign w:val="center"/>
          </w:tcPr>
          <w:p w14:paraId="04BE7E66">
            <w:pPr>
              <w:keepNext w:val="0"/>
              <w:keepLines w:val="0"/>
              <w:pageBreakBefore w:val="0"/>
              <w:widowControl/>
              <w:kinsoku/>
              <w:wordWrap/>
              <w:overflowPunct/>
              <w:topLinePunct w:val="0"/>
              <w:autoSpaceDE/>
              <w:autoSpaceDN/>
              <w:bidi w:val="0"/>
              <w:adjustRightInd/>
              <w:snapToGrid/>
              <w:spacing w:line="240" w:lineRule="auto"/>
              <w:ind w:left="-240" w:leftChars="-100" w:right="-240" w:rightChars="-100" w:firstLine="0" w:firstLineChars="0"/>
              <w:jc w:val="center"/>
              <w:textAlignment w:val="auto"/>
              <w:rPr>
                <w:rFonts w:hint="default" w:ascii="Times New Roman" w:hAnsi="Times New Roman" w:cs="Times New Roman"/>
                <w:sz w:val="21"/>
                <w:szCs w:val="21"/>
                <w:vertAlign w:val="baseline"/>
                <w:lang w:val="en-US" w:eastAsia="zh-CN"/>
              </w:rPr>
            </w:pPr>
            <w:r>
              <w:rPr>
                <w:rFonts w:hint="default" w:ascii="Times New Roman" w:hAnsi="Times New Roman" w:cs="Times New Roman"/>
                <w:b/>
                <w:bCs/>
                <w:sz w:val="21"/>
                <w:szCs w:val="21"/>
                <w:vertAlign w:val="baseline"/>
                <w:lang w:val="en-US" w:eastAsia="zh-CN"/>
              </w:rPr>
              <w:t>采样频次</w:t>
            </w:r>
          </w:p>
        </w:tc>
        <w:tc>
          <w:tcPr>
            <w:tcW w:w="349" w:type="pct"/>
            <w:tcBorders>
              <w:tl2br w:val="nil"/>
              <w:tr2bl w:val="nil"/>
            </w:tcBorders>
            <w:noWrap w:val="0"/>
            <w:vAlign w:val="center"/>
          </w:tcPr>
          <w:p w14:paraId="68A2F269">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化学</w:t>
            </w:r>
          </w:p>
          <w:p w14:paraId="4EE40A0E">
            <w:pPr>
              <w:keepNext w:val="0"/>
              <w:keepLines w:val="0"/>
              <w:pageBreakBefore w:val="0"/>
              <w:widowControl/>
              <w:kinsoku/>
              <w:wordWrap/>
              <w:overflowPunct/>
              <w:topLinePunct w:val="0"/>
              <w:autoSpaceDE/>
              <w:autoSpaceDN/>
              <w:bidi w:val="0"/>
              <w:adjustRightInd/>
              <w:snapToGrid/>
              <w:spacing w:line="240" w:lineRule="auto"/>
              <w:ind w:left="-240" w:leftChars="-100" w:right="-240" w:rightChars="-100" w:firstLine="0" w:firstLineChars="0"/>
              <w:jc w:val="center"/>
              <w:textAlignment w:val="auto"/>
              <w:rPr>
                <w:rFonts w:hint="default" w:ascii="Times New Roman" w:hAnsi="Times New Roman" w:cs="Times New Roman"/>
                <w:b/>
                <w:bCs/>
                <w:sz w:val="21"/>
                <w:szCs w:val="21"/>
                <w:vertAlign w:val="baseline"/>
                <w:lang w:val="en-US" w:eastAsia="zh-CN"/>
              </w:rPr>
            </w:pPr>
            <w:r>
              <w:rPr>
                <w:rFonts w:hint="default" w:ascii="Times New Roman" w:hAnsi="Times New Roman" w:eastAsia="宋体" w:cs="Times New Roman"/>
                <w:b/>
                <w:bCs/>
                <w:sz w:val="21"/>
                <w:szCs w:val="21"/>
                <w:lang w:val="en-US" w:eastAsia="zh-CN"/>
              </w:rPr>
              <w:t>需氧量</w:t>
            </w:r>
          </w:p>
        </w:tc>
        <w:tc>
          <w:tcPr>
            <w:tcW w:w="354" w:type="pct"/>
            <w:tcBorders>
              <w:tl2br w:val="nil"/>
              <w:tr2bl w:val="nil"/>
            </w:tcBorders>
            <w:noWrap w:val="0"/>
            <w:vAlign w:val="center"/>
          </w:tcPr>
          <w:p w14:paraId="117708C3">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eastAsia" w:ascii="Times New Roman" w:hAnsi="Times New Roman" w:eastAsia="宋体" w:cs="Times New Roman"/>
                <w:b w:val="0"/>
                <w:bCs w:val="0"/>
                <w:color w:val="000000"/>
                <w:sz w:val="21"/>
                <w:szCs w:val="21"/>
                <w:highlight w:val="none"/>
                <w:vertAlign w:val="baseline"/>
                <w:lang w:val="en-US" w:eastAsia="zh-CN" w:bidi="ar-SA"/>
              </w:rPr>
            </w:pPr>
            <w:r>
              <w:rPr>
                <w:rFonts w:hint="default" w:ascii="Times New Roman" w:hAnsi="Times New Roman" w:eastAsia="宋体" w:cs="Times New Roman"/>
                <w:b/>
                <w:bCs/>
                <w:sz w:val="21"/>
                <w:szCs w:val="21"/>
                <w:lang w:val="en-US" w:eastAsia="zh-CN"/>
              </w:rPr>
              <w:t>悬浮物</w:t>
            </w:r>
          </w:p>
        </w:tc>
        <w:tc>
          <w:tcPr>
            <w:tcW w:w="355" w:type="pct"/>
            <w:tcBorders>
              <w:tl2br w:val="nil"/>
              <w:tr2bl w:val="nil"/>
            </w:tcBorders>
            <w:noWrap w:val="0"/>
            <w:vAlign w:val="center"/>
          </w:tcPr>
          <w:p w14:paraId="11E4EB8A">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eastAsia" w:ascii="Times New Roman" w:hAnsi="Times New Roman" w:eastAsia="宋体" w:cs="Times New Roman"/>
                <w:b w:val="0"/>
                <w:bCs w:val="0"/>
                <w:color w:val="000000"/>
                <w:sz w:val="21"/>
                <w:szCs w:val="21"/>
                <w:highlight w:val="none"/>
                <w:vertAlign w:val="baseline"/>
                <w:lang w:val="en-US" w:eastAsia="zh-CN" w:bidi="ar-SA"/>
              </w:rPr>
            </w:pPr>
            <w:r>
              <w:rPr>
                <w:rFonts w:hint="eastAsia" w:ascii="Times New Roman" w:hAnsi="Times New Roman" w:eastAsia="宋体" w:cs="Times New Roman"/>
                <w:b/>
                <w:bCs/>
                <w:sz w:val="21"/>
                <w:szCs w:val="21"/>
                <w:lang w:val="en-US" w:eastAsia="zh-CN"/>
              </w:rPr>
              <w:t>氨氮</w:t>
            </w:r>
          </w:p>
        </w:tc>
        <w:tc>
          <w:tcPr>
            <w:tcW w:w="355" w:type="pct"/>
            <w:tcBorders>
              <w:tl2br w:val="nil"/>
              <w:tr2bl w:val="nil"/>
            </w:tcBorders>
            <w:noWrap w:val="0"/>
            <w:vAlign w:val="center"/>
          </w:tcPr>
          <w:p w14:paraId="364270DF">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default" w:ascii="Times New Roman" w:hAnsi="Times New Roman" w:eastAsia="宋体" w:cs="Times New Roman"/>
                <w:b/>
                <w:bCs/>
                <w:sz w:val="21"/>
                <w:szCs w:val="21"/>
                <w:lang w:val="en-US" w:eastAsia="zh-CN" w:bidi="ar-SA"/>
              </w:rPr>
            </w:pPr>
            <w:r>
              <w:rPr>
                <w:rFonts w:hint="eastAsia" w:ascii="Times New Roman" w:hAnsi="Times New Roman" w:eastAsia="宋体" w:cs="Times New Roman"/>
                <w:b/>
                <w:bCs/>
                <w:sz w:val="21"/>
                <w:szCs w:val="21"/>
                <w:lang w:val="en-US" w:eastAsia="zh-CN"/>
              </w:rPr>
              <w:t>总磷</w:t>
            </w:r>
          </w:p>
        </w:tc>
        <w:tc>
          <w:tcPr>
            <w:tcW w:w="355" w:type="pct"/>
            <w:tcBorders>
              <w:tl2br w:val="nil"/>
              <w:tr2bl w:val="nil"/>
            </w:tcBorders>
            <w:noWrap w:val="0"/>
            <w:vAlign w:val="center"/>
          </w:tcPr>
          <w:p w14:paraId="08C3F3CC">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default" w:ascii="Times New Roman" w:hAnsi="Times New Roman" w:eastAsia="宋体" w:cs="Times New Roman"/>
                <w:b/>
                <w:bCs/>
                <w:sz w:val="21"/>
                <w:szCs w:val="21"/>
                <w:lang w:val="en-US" w:eastAsia="zh-CN" w:bidi="ar-SA"/>
              </w:rPr>
            </w:pPr>
            <w:r>
              <w:rPr>
                <w:rFonts w:hint="eastAsia" w:ascii="Times New Roman" w:hAnsi="Times New Roman" w:eastAsia="宋体" w:cs="Times New Roman"/>
                <w:b/>
                <w:bCs/>
                <w:sz w:val="21"/>
                <w:szCs w:val="21"/>
                <w:lang w:val="en-US" w:eastAsia="zh-CN"/>
              </w:rPr>
              <w:t>总氮</w:t>
            </w:r>
          </w:p>
        </w:tc>
        <w:tc>
          <w:tcPr>
            <w:tcW w:w="355" w:type="pct"/>
            <w:tcBorders>
              <w:tl2br w:val="nil"/>
              <w:tr2bl w:val="nil"/>
            </w:tcBorders>
            <w:noWrap w:val="0"/>
            <w:vAlign w:val="center"/>
          </w:tcPr>
          <w:p w14:paraId="6CD4C886">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default" w:ascii="Times New Roman" w:hAnsi="Times New Roman" w:eastAsia="宋体" w:cs="Times New Roman"/>
                <w:b/>
                <w:bCs/>
                <w:sz w:val="21"/>
                <w:szCs w:val="21"/>
                <w:lang w:val="en-US" w:eastAsia="zh-CN" w:bidi="ar-SA"/>
              </w:rPr>
            </w:pPr>
            <w:r>
              <w:rPr>
                <w:rFonts w:hint="eastAsia" w:ascii="Times New Roman" w:hAnsi="Times New Roman" w:eastAsia="宋体" w:cs="Times New Roman"/>
                <w:b/>
                <w:bCs/>
                <w:sz w:val="21"/>
                <w:szCs w:val="21"/>
                <w:lang w:val="en-US" w:eastAsia="zh-CN"/>
              </w:rPr>
              <w:t>石油类</w:t>
            </w:r>
          </w:p>
        </w:tc>
        <w:tc>
          <w:tcPr>
            <w:tcW w:w="355" w:type="pct"/>
            <w:tcBorders>
              <w:tl2br w:val="nil"/>
              <w:tr2bl w:val="nil"/>
            </w:tcBorders>
            <w:noWrap w:val="0"/>
            <w:vAlign w:val="center"/>
          </w:tcPr>
          <w:p w14:paraId="69A7B675">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eastAsia" w:ascii="Times New Roman" w:hAnsi="Times New Roman" w:eastAsia="宋体" w:cs="Times New Roman"/>
                <w:b/>
                <w:bCs/>
                <w:sz w:val="21"/>
                <w:szCs w:val="21"/>
                <w:lang w:val="en-US" w:eastAsia="zh-CN"/>
              </w:rPr>
            </w:pPr>
            <w:r>
              <w:rPr>
                <w:rFonts w:hint="eastAsia" w:ascii="Times New Roman" w:hAnsi="Times New Roman" w:eastAsia="宋体" w:cs="Times New Roman"/>
                <w:b/>
                <w:bCs/>
                <w:sz w:val="21"/>
                <w:szCs w:val="21"/>
                <w:lang w:val="en-US" w:eastAsia="zh-CN"/>
              </w:rPr>
              <w:t>锌</w:t>
            </w:r>
          </w:p>
        </w:tc>
        <w:tc>
          <w:tcPr>
            <w:tcW w:w="355" w:type="pct"/>
            <w:tcBorders>
              <w:tl2br w:val="nil"/>
              <w:tr2bl w:val="nil"/>
            </w:tcBorders>
            <w:noWrap w:val="0"/>
            <w:vAlign w:val="center"/>
          </w:tcPr>
          <w:p w14:paraId="32236D97">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eastAsia" w:ascii="Times New Roman" w:hAnsi="Times New Roman" w:eastAsia="宋体" w:cs="Times New Roman"/>
                <w:b/>
                <w:bCs/>
                <w:sz w:val="21"/>
                <w:szCs w:val="21"/>
                <w:lang w:val="en-US" w:eastAsia="zh-CN"/>
              </w:rPr>
            </w:pPr>
            <w:r>
              <w:rPr>
                <w:rFonts w:hint="eastAsia" w:ascii="Times New Roman" w:hAnsi="Times New Roman" w:eastAsia="宋体" w:cs="Times New Roman"/>
                <w:b/>
                <w:bCs/>
                <w:sz w:val="21"/>
                <w:szCs w:val="21"/>
                <w:lang w:val="en-US" w:eastAsia="zh-CN"/>
              </w:rPr>
              <w:t>镍</w:t>
            </w:r>
          </w:p>
        </w:tc>
        <w:tc>
          <w:tcPr>
            <w:tcW w:w="355" w:type="pct"/>
            <w:tcBorders>
              <w:tl2br w:val="nil"/>
              <w:tr2bl w:val="nil"/>
            </w:tcBorders>
            <w:noWrap w:val="0"/>
            <w:vAlign w:val="center"/>
          </w:tcPr>
          <w:p w14:paraId="6F3854CF">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eastAsia" w:ascii="Times New Roman" w:hAnsi="Times New Roman" w:eastAsia="宋体" w:cs="Times New Roman"/>
                <w:b/>
                <w:bCs/>
                <w:sz w:val="21"/>
                <w:szCs w:val="21"/>
                <w:lang w:val="en-US" w:eastAsia="zh-CN"/>
              </w:rPr>
            </w:pPr>
            <w:r>
              <w:rPr>
                <w:rFonts w:hint="eastAsia" w:ascii="Times New Roman" w:hAnsi="Times New Roman" w:eastAsia="宋体" w:cs="Times New Roman"/>
                <w:b/>
                <w:bCs/>
                <w:sz w:val="21"/>
                <w:szCs w:val="21"/>
                <w:lang w:val="en-US" w:eastAsia="zh-CN"/>
              </w:rPr>
              <w:t>总铬</w:t>
            </w:r>
          </w:p>
        </w:tc>
        <w:tc>
          <w:tcPr>
            <w:tcW w:w="355" w:type="pct"/>
            <w:tcBorders>
              <w:tl2br w:val="nil"/>
              <w:tr2bl w:val="nil"/>
            </w:tcBorders>
            <w:noWrap w:val="0"/>
            <w:vAlign w:val="center"/>
          </w:tcPr>
          <w:p w14:paraId="13C5315A">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eastAsia" w:ascii="Times New Roman" w:hAnsi="Times New Roman" w:eastAsia="宋体" w:cs="Times New Roman"/>
                <w:b/>
                <w:bCs/>
                <w:sz w:val="21"/>
                <w:szCs w:val="21"/>
                <w:lang w:val="en-US" w:eastAsia="zh-CN"/>
              </w:rPr>
            </w:pPr>
            <w:r>
              <w:rPr>
                <w:rFonts w:hint="eastAsia" w:ascii="Times New Roman" w:hAnsi="Times New Roman" w:eastAsia="宋体" w:cs="Times New Roman"/>
                <w:b/>
                <w:bCs/>
                <w:sz w:val="21"/>
                <w:szCs w:val="21"/>
                <w:lang w:val="en-US" w:eastAsia="zh-CN"/>
              </w:rPr>
              <w:t>六价铬</w:t>
            </w:r>
          </w:p>
        </w:tc>
        <w:tc>
          <w:tcPr>
            <w:tcW w:w="408" w:type="pct"/>
            <w:tcBorders>
              <w:tl2br w:val="nil"/>
              <w:tr2bl w:val="nil"/>
            </w:tcBorders>
            <w:noWrap w:val="0"/>
            <w:vAlign w:val="center"/>
          </w:tcPr>
          <w:p w14:paraId="5798BC1C">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eastAsia" w:ascii="Times New Roman" w:hAnsi="Times New Roman" w:eastAsia="宋体" w:cs="Times New Roman"/>
                <w:b/>
                <w:bCs/>
                <w:sz w:val="21"/>
                <w:szCs w:val="21"/>
                <w:lang w:val="en-US" w:eastAsia="zh-CN"/>
              </w:rPr>
            </w:pPr>
            <w:r>
              <w:rPr>
                <w:rFonts w:hint="eastAsia" w:ascii="Times New Roman" w:hAnsi="Times New Roman" w:eastAsia="宋体" w:cs="Times New Roman"/>
                <w:b/>
                <w:bCs/>
                <w:sz w:val="21"/>
                <w:szCs w:val="21"/>
                <w:lang w:val="en-US" w:eastAsia="zh-CN"/>
              </w:rPr>
              <w:t>流量</w:t>
            </w:r>
          </w:p>
          <w:p w14:paraId="40E84673">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default" w:ascii="Times New Roman" w:hAnsi="Times New Roman" w:eastAsia="宋体" w:cs="Times New Roman"/>
                <w:b/>
                <w:bCs/>
                <w:sz w:val="21"/>
                <w:szCs w:val="21"/>
                <w:lang w:val="en-US" w:eastAsia="zh-CN"/>
              </w:rPr>
            </w:pPr>
            <w:r>
              <w:rPr>
                <w:rFonts w:hint="eastAsia" w:ascii="Times New Roman" w:hAnsi="Times New Roman" w:eastAsia="宋体" w:cs="Times New Roman"/>
                <w:b/>
                <w:bCs/>
                <w:sz w:val="21"/>
                <w:szCs w:val="21"/>
                <w:lang w:val="en-US" w:eastAsia="zh-CN"/>
              </w:rPr>
              <w:t>（m</w:t>
            </w:r>
            <w:r>
              <w:rPr>
                <w:rFonts w:hint="eastAsia" w:ascii="Times New Roman" w:hAnsi="Times New Roman" w:eastAsia="宋体" w:cs="Times New Roman"/>
                <w:b/>
                <w:bCs/>
                <w:sz w:val="21"/>
                <w:szCs w:val="21"/>
                <w:vertAlign w:val="superscript"/>
                <w:lang w:val="en-US" w:eastAsia="zh-CN"/>
              </w:rPr>
              <w:t>3</w:t>
            </w:r>
            <w:r>
              <w:rPr>
                <w:rFonts w:hint="eastAsia" w:ascii="Times New Roman" w:hAnsi="Times New Roman" w:eastAsia="宋体" w:cs="Times New Roman"/>
                <w:b/>
                <w:bCs/>
                <w:sz w:val="21"/>
                <w:szCs w:val="21"/>
                <w:lang w:val="en-US" w:eastAsia="zh-CN"/>
              </w:rPr>
              <w:t>/d）</w:t>
            </w:r>
          </w:p>
        </w:tc>
      </w:tr>
      <w:tr w14:paraId="1C64B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8" w:type="pct"/>
            <w:vMerge w:val="restart"/>
            <w:tcBorders>
              <w:tl2br w:val="nil"/>
              <w:tr2bl w:val="nil"/>
            </w:tcBorders>
            <w:noWrap w:val="0"/>
            <w:vAlign w:val="center"/>
          </w:tcPr>
          <w:p w14:paraId="0B516D1B">
            <w:pPr>
              <w:keepNext w:val="0"/>
              <w:keepLines w:val="0"/>
              <w:pageBreakBefore w:val="0"/>
              <w:widowControl/>
              <w:kinsoku/>
              <w:wordWrap/>
              <w:overflowPunct/>
              <w:topLinePunct w:val="0"/>
              <w:autoSpaceDE/>
              <w:autoSpaceDN/>
              <w:bidi w:val="0"/>
              <w:adjustRightInd w:val="0"/>
              <w:spacing w:line="240" w:lineRule="atLeast"/>
              <w:ind w:left="-120" w:leftChars="-50" w:right="-120" w:rightChars="-50" w:firstLine="0" w:firstLineChars="0"/>
              <w:jc w:val="center"/>
              <w:textAlignment w:val="baseline"/>
              <w:rPr>
                <w:rFonts w:hint="default" w:ascii="Times New Roman" w:hAnsi="Times New Roman" w:eastAsia="宋体" w:cs="Times New Roman"/>
                <w:color w:val="auto"/>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bidi="ar-SA"/>
              </w:rPr>
              <w:t>2026.05.07</w:t>
            </w:r>
          </w:p>
        </w:tc>
        <w:tc>
          <w:tcPr>
            <w:tcW w:w="348" w:type="pct"/>
            <w:vMerge w:val="restart"/>
            <w:tcBorders>
              <w:tl2br w:val="nil"/>
              <w:tr2bl w:val="nil"/>
            </w:tcBorders>
            <w:noWrap w:val="0"/>
            <w:vAlign w:val="center"/>
          </w:tcPr>
          <w:p w14:paraId="23BE2141">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default" w:ascii="Times New Roman" w:hAnsi="Times New Roman" w:eastAsia="宋体" w:cs="Times New Roman"/>
                <w:color w:val="auto"/>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bidi="ar-SA"/>
              </w:rPr>
              <w:t>污水处理站进口</w:t>
            </w:r>
          </w:p>
        </w:tc>
        <w:tc>
          <w:tcPr>
            <w:tcW w:w="349" w:type="pct"/>
            <w:tcBorders>
              <w:tl2br w:val="nil"/>
              <w:tr2bl w:val="nil"/>
            </w:tcBorders>
            <w:noWrap w:val="0"/>
            <w:vAlign w:val="center"/>
          </w:tcPr>
          <w:p w14:paraId="11DF3C84">
            <w:pPr>
              <w:adjustRightInd/>
              <w:snapToGrid/>
              <w:spacing w:line="240" w:lineRule="auto"/>
              <w:ind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第1次</w:t>
            </w:r>
          </w:p>
        </w:tc>
        <w:tc>
          <w:tcPr>
            <w:tcW w:w="349" w:type="pct"/>
            <w:tcBorders>
              <w:tl2br w:val="nil"/>
              <w:tr2bl w:val="nil"/>
            </w:tcBorders>
            <w:noWrap w:val="0"/>
            <w:vAlign w:val="center"/>
          </w:tcPr>
          <w:p w14:paraId="3776309E">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318</w:t>
            </w:r>
          </w:p>
        </w:tc>
        <w:tc>
          <w:tcPr>
            <w:tcW w:w="354" w:type="pct"/>
            <w:tcBorders>
              <w:tl2br w:val="nil"/>
              <w:tr2bl w:val="nil"/>
            </w:tcBorders>
            <w:noWrap w:val="0"/>
            <w:vAlign w:val="center"/>
          </w:tcPr>
          <w:p w14:paraId="598A163F">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155 </w:t>
            </w:r>
          </w:p>
        </w:tc>
        <w:tc>
          <w:tcPr>
            <w:tcW w:w="355" w:type="pct"/>
            <w:tcBorders>
              <w:tl2br w:val="nil"/>
              <w:tr2bl w:val="nil"/>
            </w:tcBorders>
            <w:noWrap w:val="0"/>
            <w:vAlign w:val="center"/>
          </w:tcPr>
          <w:p w14:paraId="18B99475">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11.5</w:t>
            </w:r>
          </w:p>
        </w:tc>
        <w:tc>
          <w:tcPr>
            <w:tcW w:w="355" w:type="pct"/>
            <w:tcBorders>
              <w:tl2br w:val="nil"/>
              <w:tr2bl w:val="nil"/>
            </w:tcBorders>
            <w:noWrap w:val="0"/>
            <w:vAlign w:val="center"/>
          </w:tcPr>
          <w:p w14:paraId="6A1DDAE8">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1.97 </w:t>
            </w:r>
          </w:p>
        </w:tc>
        <w:tc>
          <w:tcPr>
            <w:tcW w:w="355" w:type="pct"/>
            <w:tcBorders>
              <w:tl2br w:val="nil"/>
              <w:tr2bl w:val="nil"/>
            </w:tcBorders>
            <w:noWrap w:val="0"/>
            <w:vAlign w:val="center"/>
          </w:tcPr>
          <w:p w14:paraId="6A2B49BD">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21.6 </w:t>
            </w:r>
          </w:p>
        </w:tc>
        <w:tc>
          <w:tcPr>
            <w:tcW w:w="355" w:type="pct"/>
            <w:tcBorders>
              <w:tl2br w:val="nil"/>
              <w:tr2bl w:val="nil"/>
            </w:tcBorders>
            <w:noWrap w:val="0"/>
            <w:vAlign w:val="center"/>
          </w:tcPr>
          <w:p w14:paraId="5DEFDA9E">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1.59 </w:t>
            </w:r>
          </w:p>
        </w:tc>
        <w:tc>
          <w:tcPr>
            <w:tcW w:w="355" w:type="pct"/>
            <w:tcBorders>
              <w:tl2br w:val="nil"/>
              <w:tr2bl w:val="nil"/>
            </w:tcBorders>
            <w:noWrap w:val="0"/>
            <w:vAlign w:val="center"/>
          </w:tcPr>
          <w:p w14:paraId="1B4F0C1F">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0.28</w:t>
            </w:r>
          </w:p>
        </w:tc>
        <w:tc>
          <w:tcPr>
            <w:tcW w:w="355" w:type="pct"/>
            <w:tcBorders>
              <w:tl2br w:val="nil"/>
              <w:tr2bl w:val="nil"/>
            </w:tcBorders>
            <w:noWrap w:val="0"/>
            <w:vAlign w:val="center"/>
          </w:tcPr>
          <w:p w14:paraId="5437943A">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0.29</w:t>
            </w:r>
          </w:p>
        </w:tc>
        <w:tc>
          <w:tcPr>
            <w:tcW w:w="355" w:type="pct"/>
            <w:tcBorders>
              <w:tl2br w:val="nil"/>
              <w:tr2bl w:val="nil"/>
            </w:tcBorders>
            <w:noWrap w:val="0"/>
            <w:vAlign w:val="center"/>
          </w:tcPr>
          <w:p w14:paraId="268D3DC7">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0.17</w:t>
            </w:r>
          </w:p>
        </w:tc>
        <w:tc>
          <w:tcPr>
            <w:tcW w:w="355" w:type="pct"/>
            <w:tcBorders>
              <w:tl2br w:val="nil"/>
              <w:tr2bl w:val="nil"/>
            </w:tcBorders>
            <w:noWrap w:val="0"/>
            <w:vAlign w:val="center"/>
          </w:tcPr>
          <w:p w14:paraId="3447A5E2">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0.071</w:t>
            </w:r>
          </w:p>
        </w:tc>
        <w:tc>
          <w:tcPr>
            <w:tcW w:w="408" w:type="pct"/>
            <w:vMerge w:val="restart"/>
            <w:tcBorders>
              <w:tl2br w:val="nil"/>
              <w:tr2bl w:val="nil"/>
            </w:tcBorders>
            <w:noWrap w:val="0"/>
            <w:vAlign w:val="center"/>
          </w:tcPr>
          <w:p w14:paraId="0132CFE8">
            <w:pPr>
              <w:adjustRightInd/>
              <w:snapToGrid/>
              <w:spacing w:line="240" w:lineRule="auto"/>
              <w:ind w:firstLine="0" w:firstLineChars="0"/>
              <w:jc w:val="center"/>
              <w:rPr>
                <w:rFonts w:hint="default" w:ascii="Times New Roman" w:hAnsi="Times New Roman" w:eastAsia="宋体" w:cs="Times New Roman"/>
                <w:i w:val="0"/>
                <w:iCs w:val="0"/>
                <w:color w:val="auto"/>
                <w:kern w:val="0"/>
                <w:sz w:val="21"/>
                <w:szCs w:val="21"/>
                <w:u w:val="none"/>
                <w:lang w:val="en-US" w:eastAsia="zh-CN" w:bidi="ar"/>
              </w:rPr>
            </w:pPr>
          </w:p>
        </w:tc>
      </w:tr>
      <w:tr w14:paraId="5E285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8" w:type="pct"/>
            <w:vMerge w:val="continue"/>
            <w:tcBorders>
              <w:tl2br w:val="nil"/>
              <w:tr2bl w:val="nil"/>
            </w:tcBorders>
            <w:noWrap w:val="0"/>
            <w:vAlign w:val="center"/>
          </w:tcPr>
          <w:p w14:paraId="6B822F4F">
            <w:pPr>
              <w:keepNext w:val="0"/>
              <w:keepLines w:val="0"/>
              <w:pageBreakBefore w:val="0"/>
              <w:widowControl/>
              <w:kinsoku/>
              <w:wordWrap/>
              <w:overflowPunct/>
              <w:topLinePunct w:val="0"/>
              <w:autoSpaceDE/>
              <w:autoSpaceDN/>
              <w:bidi w:val="0"/>
              <w:adjustRightInd w:val="0"/>
              <w:spacing w:line="240" w:lineRule="atLeast"/>
              <w:ind w:left="-120" w:leftChars="-50" w:right="-120" w:rightChars="-50" w:firstLine="0" w:firstLineChars="0"/>
              <w:jc w:val="center"/>
              <w:textAlignment w:val="baseline"/>
              <w:rPr>
                <w:rFonts w:hint="default" w:ascii="Times New Roman" w:hAnsi="Times New Roman" w:eastAsia="宋体" w:cs="Times New Roman"/>
                <w:color w:val="auto"/>
                <w:sz w:val="21"/>
                <w:szCs w:val="21"/>
                <w:vertAlign w:val="baseline"/>
                <w:lang w:val="en-US" w:eastAsia="zh-CN" w:bidi="ar-SA"/>
              </w:rPr>
            </w:pPr>
          </w:p>
        </w:tc>
        <w:tc>
          <w:tcPr>
            <w:tcW w:w="348" w:type="pct"/>
            <w:vMerge w:val="continue"/>
            <w:tcBorders>
              <w:tl2br w:val="nil"/>
              <w:tr2bl w:val="nil"/>
            </w:tcBorders>
            <w:noWrap w:val="0"/>
            <w:vAlign w:val="center"/>
          </w:tcPr>
          <w:p w14:paraId="442B565D">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eastAsia" w:ascii="Times New Roman" w:hAnsi="Times New Roman" w:eastAsia="宋体" w:cs="Times New Roman"/>
                <w:color w:val="auto"/>
                <w:sz w:val="21"/>
                <w:szCs w:val="21"/>
                <w:vertAlign w:val="baseline"/>
                <w:lang w:val="en-US" w:eastAsia="zh-CN" w:bidi="ar-SA"/>
              </w:rPr>
            </w:pPr>
          </w:p>
        </w:tc>
        <w:tc>
          <w:tcPr>
            <w:tcW w:w="349" w:type="pct"/>
            <w:tcBorders>
              <w:tl2br w:val="nil"/>
              <w:tr2bl w:val="nil"/>
            </w:tcBorders>
            <w:noWrap w:val="0"/>
            <w:vAlign w:val="center"/>
          </w:tcPr>
          <w:p w14:paraId="06B3ED53">
            <w:pPr>
              <w:adjustRightInd/>
              <w:snapToGrid/>
              <w:spacing w:line="240" w:lineRule="auto"/>
              <w:ind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第</w:t>
            </w:r>
            <w:r>
              <w:rPr>
                <w:rFonts w:hint="eastAsia" w:ascii="Times New Roman" w:hAnsi="Times New Roman" w:cs="Times New Roman"/>
                <w:sz w:val="21"/>
                <w:szCs w:val="21"/>
                <w:vertAlign w:val="baseline"/>
                <w:lang w:val="en-US" w:eastAsia="zh-CN"/>
              </w:rPr>
              <w:t>2</w:t>
            </w:r>
            <w:r>
              <w:rPr>
                <w:rFonts w:hint="default" w:ascii="Times New Roman" w:hAnsi="Times New Roman" w:cs="Times New Roman"/>
                <w:sz w:val="21"/>
                <w:szCs w:val="21"/>
                <w:vertAlign w:val="baseline"/>
                <w:lang w:val="en-US" w:eastAsia="zh-CN"/>
              </w:rPr>
              <w:t>次</w:t>
            </w:r>
          </w:p>
        </w:tc>
        <w:tc>
          <w:tcPr>
            <w:tcW w:w="349" w:type="pct"/>
            <w:tcBorders>
              <w:tl2br w:val="nil"/>
              <w:tr2bl w:val="nil"/>
            </w:tcBorders>
            <w:noWrap w:val="0"/>
            <w:vAlign w:val="center"/>
          </w:tcPr>
          <w:p w14:paraId="4273EA56">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292 </w:t>
            </w:r>
          </w:p>
        </w:tc>
        <w:tc>
          <w:tcPr>
            <w:tcW w:w="354" w:type="pct"/>
            <w:tcBorders>
              <w:tl2br w:val="nil"/>
              <w:tr2bl w:val="nil"/>
            </w:tcBorders>
            <w:noWrap w:val="0"/>
            <w:vAlign w:val="center"/>
          </w:tcPr>
          <w:p w14:paraId="5F0A1EBD">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142</w:t>
            </w:r>
          </w:p>
        </w:tc>
        <w:tc>
          <w:tcPr>
            <w:tcW w:w="355" w:type="pct"/>
            <w:tcBorders>
              <w:tl2br w:val="nil"/>
              <w:tr2bl w:val="nil"/>
            </w:tcBorders>
            <w:noWrap w:val="0"/>
            <w:vAlign w:val="center"/>
          </w:tcPr>
          <w:p w14:paraId="42A0DEB2">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11.2</w:t>
            </w:r>
          </w:p>
        </w:tc>
        <w:tc>
          <w:tcPr>
            <w:tcW w:w="355" w:type="pct"/>
            <w:tcBorders>
              <w:tl2br w:val="nil"/>
              <w:tr2bl w:val="nil"/>
            </w:tcBorders>
            <w:noWrap w:val="0"/>
            <w:vAlign w:val="center"/>
          </w:tcPr>
          <w:p w14:paraId="0EF3647D">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2.12</w:t>
            </w:r>
          </w:p>
        </w:tc>
        <w:tc>
          <w:tcPr>
            <w:tcW w:w="355" w:type="pct"/>
            <w:tcBorders>
              <w:tl2br w:val="nil"/>
              <w:tr2bl w:val="nil"/>
            </w:tcBorders>
            <w:noWrap w:val="0"/>
            <w:vAlign w:val="center"/>
          </w:tcPr>
          <w:p w14:paraId="4B423D5D">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21.3 </w:t>
            </w:r>
          </w:p>
        </w:tc>
        <w:tc>
          <w:tcPr>
            <w:tcW w:w="355" w:type="pct"/>
            <w:tcBorders>
              <w:tl2br w:val="nil"/>
              <w:tr2bl w:val="nil"/>
            </w:tcBorders>
            <w:noWrap w:val="0"/>
            <w:vAlign w:val="center"/>
          </w:tcPr>
          <w:p w14:paraId="60F77AD1">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1.45 </w:t>
            </w:r>
          </w:p>
        </w:tc>
        <w:tc>
          <w:tcPr>
            <w:tcW w:w="355" w:type="pct"/>
            <w:tcBorders>
              <w:tl2br w:val="nil"/>
              <w:tr2bl w:val="nil"/>
            </w:tcBorders>
            <w:noWrap w:val="0"/>
            <w:vAlign w:val="center"/>
          </w:tcPr>
          <w:p w14:paraId="3D12E8E8">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0.22</w:t>
            </w:r>
          </w:p>
        </w:tc>
        <w:tc>
          <w:tcPr>
            <w:tcW w:w="355" w:type="pct"/>
            <w:tcBorders>
              <w:tl2br w:val="nil"/>
              <w:tr2bl w:val="nil"/>
            </w:tcBorders>
            <w:noWrap w:val="0"/>
            <w:vAlign w:val="center"/>
          </w:tcPr>
          <w:p w14:paraId="45514397">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0.25</w:t>
            </w:r>
          </w:p>
        </w:tc>
        <w:tc>
          <w:tcPr>
            <w:tcW w:w="355" w:type="pct"/>
            <w:tcBorders>
              <w:tl2br w:val="nil"/>
              <w:tr2bl w:val="nil"/>
            </w:tcBorders>
            <w:noWrap w:val="0"/>
            <w:vAlign w:val="center"/>
          </w:tcPr>
          <w:p w14:paraId="19AA6316">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0.12</w:t>
            </w:r>
          </w:p>
        </w:tc>
        <w:tc>
          <w:tcPr>
            <w:tcW w:w="355" w:type="pct"/>
            <w:tcBorders>
              <w:tl2br w:val="nil"/>
              <w:tr2bl w:val="nil"/>
            </w:tcBorders>
            <w:noWrap w:val="0"/>
            <w:vAlign w:val="center"/>
          </w:tcPr>
          <w:p w14:paraId="6EFA618F">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0.077</w:t>
            </w:r>
          </w:p>
        </w:tc>
        <w:tc>
          <w:tcPr>
            <w:tcW w:w="408" w:type="pct"/>
            <w:vMerge w:val="continue"/>
            <w:tcBorders>
              <w:tl2br w:val="nil"/>
              <w:tr2bl w:val="nil"/>
            </w:tcBorders>
            <w:noWrap w:val="0"/>
            <w:vAlign w:val="center"/>
          </w:tcPr>
          <w:p w14:paraId="1A175594">
            <w:pPr>
              <w:adjustRightInd/>
              <w:snapToGrid/>
              <w:spacing w:line="240" w:lineRule="auto"/>
              <w:ind w:firstLine="0" w:firstLineChars="0"/>
              <w:jc w:val="center"/>
              <w:rPr>
                <w:rFonts w:hint="eastAsia" w:ascii="Times New Roman" w:hAnsi="Times New Roman" w:eastAsia="宋体" w:cs="Times New Roman"/>
                <w:i w:val="0"/>
                <w:iCs w:val="0"/>
                <w:color w:val="auto"/>
                <w:kern w:val="0"/>
                <w:sz w:val="21"/>
                <w:szCs w:val="21"/>
                <w:u w:val="none"/>
                <w:lang w:val="en-US" w:eastAsia="zh-CN" w:bidi="ar"/>
              </w:rPr>
            </w:pPr>
          </w:p>
        </w:tc>
      </w:tr>
      <w:tr w14:paraId="14C6C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8" w:type="pct"/>
            <w:vMerge w:val="continue"/>
            <w:tcBorders>
              <w:tl2br w:val="nil"/>
              <w:tr2bl w:val="nil"/>
            </w:tcBorders>
            <w:noWrap w:val="0"/>
            <w:vAlign w:val="center"/>
          </w:tcPr>
          <w:p w14:paraId="7C6CCF81">
            <w:pPr>
              <w:keepNext w:val="0"/>
              <w:keepLines w:val="0"/>
              <w:pageBreakBefore w:val="0"/>
              <w:widowControl/>
              <w:kinsoku/>
              <w:wordWrap/>
              <w:overflowPunct/>
              <w:topLinePunct w:val="0"/>
              <w:autoSpaceDE/>
              <w:autoSpaceDN/>
              <w:bidi w:val="0"/>
              <w:adjustRightInd w:val="0"/>
              <w:spacing w:line="240" w:lineRule="atLeast"/>
              <w:ind w:left="-120" w:leftChars="-50" w:right="-120" w:rightChars="-50" w:firstLine="0" w:firstLineChars="0"/>
              <w:jc w:val="center"/>
              <w:textAlignment w:val="baseline"/>
              <w:rPr>
                <w:rFonts w:hint="default" w:ascii="Times New Roman" w:hAnsi="Times New Roman" w:eastAsia="宋体" w:cs="Times New Roman"/>
                <w:color w:val="auto"/>
                <w:sz w:val="21"/>
                <w:szCs w:val="21"/>
                <w:vertAlign w:val="baseline"/>
                <w:lang w:val="en-US" w:eastAsia="zh-CN" w:bidi="ar-SA"/>
              </w:rPr>
            </w:pPr>
          </w:p>
        </w:tc>
        <w:tc>
          <w:tcPr>
            <w:tcW w:w="348" w:type="pct"/>
            <w:vMerge w:val="continue"/>
            <w:tcBorders>
              <w:tl2br w:val="nil"/>
              <w:tr2bl w:val="nil"/>
            </w:tcBorders>
            <w:noWrap w:val="0"/>
            <w:vAlign w:val="center"/>
          </w:tcPr>
          <w:p w14:paraId="5F567008">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eastAsia" w:ascii="Times New Roman" w:hAnsi="Times New Roman" w:eastAsia="宋体" w:cs="Times New Roman"/>
                <w:color w:val="auto"/>
                <w:sz w:val="21"/>
                <w:szCs w:val="21"/>
                <w:vertAlign w:val="baseline"/>
                <w:lang w:val="en-US" w:eastAsia="zh-CN" w:bidi="ar-SA"/>
              </w:rPr>
            </w:pPr>
          </w:p>
        </w:tc>
        <w:tc>
          <w:tcPr>
            <w:tcW w:w="349" w:type="pct"/>
            <w:tcBorders>
              <w:tl2br w:val="nil"/>
              <w:tr2bl w:val="nil"/>
            </w:tcBorders>
            <w:noWrap w:val="0"/>
            <w:vAlign w:val="center"/>
          </w:tcPr>
          <w:p w14:paraId="3B8BD027">
            <w:pPr>
              <w:adjustRightInd/>
              <w:snapToGrid/>
              <w:spacing w:line="240" w:lineRule="auto"/>
              <w:ind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第</w:t>
            </w:r>
            <w:r>
              <w:rPr>
                <w:rFonts w:hint="eastAsia" w:ascii="Times New Roman" w:hAnsi="Times New Roman" w:cs="Times New Roman"/>
                <w:sz w:val="21"/>
                <w:szCs w:val="21"/>
                <w:vertAlign w:val="baseline"/>
                <w:lang w:val="en-US" w:eastAsia="zh-CN"/>
              </w:rPr>
              <w:t>3</w:t>
            </w:r>
            <w:r>
              <w:rPr>
                <w:rFonts w:hint="default" w:ascii="Times New Roman" w:hAnsi="Times New Roman" w:cs="Times New Roman"/>
                <w:sz w:val="21"/>
                <w:szCs w:val="21"/>
                <w:vertAlign w:val="baseline"/>
                <w:lang w:val="en-US" w:eastAsia="zh-CN"/>
              </w:rPr>
              <w:t>次</w:t>
            </w:r>
          </w:p>
        </w:tc>
        <w:tc>
          <w:tcPr>
            <w:tcW w:w="349" w:type="pct"/>
            <w:tcBorders>
              <w:tl2br w:val="nil"/>
              <w:tr2bl w:val="nil"/>
            </w:tcBorders>
            <w:noWrap w:val="0"/>
            <w:vAlign w:val="center"/>
          </w:tcPr>
          <w:p w14:paraId="0A5F6059">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338 </w:t>
            </w:r>
          </w:p>
        </w:tc>
        <w:tc>
          <w:tcPr>
            <w:tcW w:w="354" w:type="pct"/>
            <w:tcBorders>
              <w:tl2br w:val="nil"/>
              <w:tr2bl w:val="nil"/>
            </w:tcBorders>
            <w:noWrap w:val="0"/>
            <w:vAlign w:val="center"/>
          </w:tcPr>
          <w:p w14:paraId="1F65CBA1">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159 </w:t>
            </w:r>
          </w:p>
        </w:tc>
        <w:tc>
          <w:tcPr>
            <w:tcW w:w="355" w:type="pct"/>
            <w:tcBorders>
              <w:tl2br w:val="nil"/>
              <w:tr2bl w:val="nil"/>
            </w:tcBorders>
            <w:noWrap w:val="0"/>
            <w:vAlign w:val="center"/>
          </w:tcPr>
          <w:p w14:paraId="515D5C65">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12.3</w:t>
            </w:r>
          </w:p>
        </w:tc>
        <w:tc>
          <w:tcPr>
            <w:tcW w:w="355" w:type="pct"/>
            <w:tcBorders>
              <w:tl2br w:val="nil"/>
              <w:tr2bl w:val="nil"/>
            </w:tcBorders>
            <w:noWrap w:val="0"/>
            <w:vAlign w:val="center"/>
          </w:tcPr>
          <w:p w14:paraId="13A2997B">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2.08 </w:t>
            </w:r>
          </w:p>
        </w:tc>
        <w:tc>
          <w:tcPr>
            <w:tcW w:w="355" w:type="pct"/>
            <w:tcBorders>
              <w:tl2br w:val="nil"/>
              <w:tr2bl w:val="nil"/>
            </w:tcBorders>
            <w:noWrap w:val="0"/>
            <w:vAlign w:val="center"/>
          </w:tcPr>
          <w:p w14:paraId="1B145C62">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22.2 </w:t>
            </w:r>
          </w:p>
        </w:tc>
        <w:tc>
          <w:tcPr>
            <w:tcW w:w="355" w:type="pct"/>
            <w:tcBorders>
              <w:tl2br w:val="nil"/>
              <w:tr2bl w:val="nil"/>
            </w:tcBorders>
            <w:noWrap w:val="0"/>
            <w:vAlign w:val="center"/>
          </w:tcPr>
          <w:p w14:paraId="0070C4F8">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1.47 </w:t>
            </w:r>
          </w:p>
        </w:tc>
        <w:tc>
          <w:tcPr>
            <w:tcW w:w="355" w:type="pct"/>
            <w:tcBorders>
              <w:tl2br w:val="nil"/>
              <w:tr2bl w:val="nil"/>
            </w:tcBorders>
            <w:noWrap w:val="0"/>
            <w:vAlign w:val="center"/>
          </w:tcPr>
          <w:p w14:paraId="7D81DC4F">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0.26</w:t>
            </w:r>
          </w:p>
        </w:tc>
        <w:tc>
          <w:tcPr>
            <w:tcW w:w="355" w:type="pct"/>
            <w:tcBorders>
              <w:tl2br w:val="nil"/>
              <w:tr2bl w:val="nil"/>
            </w:tcBorders>
            <w:noWrap w:val="0"/>
            <w:vAlign w:val="center"/>
          </w:tcPr>
          <w:p w14:paraId="0D89A385">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0.25</w:t>
            </w:r>
          </w:p>
        </w:tc>
        <w:tc>
          <w:tcPr>
            <w:tcW w:w="355" w:type="pct"/>
            <w:tcBorders>
              <w:tl2br w:val="nil"/>
              <w:tr2bl w:val="nil"/>
            </w:tcBorders>
            <w:noWrap w:val="0"/>
            <w:vAlign w:val="center"/>
          </w:tcPr>
          <w:p w14:paraId="7CD53995">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0.15</w:t>
            </w:r>
          </w:p>
        </w:tc>
        <w:tc>
          <w:tcPr>
            <w:tcW w:w="355" w:type="pct"/>
            <w:tcBorders>
              <w:tl2br w:val="nil"/>
              <w:tr2bl w:val="nil"/>
            </w:tcBorders>
            <w:noWrap w:val="0"/>
            <w:vAlign w:val="center"/>
          </w:tcPr>
          <w:p w14:paraId="2E36307E">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0.065</w:t>
            </w:r>
          </w:p>
        </w:tc>
        <w:tc>
          <w:tcPr>
            <w:tcW w:w="408" w:type="pct"/>
            <w:vMerge w:val="continue"/>
            <w:tcBorders>
              <w:tl2br w:val="nil"/>
              <w:tr2bl w:val="nil"/>
            </w:tcBorders>
            <w:noWrap w:val="0"/>
            <w:vAlign w:val="center"/>
          </w:tcPr>
          <w:p w14:paraId="5B88D719">
            <w:pPr>
              <w:adjustRightInd/>
              <w:snapToGrid/>
              <w:spacing w:line="240" w:lineRule="auto"/>
              <w:ind w:firstLine="0" w:firstLineChars="0"/>
              <w:jc w:val="center"/>
              <w:rPr>
                <w:rFonts w:hint="eastAsia" w:ascii="Times New Roman" w:hAnsi="Times New Roman" w:eastAsia="宋体" w:cs="Times New Roman"/>
                <w:i w:val="0"/>
                <w:iCs w:val="0"/>
                <w:color w:val="auto"/>
                <w:kern w:val="0"/>
                <w:sz w:val="21"/>
                <w:szCs w:val="21"/>
                <w:u w:val="none"/>
                <w:lang w:val="en-US" w:eastAsia="zh-CN" w:bidi="ar"/>
              </w:rPr>
            </w:pPr>
          </w:p>
        </w:tc>
      </w:tr>
      <w:tr w14:paraId="34769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8" w:type="pct"/>
            <w:vMerge w:val="continue"/>
            <w:tcBorders>
              <w:tl2br w:val="nil"/>
              <w:tr2bl w:val="nil"/>
            </w:tcBorders>
            <w:noWrap w:val="0"/>
            <w:vAlign w:val="center"/>
          </w:tcPr>
          <w:p w14:paraId="56E883D5">
            <w:pPr>
              <w:keepNext w:val="0"/>
              <w:keepLines w:val="0"/>
              <w:pageBreakBefore w:val="0"/>
              <w:widowControl/>
              <w:kinsoku/>
              <w:wordWrap/>
              <w:overflowPunct/>
              <w:topLinePunct w:val="0"/>
              <w:autoSpaceDE/>
              <w:autoSpaceDN/>
              <w:bidi w:val="0"/>
              <w:adjustRightInd w:val="0"/>
              <w:spacing w:line="240" w:lineRule="atLeast"/>
              <w:ind w:left="-120" w:leftChars="-50" w:right="-120" w:rightChars="-50" w:firstLine="0" w:firstLineChars="0"/>
              <w:jc w:val="center"/>
              <w:textAlignment w:val="baseline"/>
              <w:rPr>
                <w:rFonts w:hint="default" w:ascii="Times New Roman" w:hAnsi="Times New Roman" w:eastAsia="宋体" w:cs="Times New Roman"/>
                <w:color w:val="auto"/>
                <w:sz w:val="21"/>
                <w:szCs w:val="21"/>
                <w:vertAlign w:val="baseline"/>
                <w:lang w:val="en-US" w:eastAsia="zh-CN" w:bidi="ar-SA"/>
              </w:rPr>
            </w:pPr>
          </w:p>
        </w:tc>
        <w:tc>
          <w:tcPr>
            <w:tcW w:w="348" w:type="pct"/>
            <w:vMerge w:val="continue"/>
            <w:tcBorders>
              <w:tl2br w:val="nil"/>
              <w:tr2bl w:val="nil"/>
            </w:tcBorders>
            <w:noWrap w:val="0"/>
            <w:vAlign w:val="center"/>
          </w:tcPr>
          <w:p w14:paraId="3110A558">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eastAsia" w:ascii="Times New Roman" w:hAnsi="Times New Roman" w:eastAsia="宋体" w:cs="Times New Roman"/>
                <w:color w:val="auto"/>
                <w:sz w:val="21"/>
                <w:szCs w:val="21"/>
                <w:vertAlign w:val="baseline"/>
                <w:lang w:val="en-US" w:eastAsia="zh-CN" w:bidi="ar-SA"/>
              </w:rPr>
            </w:pPr>
          </w:p>
        </w:tc>
        <w:tc>
          <w:tcPr>
            <w:tcW w:w="349" w:type="pct"/>
            <w:tcBorders>
              <w:tl2br w:val="nil"/>
              <w:tr2bl w:val="nil"/>
            </w:tcBorders>
            <w:noWrap w:val="0"/>
            <w:vAlign w:val="center"/>
          </w:tcPr>
          <w:p w14:paraId="552B39A8">
            <w:pPr>
              <w:adjustRightInd/>
              <w:snapToGrid/>
              <w:spacing w:line="240" w:lineRule="auto"/>
              <w:ind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第</w:t>
            </w:r>
            <w:r>
              <w:rPr>
                <w:rFonts w:hint="eastAsia" w:ascii="Times New Roman" w:hAnsi="Times New Roman" w:cs="Times New Roman"/>
                <w:sz w:val="21"/>
                <w:szCs w:val="21"/>
                <w:vertAlign w:val="baseline"/>
                <w:lang w:val="en-US" w:eastAsia="zh-CN"/>
              </w:rPr>
              <w:t>4</w:t>
            </w:r>
            <w:r>
              <w:rPr>
                <w:rFonts w:hint="default" w:ascii="Times New Roman" w:hAnsi="Times New Roman" w:cs="Times New Roman"/>
                <w:sz w:val="21"/>
                <w:szCs w:val="21"/>
                <w:vertAlign w:val="baseline"/>
                <w:lang w:val="en-US" w:eastAsia="zh-CN"/>
              </w:rPr>
              <w:t>次</w:t>
            </w:r>
          </w:p>
        </w:tc>
        <w:tc>
          <w:tcPr>
            <w:tcW w:w="349" w:type="pct"/>
            <w:tcBorders>
              <w:tl2br w:val="nil"/>
              <w:tr2bl w:val="nil"/>
            </w:tcBorders>
            <w:noWrap w:val="0"/>
            <w:vAlign w:val="center"/>
          </w:tcPr>
          <w:p w14:paraId="716BA01F">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305 </w:t>
            </w:r>
          </w:p>
        </w:tc>
        <w:tc>
          <w:tcPr>
            <w:tcW w:w="354" w:type="pct"/>
            <w:tcBorders>
              <w:tl2br w:val="nil"/>
              <w:tr2bl w:val="nil"/>
            </w:tcBorders>
            <w:noWrap w:val="0"/>
            <w:vAlign w:val="center"/>
          </w:tcPr>
          <w:p w14:paraId="1E1B02C6">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147 </w:t>
            </w:r>
          </w:p>
        </w:tc>
        <w:tc>
          <w:tcPr>
            <w:tcW w:w="355" w:type="pct"/>
            <w:tcBorders>
              <w:tl2br w:val="nil"/>
              <w:tr2bl w:val="nil"/>
            </w:tcBorders>
            <w:noWrap w:val="0"/>
            <w:vAlign w:val="center"/>
          </w:tcPr>
          <w:p w14:paraId="541299BC">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11.4</w:t>
            </w:r>
          </w:p>
        </w:tc>
        <w:tc>
          <w:tcPr>
            <w:tcW w:w="355" w:type="pct"/>
            <w:tcBorders>
              <w:tl2br w:val="nil"/>
              <w:tr2bl w:val="nil"/>
            </w:tcBorders>
            <w:noWrap w:val="0"/>
            <w:vAlign w:val="center"/>
          </w:tcPr>
          <w:p w14:paraId="7DC66A05">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1.93 </w:t>
            </w:r>
          </w:p>
        </w:tc>
        <w:tc>
          <w:tcPr>
            <w:tcW w:w="355" w:type="pct"/>
            <w:tcBorders>
              <w:tl2br w:val="nil"/>
              <w:tr2bl w:val="nil"/>
            </w:tcBorders>
            <w:noWrap w:val="0"/>
            <w:vAlign w:val="center"/>
          </w:tcPr>
          <w:p w14:paraId="42313812">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21.4 </w:t>
            </w:r>
          </w:p>
        </w:tc>
        <w:tc>
          <w:tcPr>
            <w:tcW w:w="355" w:type="pct"/>
            <w:tcBorders>
              <w:tl2br w:val="nil"/>
              <w:tr2bl w:val="nil"/>
            </w:tcBorders>
            <w:noWrap w:val="0"/>
            <w:vAlign w:val="center"/>
          </w:tcPr>
          <w:p w14:paraId="0D20F073">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1.50 </w:t>
            </w:r>
          </w:p>
        </w:tc>
        <w:tc>
          <w:tcPr>
            <w:tcW w:w="355" w:type="pct"/>
            <w:tcBorders>
              <w:tl2br w:val="nil"/>
              <w:tr2bl w:val="nil"/>
            </w:tcBorders>
            <w:noWrap w:val="0"/>
            <w:vAlign w:val="center"/>
          </w:tcPr>
          <w:p w14:paraId="2DA008D7">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0.24</w:t>
            </w:r>
          </w:p>
        </w:tc>
        <w:tc>
          <w:tcPr>
            <w:tcW w:w="355" w:type="pct"/>
            <w:tcBorders>
              <w:tl2br w:val="nil"/>
              <w:tr2bl w:val="nil"/>
            </w:tcBorders>
            <w:noWrap w:val="0"/>
            <w:vAlign w:val="center"/>
          </w:tcPr>
          <w:p w14:paraId="548A72D7">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0.27</w:t>
            </w:r>
          </w:p>
        </w:tc>
        <w:tc>
          <w:tcPr>
            <w:tcW w:w="355" w:type="pct"/>
            <w:tcBorders>
              <w:tl2br w:val="nil"/>
              <w:tr2bl w:val="nil"/>
            </w:tcBorders>
            <w:noWrap w:val="0"/>
            <w:vAlign w:val="center"/>
          </w:tcPr>
          <w:p w14:paraId="14E55D74">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0.13</w:t>
            </w:r>
          </w:p>
        </w:tc>
        <w:tc>
          <w:tcPr>
            <w:tcW w:w="355" w:type="pct"/>
            <w:tcBorders>
              <w:tl2br w:val="nil"/>
              <w:tr2bl w:val="nil"/>
            </w:tcBorders>
            <w:noWrap w:val="0"/>
            <w:vAlign w:val="center"/>
          </w:tcPr>
          <w:p w14:paraId="2D43A4E3">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0.072</w:t>
            </w:r>
          </w:p>
        </w:tc>
        <w:tc>
          <w:tcPr>
            <w:tcW w:w="408" w:type="pct"/>
            <w:vMerge w:val="continue"/>
            <w:tcBorders>
              <w:tl2br w:val="nil"/>
              <w:tr2bl w:val="nil"/>
            </w:tcBorders>
            <w:noWrap w:val="0"/>
            <w:vAlign w:val="center"/>
          </w:tcPr>
          <w:p w14:paraId="15DE2D55">
            <w:pPr>
              <w:adjustRightInd/>
              <w:snapToGrid/>
              <w:spacing w:line="240" w:lineRule="auto"/>
              <w:ind w:firstLine="0" w:firstLineChars="0"/>
              <w:jc w:val="center"/>
              <w:rPr>
                <w:rFonts w:hint="eastAsia" w:ascii="Times New Roman" w:hAnsi="Times New Roman" w:eastAsia="宋体" w:cs="Times New Roman"/>
                <w:i w:val="0"/>
                <w:iCs w:val="0"/>
                <w:color w:val="auto"/>
                <w:kern w:val="0"/>
                <w:sz w:val="21"/>
                <w:szCs w:val="21"/>
                <w:u w:val="none"/>
                <w:lang w:val="en-US" w:eastAsia="zh-CN" w:bidi="ar"/>
              </w:rPr>
            </w:pPr>
          </w:p>
        </w:tc>
      </w:tr>
      <w:tr w14:paraId="0634A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8" w:type="pct"/>
            <w:vMerge w:val="continue"/>
            <w:tcBorders>
              <w:tl2br w:val="nil"/>
              <w:tr2bl w:val="nil"/>
            </w:tcBorders>
            <w:noWrap w:val="0"/>
            <w:vAlign w:val="center"/>
          </w:tcPr>
          <w:p w14:paraId="39828970">
            <w:pPr>
              <w:keepNext w:val="0"/>
              <w:keepLines w:val="0"/>
              <w:pageBreakBefore w:val="0"/>
              <w:widowControl/>
              <w:kinsoku/>
              <w:wordWrap/>
              <w:overflowPunct/>
              <w:topLinePunct w:val="0"/>
              <w:autoSpaceDE/>
              <w:autoSpaceDN/>
              <w:bidi w:val="0"/>
              <w:adjustRightInd w:val="0"/>
              <w:spacing w:line="240" w:lineRule="atLeast"/>
              <w:ind w:left="-120" w:leftChars="-50" w:right="-120" w:rightChars="-50" w:firstLine="0" w:firstLineChars="0"/>
              <w:jc w:val="center"/>
              <w:textAlignment w:val="baseline"/>
              <w:rPr>
                <w:rFonts w:hint="default" w:ascii="Times New Roman" w:hAnsi="Times New Roman" w:eastAsia="宋体" w:cs="Times New Roman"/>
                <w:color w:val="auto"/>
                <w:sz w:val="21"/>
                <w:szCs w:val="21"/>
                <w:vertAlign w:val="baseline"/>
                <w:lang w:val="en-US" w:eastAsia="zh-CN" w:bidi="ar-SA"/>
              </w:rPr>
            </w:pPr>
          </w:p>
        </w:tc>
        <w:tc>
          <w:tcPr>
            <w:tcW w:w="348" w:type="pct"/>
            <w:vMerge w:val="restart"/>
            <w:tcBorders>
              <w:tl2br w:val="nil"/>
              <w:tr2bl w:val="nil"/>
            </w:tcBorders>
            <w:noWrap w:val="0"/>
            <w:vAlign w:val="center"/>
          </w:tcPr>
          <w:p w14:paraId="5713ECDA">
            <w:pPr>
              <w:keepNext w:val="0"/>
              <w:keepLines w:val="0"/>
              <w:pageBreakBefore w:val="0"/>
              <w:widowControl/>
              <w:kinsoku/>
              <w:wordWrap/>
              <w:overflowPunct/>
              <w:topLinePunct w:val="0"/>
              <w:autoSpaceDE/>
              <w:autoSpaceDN/>
              <w:bidi w:val="0"/>
              <w:adjustRightInd w:val="0"/>
              <w:spacing w:line="240" w:lineRule="atLeast"/>
              <w:ind w:left="-120" w:leftChars="-50" w:right="-120" w:rightChars="-50" w:firstLine="0" w:firstLineChars="0"/>
              <w:jc w:val="center"/>
              <w:textAlignment w:val="baseline"/>
              <w:rPr>
                <w:rFonts w:hint="default" w:ascii="Times New Roman" w:hAnsi="Times New Roman" w:eastAsia="宋体" w:cs="Times New Roman"/>
                <w:color w:val="auto"/>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bidi="ar-SA"/>
              </w:rPr>
              <w:t>厂区污水总排口</w:t>
            </w:r>
          </w:p>
        </w:tc>
        <w:tc>
          <w:tcPr>
            <w:tcW w:w="349" w:type="pct"/>
            <w:tcBorders>
              <w:tl2br w:val="nil"/>
              <w:tr2bl w:val="nil"/>
            </w:tcBorders>
            <w:noWrap w:val="0"/>
            <w:vAlign w:val="center"/>
          </w:tcPr>
          <w:p w14:paraId="3283FE6F">
            <w:pPr>
              <w:adjustRightInd/>
              <w:snapToGrid/>
              <w:spacing w:line="240" w:lineRule="auto"/>
              <w:ind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第1次</w:t>
            </w:r>
          </w:p>
        </w:tc>
        <w:tc>
          <w:tcPr>
            <w:tcW w:w="349" w:type="pct"/>
            <w:tcBorders>
              <w:tl2br w:val="nil"/>
              <w:tr2bl w:val="nil"/>
            </w:tcBorders>
            <w:noWrap w:val="0"/>
            <w:vAlign w:val="center"/>
          </w:tcPr>
          <w:p w14:paraId="57058F5B">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47</w:t>
            </w:r>
          </w:p>
        </w:tc>
        <w:tc>
          <w:tcPr>
            <w:tcW w:w="354" w:type="pct"/>
            <w:tcBorders>
              <w:tl2br w:val="nil"/>
              <w:tr2bl w:val="nil"/>
            </w:tcBorders>
            <w:noWrap w:val="0"/>
            <w:vAlign w:val="center"/>
          </w:tcPr>
          <w:p w14:paraId="0D296602">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53</w:t>
            </w:r>
          </w:p>
        </w:tc>
        <w:tc>
          <w:tcPr>
            <w:tcW w:w="355" w:type="pct"/>
            <w:tcBorders>
              <w:tl2br w:val="nil"/>
              <w:tr2bl w:val="nil"/>
            </w:tcBorders>
            <w:noWrap w:val="0"/>
            <w:vAlign w:val="center"/>
          </w:tcPr>
          <w:p w14:paraId="0A5042BD">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7.48</w:t>
            </w:r>
          </w:p>
        </w:tc>
        <w:tc>
          <w:tcPr>
            <w:tcW w:w="355" w:type="pct"/>
            <w:tcBorders>
              <w:tl2br w:val="nil"/>
              <w:tr2bl w:val="nil"/>
            </w:tcBorders>
            <w:noWrap w:val="0"/>
            <w:vAlign w:val="center"/>
          </w:tcPr>
          <w:p w14:paraId="065C9AC3">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0.57</w:t>
            </w:r>
          </w:p>
        </w:tc>
        <w:tc>
          <w:tcPr>
            <w:tcW w:w="355" w:type="pct"/>
            <w:tcBorders>
              <w:tl2br w:val="nil"/>
              <w:tr2bl w:val="nil"/>
            </w:tcBorders>
            <w:noWrap w:val="0"/>
            <w:vAlign w:val="center"/>
          </w:tcPr>
          <w:p w14:paraId="5BFCA525">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13.4 </w:t>
            </w:r>
          </w:p>
        </w:tc>
        <w:tc>
          <w:tcPr>
            <w:tcW w:w="355" w:type="pct"/>
            <w:tcBorders>
              <w:tl2br w:val="nil"/>
              <w:tr2bl w:val="nil"/>
            </w:tcBorders>
            <w:noWrap w:val="0"/>
            <w:vAlign w:val="center"/>
          </w:tcPr>
          <w:p w14:paraId="6974F44E">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1.11</w:t>
            </w:r>
          </w:p>
        </w:tc>
        <w:tc>
          <w:tcPr>
            <w:tcW w:w="355" w:type="pct"/>
            <w:tcBorders>
              <w:tl2br w:val="nil"/>
              <w:tr2bl w:val="nil"/>
            </w:tcBorders>
            <w:noWrap w:val="0"/>
            <w:vAlign w:val="center"/>
          </w:tcPr>
          <w:p w14:paraId="77FE47D0">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355" w:type="pct"/>
            <w:tcBorders>
              <w:tl2br w:val="nil"/>
              <w:tr2bl w:val="nil"/>
            </w:tcBorders>
            <w:noWrap w:val="0"/>
            <w:vAlign w:val="center"/>
          </w:tcPr>
          <w:p w14:paraId="38EEF14D">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355" w:type="pct"/>
            <w:tcBorders>
              <w:tl2br w:val="nil"/>
              <w:tr2bl w:val="nil"/>
            </w:tcBorders>
            <w:noWrap w:val="0"/>
            <w:vAlign w:val="center"/>
          </w:tcPr>
          <w:p w14:paraId="57B54F46">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355" w:type="pct"/>
            <w:tcBorders>
              <w:tl2br w:val="nil"/>
              <w:tr2bl w:val="nil"/>
            </w:tcBorders>
            <w:noWrap w:val="0"/>
            <w:vAlign w:val="center"/>
          </w:tcPr>
          <w:p w14:paraId="5D264A9D">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408" w:type="pct"/>
            <w:vMerge w:val="restart"/>
            <w:tcBorders>
              <w:tl2br w:val="nil"/>
              <w:tr2bl w:val="nil"/>
            </w:tcBorders>
            <w:noWrap w:val="0"/>
            <w:vAlign w:val="center"/>
          </w:tcPr>
          <w:p w14:paraId="71EF5461">
            <w:pPr>
              <w:adjustRightInd/>
              <w:snapToGrid/>
              <w:spacing w:line="240" w:lineRule="auto"/>
              <w:ind w:firstLine="0" w:firstLineChars="0"/>
              <w:jc w:val="center"/>
              <w:rPr>
                <w:rFonts w:hint="default" w:ascii="Times New Roman" w:hAnsi="Times New Roman" w:eastAsia="宋体" w:cs="Times New Roman"/>
                <w:i w:val="0"/>
                <w:iCs w:val="0"/>
                <w:color w:val="auto"/>
                <w:kern w:val="0"/>
                <w:sz w:val="21"/>
                <w:szCs w:val="21"/>
                <w:u w:val="none"/>
                <w:lang w:val="en-US" w:eastAsia="zh-CN" w:bidi="ar"/>
              </w:rPr>
            </w:pPr>
          </w:p>
        </w:tc>
      </w:tr>
      <w:tr w14:paraId="13159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8" w:type="pct"/>
            <w:vMerge w:val="continue"/>
            <w:tcBorders>
              <w:tl2br w:val="nil"/>
              <w:tr2bl w:val="nil"/>
            </w:tcBorders>
            <w:noWrap w:val="0"/>
            <w:vAlign w:val="center"/>
          </w:tcPr>
          <w:p w14:paraId="32CBFED4">
            <w:pPr>
              <w:keepNext w:val="0"/>
              <w:keepLines w:val="0"/>
              <w:pageBreakBefore w:val="0"/>
              <w:widowControl/>
              <w:kinsoku/>
              <w:wordWrap/>
              <w:overflowPunct/>
              <w:topLinePunct w:val="0"/>
              <w:autoSpaceDE/>
              <w:autoSpaceDN/>
              <w:bidi w:val="0"/>
              <w:adjustRightInd w:val="0"/>
              <w:spacing w:line="240" w:lineRule="atLeast"/>
              <w:ind w:left="-120" w:leftChars="-50" w:right="-120" w:rightChars="-50" w:firstLine="0" w:firstLineChars="0"/>
              <w:jc w:val="center"/>
              <w:textAlignment w:val="baseline"/>
              <w:rPr>
                <w:rFonts w:hint="default" w:ascii="Times New Roman" w:hAnsi="Times New Roman" w:eastAsia="宋体" w:cs="Times New Roman"/>
                <w:color w:val="auto"/>
                <w:sz w:val="21"/>
                <w:szCs w:val="21"/>
                <w:highlight w:val="none"/>
                <w:vertAlign w:val="baseline"/>
                <w:lang w:val="en-US" w:eastAsia="zh-CN" w:bidi="ar-SA"/>
              </w:rPr>
            </w:pPr>
          </w:p>
        </w:tc>
        <w:tc>
          <w:tcPr>
            <w:tcW w:w="348" w:type="pct"/>
            <w:vMerge w:val="continue"/>
            <w:tcBorders>
              <w:tl2br w:val="nil"/>
              <w:tr2bl w:val="nil"/>
            </w:tcBorders>
            <w:noWrap w:val="0"/>
            <w:vAlign w:val="center"/>
          </w:tcPr>
          <w:p w14:paraId="16AC1A5D">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eastAsia" w:ascii="Times New Roman" w:hAnsi="Times New Roman" w:cs="Times New Roman"/>
                <w:sz w:val="21"/>
                <w:szCs w:val="21"/>
                <w:vertAlign w:val="baseline"/>
                <w:lang w:val="en-US" w:eastAsia="zh-CN"/>
              </w:rPr>
            </w:pPr>
          </w:p>
        </w:tc>
        <w:tc>
          <w:tcPr>
            <w:tcW w:w="349" w:type="pct"/>
            <w:tcBorders>
              <w:tl2br w:val="nil"/>
              <w:tr2bl w:val="nil"/>
            </w:tcBorders>
            <w:noWrap w:val="0"/>
            <w:vAlign w:val="center"/>
          </w:tcPr>
          <w:p w14:paraId="455B524D">
            <w:pPr>
              <w:adjustRightInd/>
              <w:snapToGrid/>
              <w:spacing w:line="240" w:lineRule="auto"/>
              <w:ind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第</w:t>
            </w:r>
            <w:r>
              <w:rPr>
                <w:rFonts w:hint="eastAsia" w:ascii="Times New Roman" w:hAnsi="Times New Roman" w:cs="Times New Roman"/>
                <w:sz w:val="21"/>
                <w:szCs w:val="21"/>
                <w:vertAlign w:val="baseline"/>
                <w:lang w:val="en-US" w:eastAsia="zh-CN"/>
              </w:rPr>
              <w:t>2</w:t>
            </w:r>
            <w:r>
              <w:rPr>
                <w:rFonts w:hint="default" w:ascii="Times New Roman" w:hAnsi="Times New Roman" w:cs="Times New Roman"/>
                <w:sz w:val="21"/>
                <w:szCs w:val="21"/>
                <w:vertAlign w:val="baseline"/>
                <w:lang w:val="en-US" w:eastAsia="zh-CN"/>
              </w:rPr>
              <w:t>次</w:t>
            </w:r>
          </w:p>
        </w:tc>
        <w:tc>
          <w:tcPr>
            <w:tcW w:w="349" w:type="pct"/>
            <w:tcBorders>
              <w:tl2br w:val="nil"/>
              <w:tr2bl w:val="nil"/>
            </w:tcBorders>
            <w:noWrap w:val="0"/>
            <w:vAlign w:val="center"/>
          </w:tcPr>
          <w:p w14:paraId="20E76DB3">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43</w:t>
            </w:r>
          </w:p>
        </w:tc>
        <w:tc>
          <w:tcPr>
            <w:tcW w:w="354" w:type="pct"/>
            <w:tcBorders>
              <w:tl2br w:val="nil"/>
              <w:tr2bl w:val="nil"/>
            </w:tcBorders>
            <w:noWrap w:val="0"/>
            <w:vAlign w:val="center"/>
          </w:tcPr>
          <w:p w14:paraId="5692E601">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48</w:t>
            </w:r>
          </w:p>
        </w:tc>
        <w:tc>
          <w:tcPr>
            <w:tcW w:w="355" w:type="pct"/>
            <w:tcBorders>
              <w:tl2br w:val="nil"/>
              <w:tr2bl w:val="nil"/>
            </w:tcBorders>
            <w:noWrap w:val="0"/>
            <w:vAlign w:val="center"/>
          </w:tcPr>
          <w:p w14:paraId="5FAE02D1">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7.36</w:t>
            </w:r>
          </w:p>
        </w:tc>
        <w:tc>
          <w:tcPr>
            <w:tcW w:w="355" w:type="pct"/>
            <w:tcBorders>
              <w:tl2br w:val="nil"/>
              <w:tr2bl w:val="nil"/>
            </w:tcBorders>
            <w:noWrap w:val="0"/>
            <w:vAlign w:val="center"/>
          </w:tcPr>
          <w:p w14:paraId="00A540BF">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0.62</w:t>
            </w:r>
          </w:p>
        </w:tc>
        <w:tc>
          <w:tcPr>
            <w:tcW w:w="355" w:type="pct"/>
            <w:tcBorders>
              <w:tl2br w:val="nil"/>
              <w:tr2bl w:val="nil"/>
            </w:tcBorders>
            <w:noWrap w:val="0"/>
            <w:vAlign w:val="center"/>
          </w:tcPr>
          <w:p w14:paraId="354567B2">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13.2 </w:t>
            </w:r>
          </w:p>
        </w:tc>
        <w:tc>
          <w:tcPr>
            <w:tcW w:w="355" w:type="pct"/>
            <w:tcBorders>
              <w:tl2br w:val="nil"/>
              <w:tr2bl w:val="nil"/>
            </w:tcBorders>
            <w:noWrap w:val="0"/>
            <w:vAlign w:val="center"/>
          </w:tcPr>
          <w:p w14:paraId="4E1DBA19">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1.07</w:t>
            </w:r>
          </w:p>
        </w:tc>
        <w:tc>
          <w:tcPr>
            <w:tcW w:w="355" w:type="pct"/>
            <w:tcBorders>
              <w:tl2br w:val="nil"/>
              <w:tr2bl w:val="nil"/>
            </w:tcBorders>
            <w:noWrap w:val="0"/>
            <w:vAlign w:val="center"/>
          </w:tcPr>
          <w:p w14:paraId="76B205F6">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355" w:type="pct"/>
            <w:tcBorders>
              <w:tl2br w:val="nil"/>
              <w:tr2bl w:val="nil"/>
            </w:tcBorders>
            <w:noWrap w:val="0"/>
            <w:vAlign w:val="center"/>
          </w:tcPr>
          <w:p w14:paraId="2BAF52EE">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355" w:type="pct"/>
            <w:tcBorders>
              <w:tl2br w:val="nil"/>
              <w:tr2bl w:val="nil"/>
            </w:tcBorders>
            <w:noWrap w:val="0"/>
            <w:vAlign w:val="center"/>
          </w:tcPr>
          <w:p w14:paraId="07DD1CB8">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355" w:type="pct"/>
            <w:tcBorders>
              <w:tl2br w:val="nil"/>
              <w:tr2bl w:val="nil"/>
            </w:tcBorders>
            <w:noWrap w:val="0"/>
            <w:vAlign w:val="center"/>
          </w:tcPr>
          <w:p w14:paraId="20107A78">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408" w:type="pct"/>
            <w:vMerge w:val="continue"/>
            <w:tcBorders>
              <w:tl2br w:val="nil"/>
              <w:tr2bl w:val="nil"/>
            </w:tcBorders>
            <w:noWrap w:val="0"/>
            <w:vAlign w:val="center"/>
          </w:tcPr>
          <w:p w14:paraId="3A628A34">
            <w:pPr>
              <w:adjustRightInd/>
              <w:snapToGrid/>
              <w:spacing w:line="240" w:lineRule="auto"/>
              <w:ind w:firstLine="0" w:firstLineChars="0"/>
              <w:jc w:val="center"/>
              <w:rPr>
                <w:rFonts w:hint="eastAsia" w:ascii="Times New Roman" w:hAnsi="Times New Roman" w:eastAsia="宋体" w:cs="Times New Roman"/>
                <w:i w:val="0"/>
                <w:iCs w:val="0"/>
                <w:color w:val="auto"/>
                <w:kern w:val="0"/>
                <w:sz w:val="21"/>
                <w:szCs w:val="21"/>
                <w:u w:val="none"/>
                <w:lang w:val="en-US" w:eastAsia="zh-CN" w:bidi="ar"/>
              </w:rPr>
            </w:pPr>
          </w:p>
        </w:tc>
      </w:tr>
      <w:tr w14:paraId="784C6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8" w:type="pct"/>
            <w:vMerge w:val="continue"/>
            <w:tcBorders>
              <w:tl2br w:val="nil"/>
              <w:tr2bl w:val="nil"/>
            </w:tcBorders>
            <w:noWrap w:val="0"/>
            <w:vAlign w:val="center"/>
          </w:tcPr>
          <w:p w14:paraId="580544EB">
            <w:pPr>
              <w:keepNext w:val="0"/>
              <w:keepLines w:val="0"/>
              <w:pageBreakBefore w:val="0"/>
              <w:widowControl/>
              <w:kinsoku/>
              <w:wordWrap/>
              <w:overflowPunct/>
              <w:topLinePunct w:val="0"/>
              <w:autoSpaceDE/>
              <w:autoSpaceDN/>
              <w:bidi w:val="0"/>
              <w:adjustRightInd w:val="0"/>
              <w:spacing w:line="240" w:lineRule="atLeast"/>
              <w:ind w:left="-120" w:leftChars="-50" w:right="-120" w:rightChars="-50" w:firstLine="0" w:firstLineChars="0"/>
              <w:jc w:val="center"/>
              <w:textAlignment w:val="baseline"/>
              <w:rPr>
                <w:rFonts w:hint="default" w:ascii="Times New Roman" w:hAnsi="Times New Roman" w:eastAsia="宋体" w:cs="Times New Roman"/>
                <w:color w:val="auto"/>
                <w:sz w:val="21"/>
                <w:szCs w:val="21"/>
                <w:highlight w:val="none"/>
                <w:vertAlign w:val="baseline"/>
                <w:lang w:val="en-US" w:eastAsia="zh-CN" w:bidi="ar-SA"/>
              </w:rPr>
            </w:pPr>
          </w:p>
        </w:tc>
        <w:tc>
          <w:tcPr>
            <w:tcW w:w="348" w:type="pct"/>
            <w:vMerge w:val="continue"/>
            <w:tcBorders>
              <w:tl2br w:val="nil"/>
              <w:tr2bl w:val="nil"/>
            </w:tcBorders>
            <w:noWrap w:val="0"/>
            <w:vAlign w:val="center"/>
          </w:tcPr>
          <w:p w14:paraId="615AEF41">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eastAsia" w:ascii="Times New Roman" w:hAnsi="Times New Roman" w:cs="Times New Roman"/>
                <w:sz w:val="21"/>
                <w:szCs w:val="21"/>
                <w:vertAlign w:val="baseline"/>
                <w:lang w:val="en-US" w:eastAsia="zh-CN"/>
              </w:rPr>
            </w:pPr>
          </w:p>
        </w:tc>
        <w:tc>
          <w:tcPr>
            <w:tcW w:w="349" w:type="pct"/>
            <w:tcBorders>
              <w:tl2br w:val="nil"/>
              <w:tr2bl w:val="nil"/>
            </w:tcBorders>
            <w:noWrap w:val="0"/>
            <w:vAlign w:val="center"/>
          </w:tcPr>
          <w:p w14:paraId="216FBE8D">
            <w:pPr>
              <w:adjustRightInd/>
              <w:snapToGrid/>
              <w:spacing w:line="240" w:lineRule="auto"/>
              <w:ind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第</w:t>
            </w:r>
            <w:r>
              <w:rPr>
                <w:rFonts w:hint="eastAsia" w:ascii="Times New Roman" w:hAnsi="Times New Roman" w:cs="Times New Roman"/>
                <w:sz w:val="21"/>
                <w:szCs w:val="21"/>
                <w:vertAlign w:val="baseline"/>
                <w:lang w:val="en-US" w:eastAsia="zh-CN"/>
              </w:rPr>
              <w:t>3</w:t>
            </w:r>
            <w:r>
              <w:rPr>
                <w:rFonts w:hint="default" w:ascii="Times New Roman" w:hAnsi="Times New Roman" w:cs="Times New Roman"/>
                <w:sz w:val="21"/>
                <w:szCs w:val="21"/>
                <w:vertAlign w:val="baseline"/>
                <w:lang w:val="en-US" w:eastAsia="zh-CN"/>
              </w:rPr>
              <w:t>次</w:t>
            </w:r>
          </w:p>
        </w:tc>
        <w:tc>
          <w:tcPr>
            <w:tcW w:w="349" w:type="pct"/>
            <w:tcBorders>
              <w:tl2br w:val="nil"/>
              <w:tr2bl w:val="nil"/>
            </w:tcBorders>
            <w:noWrap w:val="0"/>
            <w:vAlign w:val="center"/>
          </w:tcPr>
          <w:p w14:paraId="02065641">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49</w:t>
            </w:r>
          </w:p>
        </w:tc>
        <w:tc>
          <w:tcPr>
            <w:tcW w:w="354" w:type="pct"/>
            <w:tcBorders>
              <w:tl2br w:val="nil"/>
              <w:tr2bl w:val="nil"/>
            </w:tcBorders>
            <w:noWrap w:val="0"/>
            <w:vAlign w:val="center"/>
          </w:tcPr>
          <w:p w14:paraId="382A9E45">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55</w:t>
            </w:r>
          </w:p>
        </w:tc>
        <w:tc>
          <w:tcPr>
            <w:tcW w:w="355" w:type="pct"/>
            <w:tcBorders>
              <w:tl2br w:val="nil"/>
              <w:tr2bl w:val="nil"/>
            </w:tcBorders>
            <w:noWrap w:val="0"/>
            <w:vAlign w:val="center"/>
          </w:tcPr>
          <w:p w14:paraId="5D974011">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7.55</w:t>
            </w:r>
          </w:p>
        </w:tc>
        <w:tc>
          <w:tcPr>
            <w:tcW w:w="355" w:type="pct"/>
            <w:tcBorders>
              <w:tl2br w:val="nil"/>
              <w:tr2bl w:val="nil"/>
            </w:tcBorders>
            <w:noWrap w:val="0"/>
            <w:vAlign w:val="center"/>
          </w:tcPr>
          <w:p w14:paraId="0A818586">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0.51</w:t>
            </w:r>
          </w:p>
        </w:tc>
        <w:tc>
          <w:tcPr>
            <w:tcW w:w="355" w:type="pct"/>
            <w:tcBorders>
              <w:tl2br w:val="nil"/>
              <w:tr2bl w:val="nil"/>
            </w:tcBorders>
            <w:noWrap w:val="0"/>
            <w:vAlign w:val="center"/>
          </w:tcPr>
          <w:p w14:paraId="5DAA53CF">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13.5 </w:t>
            </w:r>
          </w:p>
        </w:tc>
        <w:tc>
          <w:tcPr>
            <w:tcW w:w="355" w:type="pct"/>
            <w:tcBorders>
              <w:tl2br w:val="nil"/>
              <w:tr2bl w:val="nil"/>
            </w:tcBorders>
            <w:noWrap w:val="0"/>
            <w:vAlign w:val="center"/>
          </w:tcPr>
          <w:p w14:paraId="23821542">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1.09</w:t>
            </w:r>
          </w:p>
        </w:tc>
        <w:tc>
          <w:tcPr>
            <w:tcW w:w="355" w:type="pct"/>
            <w:tcBorders>
              <w:tl2br w:val="nil"/>
              <w:tr2bl w:val="nil"/>
            </w:tcBorders>
            <w:noWrap w:val="0"/>
            <w:vAlign w:val="center"/>
          </w:tcPr>
          <w:p w14:paraId="21D4EF44">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355" w:type="pct"/>
            <w:tcBorders>
              <w:tl2br w:val="nil"/>
              <w:tr2bl w:val="nil"/>
            </w:tcBorders>
            <w:noWrap w:val="0"/>
            <w:vAlign w:val="center"/>
          </w:tcPr>
          <w:p w14:paraId="0F5DFB65">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355" w:type="pct"/>
            <w:tcBorders>
              <w:tl2br w:val="nil"/>
              <w:tr2bl w:val="nil"/>
            </w:tcBorders>
            <w:noWrap w:val="0"/>
            <w:vAlign w:val="center"/>
          </w:tcPr>
          <w:p w14:paraId="6A9BE7C6">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355" w:type="pct"/>
            <w:tcBorders>
              <w:tl2br w:val="nil"/>
              <w:tr2bl w:val="nil"/>
            </w:tcBorders>
            <w:noWrap w:val="0"/>
            <w:vAlign w:val="center"/>
          </w:tcPr>
          <w:p w14:paraId="74E6B393">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408" w:type="pct"/>
            <w:vMerge w:val="continue"/>
            <w:tcBorders>
              <w:tl2br w:val="nil"/>
              <w:tr2bl w:val="nil"/>
            </w:tcBorders>
            <w:noWrap w:val="0"/>
            <w:vAlign w:val="center"/>
          </w:tcPr>
          <w:p w14:paraId="2F0B8DE6">
            <w:pPr>
              <w:adjustRightInd/>
              <w:snapToGrid/>
              <w:spacing w:line="240" w:lineRule="auto"/>
              <w:ind w:firstLine="0" w:firstLineChars="0"/>
              <w:jc w:val="center"/>
              <w:rPr>
                <w:rFonts w:hint="eastAsia" w:ascii="Times New Roman" w:hAnsi="Times New Roman" w:eastAsia="宋体" w:cs="Times New Roman"/>
                <w:i w:val="0"/>
                <w:iCs w:val="0"/>
                <w:color w:val="auto"/>
                <w:kern w:val="0"/>
                <w:sz w:val="21"/>
                <w:szCs w:val="21"/>
                <w:u w:val="none"/>
                <w:lang w:val="en-US" w:eastAsia="zh-CN" w:bidi="ar"/>
              </w:rPr>
            </w:pPr>
          </w:p>
        </w:tc>
      </w:tr>
      <w:tr w14:paraId="4C1DE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8" w:type="pct"/>
            <w:vMerge w:val="continue"/>
            <w:tcBorders>
              <w:tl2br w:val="nil"/>
              <w:tr2bl w:val="nil"/>
            </w:tcBorders>
            <w:noWrap w:val="0"/>
            <w:vAlign w:val="center"/>
          </w:tcPr>
          <w:p w14:paraId="38810238">
            <w:pPr>
              <w:keepNext w:val="0"/>
              <w:keepLines w:val="0"/>
              <w:pageBreakBefore w:val="0"/>
              <w:widowControl/>
              <w:kinsoku/>
              <w:wordWrap/>
              <w:overflowPunct/>
              <w:topLinePunct w:val="0"/>
              <w:autoSpaceDE/>
              <w:autoSpaceDN/>
              <w:bidi w:val="0"/>
              <w:adjustRightInd w:val="0"/>
              <w:spacing w:line="240" w:lineRule="atLeast"/>
              <w:ind w:left="-120" w:leftChars="-50" w:right="-120" w:rightChars="-50" w:firstLine="0" w:firstLineChars="0"/>
              <w:jc w:val="center"/>
              <w:textAlignment w:val="baseline"/>
              <w:rPr>
                <w:rFonts w:hint="default" w:ascii="Times New Roman" w:hAnsi="Times New Roman" w:eastAsia="宋体" w:cs="Times New Roman"/>
                <w:color w:val="auto"/>
                <w:sz w:val="21"/>
                <w:szCs w:val="21"/>
                <w:highlight w:val="none"/>
                <w:vertAlign w:val="baseline"/>
                <w:lang w:val="en-US" w:eastAsia="zh-CN" w:bidi="ar-SA"/>
              </w:rPr>
            </w:pPr>
          </w:p>
        </w:tc>
        <w:tc>
          <w:tcPr>
            <w:tcW w:w="348" w:type="pct"/>
            <w:vMerge w:val="continue"/>
            <w:tcBorders>
              <w:tl2br w:val="nil"/>
              <w:tr2bl w:val="nil"/>
            </w:tcBorders>
            <w:noWrap w:val="0"/>
            <w:vAlign w:val="center"/>
          </w:tcPr>
          <w:p w14:paraId="797E708C">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eastAsia" w:ascii="Times New Roman" w:hAnsi="Times New Roman" w:cs="Times New Roman"/>
                <w:sz w:val="21"/>
                <w:szCs w:val="21"/>
                <w:vertAlign w:val="baseline"/>
                <w:lang w:val="en-US" w:eastAsia="zh-CN"/>
              </w:rPr>
            </w:pPr>
          </w:p>
        </w:tc>
        <w:tc>
          <w:tcPr>
            <w:tcW w:w="349" w:type="pct"/>
            <w:tcBorders>
              <w:tl2br w:val="nil"/>
              <w:tr2bl w:val="nil"/>
            </w:tcBorders>
            <w:noWrap w:val="0"/>
            <w:vAlign w:val="center"/>
          </w:tcPr>
          <w:p w14:paraId="476BBACC">
            <w:pPr>
              <w:adjustRightInd/>
              <w:snapToGrid/>
              <w:spacing w:line="240" w:lineRule="auto"/>
              <w:ind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第</w:t>
            </w:r>
            <w:r>
              <w:rPr>
                <w:rFonts w:hint="eastAsia" w:ascii="Times New Roman" w:hAnsi="Times New Roman" w:cs="Times New Roman"/>
                <w:sz w:val="21"/>
                <w:szCs w:val="21"/>
                <w:vertAlign w:val="baseline"/>
                <w:lang w:val="en-US" w:eastAsia="zh-CN"/>
              </w:rPr>
              <w:t>4</w:t>
            </w:r>
            <w:r>
              <w:rPr>
                <w:rFonts w:hint="default" w:ascii="Times New Roman" w:hAnsi="Times New Roman" w:cs="Times New Roman"/>
                <w:sz w:val="21"/>
                <w:szCs w:val="21"/>
                <w:vertAlign w:val="baseline"/>
                <w:lang w:val="en-US" w:eastAsia="zh-CN"/>
              </w:rPr>
              <w:t>次</w:t>
            </w:r>
          </w:p>
        </w:tc>
        <w:tc>
          <w:tcPr>
            <w:tcW w:w="349" w:type="pct"/>
            <w:tcBorders>
              <w:tl2br w:val="nil"/>
              <w:tr2bl w:val="nil"/>
            </w:tcBorders>
            <w:noWrap w:val="0"/>
            <w:vAlign w:val="center"/>
          </w:tcPr>
          <w:p w14:paraId="76939CC1">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45</w:t>
            </w:r>
          </w:p>
        </w:tc>
        <w:tc>
          <w:tcPr>
            <w:tcW w:w="354" w:type="pct"/>
            <w:tcBorders>
              <w:tl2br w:val="nil"/>
              <w:tr2bl w:val="nil"/>
            </w:tcBorders>
            <w:noWrap w:val="0"/>
            <w:vAlign w:val="center"/>
          </w:tcPr>
          <w:p w14:paraId="75B040BC">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49</w:t>
            </w:r>
          </w:p>
        </w:tc>
        <w:tc>
          <w:tcPr>
            <w:tcW w:w="355" w:type="pct"/>
            <w:tcBorders>
              <w:tl2br w:val="nil"/>
              <w:tr2bl w:val="nil"/>
            </w:tcBorders>
            <w:noWrap w:val="0"/>
            <w:vAlign w:val="center"/>
          </w:tcPr>
          <w:p w14:paraId="13239815">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7.29</w:t>
            </w:r>
          </w:p>
        </w:tc>
        <w:tc>
          <w:tcPr>
            <w:tcW w:w="355" w:type="pct"/>
            <w:tcBorders>
              <w:tl2br w:val="nil"/>
              <w:tr2bl w:val="nil"/>
            </w:tcBorders>
            <w:noWrap w:val="0"/>
            <w:vAlign w:val="center"/>
          </w:tcPr>
          <w:p w14:paraId="44B245DF">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0.55</w:t>
            </w:r>
          </w:p>
        </w:tc>
        <w:tc>
          <w:tcPr>
            <w:tcW w:w="355" w:type="pct"/>
            <w:tcBorders>
              <w:tl2br w:val="nil"/>
              <w:tr2bl w:val="nil"/>
            </w:tcBorders>
            <w:noWrap w:val="0"/>
            <w:vAlign w:val="center"/>
          </w:tcPr>
          <w:p w14:paraId="426D45C9">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13.7 </w:t>
            </w:r>
          </w:p>
        </w:tc>
        <w:tc>
          <w:tcPr>
            <w:tcW w:w="355" w:type="pct"/>
            <w:tcBorders>
              <w:tl2br w:val="nil"/>
              <w:tr2bl w:val="nil"/>
            </w:tcBorders>
            <w:noWrap w:val="0"/>
            <w:vAlign w:val="center"/>
          </w:tcPr>
          <w:p w14:paraId="4D9949AC">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1.12</w:t>
            </w:r>
          </w:p>
        </w:tc>
        <w:tc>
          <w:tcPr>
            <w:tcW w:w="355" w:type="pct"/>
            <w:tcBorders>
              <w:tl2br w:val="nil"/>
              <w:tr2bl w:val="nil"/>
            </w:tcBorders>
            <w:noWrap w:val="0"/>
            <w:vAlign w:val="center"/>
          </w:tcPr>
          <w:p w14:paraId="74BF815F">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355" w:type="pct"/>
            <w:tcBorders>
              <w:tl2br w:val="nil"/>
              <w:tr2bl w:val="nil"/>
            </w:tcBorders>
            <w:noWrap w:val="0"/>
            <w:vAlign w:val="center"/>
          </w:tcPr>
          <w:p w14:paraId="3FA69DF4">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355" w:type="pct"/>
            <w:tcBorders>
              <w:tl2br w:val="nil"/>
              <w:tr2bl w:val="nil"/>
            </w:tcBorders>
            <w:noWrap w:val="0"/>
            <w:vAlign w:val="center"/>
          </w:tcPr>
          <w:p w14:paraId="217521E4">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355" w:type="pct"/>
            <w:tcBorders>
              <w:tl2br w:val="nil"/>
              <w:tr2bl w:val="nil"/>
            </w:tcBorders>
            <w:noWrap w:val="0"/>
            <w:vAlign w:val="center"/>
          </w:tcPr>
          <w:p w14:paraId="6E253DFC">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408" w:type="pct"/>
            <w:vMerge w:val="continue"/>
            <w:tcBorders>
              <w:tl2br w:val="nil"/>
              <w:tr2bl w:val="nil"/>
            </w:tcBorders>
            <w:noWrap w:val="0"/>
            <w:vAlign w:val="center"/>
          </w:tcPr>
          <w:p w14:paraId="642F8E39">
            <w:pPr>
              <w:adjustRightInd/>
              <w:snapToGrid/>
              <w:spacing w:line="240" w:lineRule="auto"/>
              <w:ind w:firstLine="0" w:firstLineChars="0"/>
              <w:jc w:val="center"/>
              <w:rPr>
                <w:rFonts w:hint="eastAsia" w:ascii="Times New Roman" w:hAnsi="Times New Roman" w:eastAsia="宋体" w:cs="Times New Roman"/>
                <w:i w:val="0"/>
                <w:iCs w:val="0"/>
                <w:color w:val="auto"/>
                <w:kern w:val="0"/>
                <w:sz w:val="21"/>
                <w:szCs w:val="21"/>
                <w:u w:val="none"/>
                <w:lang w:val="en-US" w:eastAsia="zh-CN" w:bidi="ar"/>
              </w:rPr>
            </w:pPr>
          </w:p>
        </w:tc>
      </w:tr>
      <w:tr w14:paraId="50244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8" w:type="pct"/>
            <w:vMerge w:val="restart"/>
            <w:tcBorders>
              <w:tl2br w:val="nil"/>
              <w:tr2bl w:val="nil"/>
            </w:tcBorders>
            <w:noWrap w:val="0"/>
            <w:vAlign w:val="center"/>
          </w:tcPr>
          <w:p w14:paraId="3057B768">
            <w:pPr>
              <w:keepNext w:val="0"/>
              <w:keepLines w:val="0"/>
              <w:pageBreakBefore w:val="0"/>
              <w:widowControl/>
              <w:kinsoku/>
              <w:wordWrap/>
              <w:overflowPunct/>
              <w:topLinePunct w:val="0"/>
              <w:autoSpaceDE/>
              <w:autoSpaceDN/>
              <w:bidi w:val="0"/>
              <w:adjustRightInd w:val="0"/>
              <w:spacing w:line="240" w:lineRule="atLeast"/>
              <w:ind w:left="-120" w:leftChars="-50" w:right="-120" w:rightChars="-50" w:firstLine="0" w:firstLineChars="0"/>
              <w:jc w:val="center"/>
              <w:textAlignment w:val="baseline"/>
              <w:rPr>
                <w:rFonts w:hint="default" w:ascii="Times New Roman" w:hAnsi="Times New Roman" w:eastAsia="宋体" w:cs="Times New Roman"/>
                <w:color w:val="auto"/>
                <w:sz w:val="21"/>
                <w:szCs w:val="21"/>
                <w:highlight w:val="none"/>
                <w:vertAlign w:val="baseline"/>
                <w:lang w:val="en-US" w:eastAsia="zh-CN" w:bidi="ar-SA"/>
              </w:rPr>
            </w:pPr>
            <w:r>
              <w:rPr>
                <w:rFonts w:hint="eastAsia" w:ascii="Times New Roman" w:hAnsi="Times New Roman" w:eastAsia="宋体" w:cs="Times New Roman"/>
                <w:color w:val="auto"/>
                <w:sz w:val="21"/>
                <w:szCs w:val="21"/>
                <w:vertAlign w:val="baseline"/>
                <w:lang w:val="en-US" w:eastAsia="zh-CN" w:bidi="ar-SA"/>
              </w:rPr>
              <w:t>2026.05.31</w:t>
            </w:r>
          </w:p>
        </w:tc>
        <w:tc>
          <w:tcPr>
            <w:tcW w:w="348" w:type="pct"/>
            <w:vMerge w:val="restart"/>
            <w:tcBorders>
              <w:tl2br w:val="nil"/>
              <w:tr2bl w:val="nil"/>
            </w:tcBorders>
            <w:noWrap w:val="0"/>
            <w:vAlign w:val="center"/>
          </w:tcPr>
          <w:p w14:paraId="23AFA89D">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eastAsia" w:ascii="Times New Roman" w:hAnsi="Times New Roman" w:cs="Times New Roman"/>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bidi="ar-SA"/>
              </w:rPr>
              <w:t>污水处理站进口</w:t>
            </w:r>
          </w:p>
        </w:tc>
        <w:tc>
          <w:tcPr>
            <w:tcW w:w="349" w:type="pct"/>
            <w:tcBorders>
              <w:tl2br w:val="nil"/>
              <w:tr2bl w:val="nil"/>
            </w:tcBorders>
            <w:noWrap w:val="0"/>
            <w:vAlign w:val="center"/>
          </w:tcPr>
          <w:p w14:paraId="29B1BD80">
            <w:pPr>
              <w:adjustRightInd/>
              <w:snapToGrid/>
              <w:spacing w:line="240" w:lineRule="auto"/>
              <w:ind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第1次</w:t>
            </w:r>
          </w:p>
        </w:tc>
        <w:tc>
          <w:tcPr>
            <w:tcW w:w="349" w:type="pct"/>
            <w:tcBorders>
              <w:tl2br w:val="nil"/>
              <w:tr2bl w:val="nil"/>
            </w:tcBorders>
            <w:noWrap w:val="0"/>
            <w:vAlign w:val="center"/>
          </w:tcPr>
          <w:p w14:paraId="206EA0EB">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309 </w:t>
            </w:r>
          </w:p>
        </w:tc>
        <w:tc>
          <w:tcPr>
            <w:tcW w:w="354" w:type="pct"/>
            <w:tcBorders>
              <w:tl2br w:val="nil"/>
              <w:tr2bl w:val="nil"/>
            </w:tcBorders>
            <w:noWrap w:val="0"/>
            <w:vAlign w:val="center"/>
          </w:tcPr>
          <w:p w14:paraId="45C5179B">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141 </w:t>
            </w:r>
          </w:p>
        </w:tc>
        <w:tc>
          <w:tcPr>
            <w:tcW w:w="355" w:type="pct"/>
            <w:tcBorders>
              <w:tl2br w:val="nil"/>
              <w:tr2bl w:val="nil"/>
            </w:tcBorders>
            <w:noWrap w:val="0"/>
            <w:vAlign w:val="center"/>
          </w:tcPr>
          <w:p w14:paraId="15EB79AF">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12.8</w:t>
            </w:r>
          </w:p>
        </w:tc>
        <w:tc>
          <w:tcPr>
            <w:tcW w:w="355" w:type="pct"/>
            <w:tcBorders>
              <w:tl2br w:val="nil"/>
              <w:tr2bl w:val="nil"/>
            </w:tcBorders>
            <w:noWrap w:val="0"/>
            <w:vAlign w:val="center"/>
          </w:tcPr>
          <w:p w14:paraId="1958414B">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1.95 </w:t>
            </w:r>
          </w:p>
        </w:tc>
        <w:tc>
          <w:tcPr>
            <w:tcW w:w="355" w:type="pct"/>
            <w:tcBorders>
              <w:tl2br w:val="nil"/>
              <w:tr2bl w:val="nil"/>
            </w:tcBorders>
            <w:noWrap w:val="0"/>
            <w:vAlign w:val="center"/>
          </w:tcPr>
          <w:p w14:paraId="102D09A6">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22.9 </w:t>
            </w:r>
          </w:p>
        </w:tc>
        <w:tc>
          <w:tcPr>
            <w:tcW w:w="355" w:type="pct"/>
            <w:tcBorders>
              <w:tl2br w:val="nil"/>
              <w:tr2bl w:val="nil"/>
            </w:tcBorders>
            <w:noWrap w:val="0"/>
            <w:vAlign w:val="center"/>
          </w:tcPr>
          <w:p w14:paraId="6D78354E">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1.53 </w:t>
            </w:r>
          </w:p>
        </w:tc>
        <w:tc>
          <w:tcPr>
            <w:tcW w:w="355" w:type="pct"/>
            <w:tcBorders>
              <w:tl2br w:val="nil"/>
              <w:tr2bl w:val="nil"/>
            </w:tcBorders>
            <w:noWrap w:val="0"/>
            <w:vAlign w:val="center"/>
          </w:tcPr>
          <w:p w14:paraId="168F3C60">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0.24</w:t>
            </w:r>
          </w:p>
        </w:tc>
        <w:tc>
          <w:tcPr>
            <w:tcW w:w="355" w:type="pct"/>
            <w:tcBorders>
              <w:tl2br w:val="nil"/>
              <w:tr2bl w:val="nil"/>
            </w:tcBorders>
            <w:noWrap w:val="0"/>
            <w:vAlign w:val="center"/>
          </w:tcPr>
          <w:p w14:paraId="4EA33B69">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0.21</w:t>
            </w:r>
          </w:p>
        </w:tc>
        <w:tc>
          <w:tcPr>
            <w:tcW w:w="355" w:type="pct"/>
            <w:tcBorders>
              <w:tl2br w:val="nil"/>
              <w:tr2bl w:val="nil"/>
            </w:tcBorders>
            <w:noWrap w:val="0"/>
            <w:vAlign w:val="center"/>
          </w:tcPr>
          <w:p w14:paraId="4575ABD8">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0.13</w:t>
            </w:r>
          </w:p>
        </w:tc>
        <w:tc>
          <w:tcPr>
            <w:tcW w:w="355" w:type="pct"/>
            <w:tcBorders>
              <w:tl2br w:val="nil"/>
              <w:tr2bl w:val="nil"/>
            </w:tcBorders>
            <w:noWrap w:val="0"/>
            <w:vAlign w:val="center"/>
          </w:tcPr>
          <w:p w14:paraId="275613AC">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0.064</w:t>
            </w:r>
          </w:p>
        </w:tc>
        <w:tc>
          <w:tcPr>
            <w:tcW w:w="408" w:type="pct"/>
            <w:vMerge w:val="restart"/>
            <w:tcBorders>
              <w:tl2br w:val="nil"/>
              <w:tr2bl w:val="nil"/>
            </w:tcBorders>
            <w:noWrap w:val="0"/>
            <w:vAlign w:val="center"/>
          </w:tcPr>
          <w:p w14:paraId="38010A07">
            <w:pPr>
              <w:adjustRightInd/>
              <w:snapToGrid/>
              <w:spacing w:line="240" w:lineRule="auto"/>
              <w:ind w:firstLine="0" w:firstLineChars="0"/>
              <w:jc w:val="center"/>
              <w:rPr>
                <w:rFonts w:hint="eastAsia" w:ascii="Times New Roman" w:hAnsi="Times New Roman" w:eastAsia="宋体" w:cs="Times New Roman"/>
                <w:i w:val="0"/>
                <w:iCs w:val="0"/>
                <w:color w:val="auto"/>
                <w:kern w:val="0"/>
                <w:sz w:val="21"/>
                <w:szCs w:val="21"/>
                <w:u w:val="none"/>
                <w:lang w:val="en-US" w:eastAsia="zh-CN" w:bidi="ar"/>
              </w:rPr>
            </w:pPr>
          </w:p>
        </w:tc>
      </w:tr>
      <w:tr w14:paraId="1D34A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8" w:type="pct"/>
            <w:vMerge w:val="continue"/>
            <w:tcBorders>
              <w:tl2br w:val="nil"/>
              <w:tr2bl w:val="nil"/>
            </w:tcBorders>
            <w:noWrap w:val="0"/>
            <w:vAlign w:val="center"/>
          </w:tcPr>
          <w:p w14:paraId="0F3CE0F9">
            <w:pPr>
              <w:keepNext w:val="0"/>
              <w:keepLines w:val="0"/>
              <w:pageBreakBefore w:val="0"/>
              <w:widowControl/>
              <w:kinsoku/>
              <w:wordWrap/>
              <w:overflowPunct/>
              <w:topLinePunct w:val="0"/>
              <w:autoSpaceDE/>
              <w:autoSpaceDN/>
              <w:bidi w:val="0"/>
              <w:adjustRightInd w:val="0"/>
              <w:spacing w:line="240" w:lineRule="atLeast"/>
              <w:ind w:left="-120" w:leftChars="-50" w:right="-120" w:rightChars="-50" w:firstLine="0" w:firstLineChars="0"/>
              <w:jc w:val="center"/>
              <w:textAlignment w:val="baseline"/>
              <w:rPr>
                <w:rFonts w:hint="default" w:ascii="Times New Roman" w:hAnsi="Times New Roman" w:eastAsia="宋体" w:cs="Times New Roman"/>
                <w:color w:val="auto"/>
                <w:sz w:val="21"/>
                <w:szCs w:val="21"/>
                <w:highlight w:val="none"/>
                <w:vertAlign w:val="baseline"/>
                <w:lang w:val="en-US" w:eastAsia="zh-CN" w:bidi="ar-SA"/>
              </w:rPr>
            </w:pPr>
          </w:p>
        </w:tc>
        <w:tc>
          <w:tcPr>
            <w:tcW w:w="348" w:type="pct"/>
            <w:vMerge w:val="continue"/>
            <w:tcBorders>
              <w:tl2br w:val="nil"/>
              <w:tr2bl w:val="nil"/>
            </w:tcBorders>
            <w:noWrap w:val="0"/>
            <w:vAlign w:val="center"/>
          </w:tcPr>
          <w:p w14:paraId="3C4E9257">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eastAsia" w:ascii="Times New Roman" w:hAnsi="Times New Roman" w:cs="Times New Roman"/>
                <w:sz w:val="21"/>
                <w:szCs w:val="21"/>
                <w:vertAlign w:val="baseline"/>
                <w:lang w:val="en-US" w:eastAsia="zh-CN"/>
              </w:rPr>
            </w:pPr>
          </w:p>
        </w:tc>
        <w:tc>
          <w:tcPr>
            <w:tcW w:w="349" w:type="pct"/>
            <w:tcBorders>
              <w:tl2br w:val="nil"/>
              <w:tr2bl w:val="nil"/>
            </w:tcBorders>
            <w:noWrap w:val="0"/>
            <w:vAlign w:val="center"/>
          </w:tcPr>
          <w:p w14:paraId="1742AA40">
            <w:pPr>
              <w:adjustRightInd/>
              <w:snapToGrid/>
              <w:spacing w:line="240" w:lineRule="auto"/>
              <w:ind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第</w:t>
            </w:r>
            <w:r>
              <w:rPr>
                <w:rFonts w:hint="eastAsia" w:ascii="Times New Roman" w:hAnsi="Times New Roman" w:cs="Times New Roman"/>
                <w:sz w:val="21"/>
                <w:szCs w:val="21"/>
                <w:vertAlign w:val="baseline"/>
                <w:lang w:val="en-US" w:eastAsia="zh-CN"/>
              </w:rPr>
              <w:t>2</w:t>
            </w:r>
            <w:r>
              <w:rPr>
                <w:rFonts w:hint="default" w:ascii="Times New Roman" w:hAnsi="Times New Roman" w:cs="Times New Roman"/>
                <w:sz w:val="21"/>
                <w:szCs w:val="21"/>
                <w:vertAlign w:val="baseline"/>
                <w:lang w:val="en-US" w:eastAsia="zh-CN"/>
              </w:rPr>
              <w:t>次</w:t>
            </w:r>
          </w:p>
        </w:tc>
        <w:tc>
          <w:tcPr>
            <w:tcW w:w="349" w:type="pct"/>
            <w:tcBorders>
              <w:tl2br w:val="nil"/>
              <w:tr2bl w:val="nil"/>
            </w:tcBorders>
            <w:noWrap w:val="0"/>
            <w:vAlign w:val="center"/>
          </w:tcPr>
          <w:p w14:paraId="2C084AA2">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321 </w:t>
            </w:r>
          </w:p>
        </w:tc>
        <w:tc>
          <w:tcPr>
            <w:tcW w:w="354" w:type="pct"/>
            <w:tcBorders>
              <w:tl2br w:val="nil"/>
              <w:tr2bl w:val="nil"/>
            </w:tcBorders>
            <w:noWrap w:val="0"/>
            <w:vAlign w:val="center"/>
          </w:tcPr>
          <w:p w14:paraId="70AE932E">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146 </w:t>
            </w:r>
          </w:p>
        </w:tc>
        <w:tc>
          <w:tcPr>
            <w:tcW w:w="355" w:type="pct"/>
            <w:tcBorders>
              <w:tl2br w:val="nil"/>
              <w:tr2bl w:val="nil"/>
            </w:tcBorders>
            <w:noWrap w:val="0"/>
            <w:vAlign w:val="center"/>
          </w:tcPr>
          <w:p w14:paraId="345A8096">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11.4</w:t>
            </w:r>
          </w:p>
        </w:tc>
        <w:tc>
          <w:tcPr>
            <w:tcW w:w="355" w:type="pct"/>
            <w:tcBorders>
              <w:tl2br w:val="nil"/>
              <w:tr2bl w:val="nil"/>
            </w:tcBorders>
            <w:noWrap w:val="0"/>
            <w:vAlign w:val="center"/>
          </w:tcPr>
          <w:p w14:paraId="6A7F7BFB">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1.90 </w:t>
            </w:r>
          </w:p>
        </w:tc>
        <w:tc>
          <w:tcPr>
            <w:tcW w:w="355" w:type="pct"/>
            <w:tcBorders>
              <w:tl2br w:val="nil"/>
              <w:tr2bl w:val="nil"/>
            </w:tcBorders>
            <w:noWrap w:val="0"/>
            <w:vAlign w:val="center"/>
          </w:tcPr>
          <w:p w14:paraId="36BB444B">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21.8 </w:t>
            </w:r>
          </w:p>
        </w:tc>
        <w:tc>
          <w:tcPr>
            <w:tcW w:w="355" w:type="pct"/>
            <w:tcBorders>
              <w:tl2br w:val="nil"/>
              <w:tr2bl w:val="nil"/>
            </w:tcBorders>
            <w:noWrap w:val="0"/>
            <w:vAlign w:val="center"/>
          </w:tcPr>
          <w:p w14:paraId="2D45AC85">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1.41 </w:t>
            </w:r>
          </w:p>
        </w:tc>
        <w:tc>
          <w:tcPr>
            <w:tcW w:w="355" w:type="pct"/>
            <w:tcBorders>
              <w:tl2br w:val="nil"/>
              <w:tr2bl w:val="nil"/>
            </w:tcBorders>
            <w:noWrap w:val="0"/>
            <w:vAlign w:val="center"/>
          </w:tcPr>
          <w:p w14:paraId="7E5BE4A4">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0.23</w:t>
            </w:r>
          </w:p>
        </w:tc>
        <w:tc>
          <w:tcPr>
            <w:tcW w:w="355" w:type="pct"/>
            <w:tcBorders>
              <w:tl2br w:val="nil"/>
              <w:tr2bl w:val="nil"/>
            </w:tcBorders>
            <w:noWrap w:val="0"/>
            <w:vAlign w:val="center"/>
          </w:tcPr>
          <w:p w14:paraId="7DF0CA71">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0.24</w:t>
            </w:r>
          </w:p>
        </w:tc>
        <w:tc>
          <w:tcPr>
            <w:tcW w:w="355" w:type="pct"/>
            <w:tcBorders>
              <w:tl2br w:val="nil"/>
              <w:tr2bl w:val="nil"/>
            </w:tcBorders>
            <w:noWrap w:val="0"/>
            <w:vAlign w:val="center"/>
          </w:tcPr>
          <w:p w14:paraId="268B4A99">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0.16</w:t>
            </w:r>
          </w:p>
        </w:tc>
        <w:tc>
          <w:tcPr>
            <w:tcW w:w="355" w:type="pct"/>
            <w:tcBorders>
              <w:tl2br w:val="nil"/>
              <w:tr2bl w:val="nil"/>
            </w:tcBorders>
            <w:noWrap w:val="0"/>
            <w:vAlign w:val="center"/>
          </w:tcPr>
          <w:p w14:paraId="60AB92F1">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0.069</w:t>
            </w:r>
          </w:p>
        </w:tc>
        <w:tc>
          <w:tcPr>
            <w:tcW w:w="408" w:type="pct"/>
            <w:vMerge w:val="continue"/>
            <w:tcBorders>
              <w:tl2br w:val="nil"/>
              <w:tr2bl w:val="nil"/>
            </w:tcBorders>
            <w:noWrap w:val="0"/>
            <w:vAlign w:val="center"/>
          </w:tcPr>
          <w:p w14:paraId="6011429E">
            <w:pPr>
              <w:adjustRightInd/>
              <w:snapToGrid/>
              <w:spacing w:line="240" w:lineRule="auto"/>
              <w:ind w:firstLine="0" w:firstLineChars="0"/>
              <w:jc w:val="center"/>
              <w:rPr>
                <w:rFonts w:hint="eastAsia" w:ascii="Times New Roman" w:hAnsi="Times New Roman" w:eastAsia="宋体" w:cs="Times New Roman"/>
                <w:i w:val="0"/>
                <w:iCs w:val="0"/>
                <w:color w:val="auto"/>
                <w:kern w:val="0"/>
                <w:sz w:val="21"/>
                <w:szCs w:val="21"/>
                <w:u w:val="none"/>
                <w:lang w:val="en-US" w:eastAsia="zh-CN" w:bidi="ar"/>
              </w:rPr>
            </w:pPr>
          </w:p>
        </w:tc>
      </w:tr>
      <w:tr w14:paraId="39E45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8" w:type="pct"/>
            <w:vMerge w:val="continue"/>
            <w:tcBorders>
              <w:tl2br w:val="nil"/>
              <w:tr2bl w:val="nil"/>
            </w:tcBorders>
            <w:noWrap w:val="0"/>
            <w:vAlign w:val="center"/>
          </w:tcPr>
          <w:p w14:paraId="49A2736D">
            <w:pPr>
              <w:keepNext w:val="0"/>
              <w:keepLines w:val="0"/>
              <w:pageBreakBefore w:val="0"/>
              <w:widowControl/>
              <w:kinsoku/>
              <w:wordWrap/>
              <w:overflowPunct/>
              <w:topLinePunct w:val="0"/>
              <w:autoSpaceDE/>
              <w:autoSpaceDN/>
              <w:bidi w:val="0"/>
              <w:adjustRightInd w:val="0"/>
              <w:spacing w:line="240" w:lineRule="atLeast"/>
              <w:ind w:left="-120" w:leftChars="-50" w:right="-120" w:rightChars="-50" w:firstLine="0" w:firstLineChars="0"/>
              <w:jc w:val="center"/>
              <w:textAlignment w:val="baseline"/>
              <w:rPr>
                <w:rFonts w:hint="default" w:ascii="Times New Roman" w:hAnsi="Times New Roman" w:eastAsia="宋体" w:cs="Times New Roman"/>
                <w:color w:val="auto"/>
                <w:sz w:val="21"/>
                <w:szCs w:val="21"/>
                <w:highlight w:val="none"/>
                <w:vertAlign w:val="baseline"/>
                <w:lang w:val="en-US" w:eastAsia="zh-CN" w:bidi="ar-SA"/>
              </w:rPr>
            </w:pPr>
          </w:p>
        </w:tc>
        <w:tc>
          <w:tcPr>
            <w:tcW w:w="348" w:type="pct"/>
            <w:vMerge w:val="continue"/>
            <w:tcBorders>
              <w:tl2br w:val="nil"/>
              <w:tr2bl w:val="nil"/>
            </w:tcBorders>
            <w:noWrap w:val="0"/>
            <w:vAlign w:val="center"/>
          </w:tcPr>
          <w:p w14:paraId="0749D132">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eastAsia" w:ascii="Times New Roman" w:hAnsi="Times New Roman" w:cs="Times New Roman"/>
                <w:sz w:val="21"/>
                <w:szCs w:val="21"/>
                <w:vertAlign w:val="baseline"/>
                <w:lang w:val="en-US" w:eastAsia="zh-CN"/>
              </w:rPr>
            </w:pPr>
          </w:p>
        </w:tc>
        <w:tc>
          <w:tcPr>
            <w:tcW w:w="349" w:type="pct"/>
            <w:tcBorders>
              <w:tl2br w:val="nil"/>
              <w:tr2bl w:val="nil"/>
            </w:tcBorders>
            <w:noWrap w:val="0"/>
            <w:vAlign w:val="center"/>
          </w:tcPr>
          <w:p w14:paraId="45E3536E">
            <w:pPr>
              <w:adjustRightInd/>
              <w:snapToGrid/>
              <w:spacing w:line="240" w:lineRule="auto"/>
              <w:ind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第</w:t>
            </w:r>
            <w:r>
              <w:rPr>
                <w:rFonts w:hint="eastAsia" w:ascii="Times New Roman" w:hAnsi="Times New Roman" w:cs="Times New Roman"/>
                <w:sz w:val="21"/>
                <w:szCs w:val="21"/>
                <w:vertAlign w:val="baseline"/>
                <w:lang w:val="en-US" w:eastAsia="zh-CN"/>
              </w:rPr>
              <w:t>3</w:t>
            </w:r>
            <w:r>
              <w:rPr>
                <w:rFonts w:hint="default" w:ascii="Times New Roman" w:hAnsi="Times New Roman" w:cs="Times New Roman"/>
                <w:sz w:val="21"/>
                <w:szCs w:val="21"/>
                <w:vertAlign w:val="baseline"/>
                <w:lang w:val="en-US" w:eastAsia="zh-CN"/>
              </w:rPr>
              <w:t>次</w:t>
            </w:r>
          </w:p>
        </w:tc>
        <w:tc>
          <w:tcPr>
            <w:tcW w:w="349" w:type="pct"/>
            <w:tcBorders>
              <w:tl2br w:val="nil"/>
              <w:tr2bl w:val="nil"/>
            </w:tcBorders>
            <w:noWrap w:val="0"/>
            <w:vAlign w:val="center"/>
          </w:tcPr>
          <w:p w14:paraId="3B1F8E52">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297 </w:t>
            </w:r>
          </w:p>
        </w:tc>
        <w:tc>
          <w:tcPr>
            <w:tcW w:w="354" w:type="pct"/>
            <w:tcBorders>
              <w:tl2br w:val="nil"/>
              <w:tr2bl w:val="nil"/>
            </w:tcBorders>
            <w:noWrap w:val="0"/>
            <w:vAlign w:val="center"/>
          </w:tcPr>
          <w:p w14:paraId="69CA0DF8">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138 </w:t>
            </w:r>
          </w:p>
        </w:tc>
        <w:tc>
          <w:tcPr>
            <w:tcW w:w="355" w:type="pct"/>
            <w:tcBorders>
              <w:tl2br w:val="nil"/>
              <w:tr2bl w:val="nil"/>
            </w:tcBorders>
            <w:noWrap w:val="0"/>
            <w:vAlign w:val="center"/>
          </w:tcPr>
          <w:p w14:paraId="1A956F85">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12.3</w:t>
            </w:r>
          </w:p>
        </w:tc>
        <w:tc>
          <w:tcPr>
            <w:tcW w:w="355" w:type="pct"/>
            <w:tcBorders>
              <w:tl2br w:val="nil"/>
              <w:tr2bl w:val="nil"/>
            </w:tcBorders>
            <w:noWrap w:val="0"/>
            <w:vAlign w:val="center"/>
          </w:tcPr>
          <w:p w14:paraId="766F7019">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1.97 </w:t>
            </w:r>
          </w:p>
        </w:tc>
        <w:tc>
          <w:tcPr>
            <w:tcW w:w="355" w:type="pct"/>
            <w:tcBorders>
              <w:tl2br w:val="nil"/>
              <w:tr2bl w:val="nil"/>
            </w:tcBorders>
            <w:noWrap w:val="0"/>
            <w:vAlign w:val="center"/>
          </w:tcPr>
          <w:p w14:paraId="35A8A98C">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22.2 </w:t>
            </w:r>
          </w:p>
        </w:tc>
        <w:tc>
          <w:tcPr>
            <w:tcW w:w="355" w:type="pct"/>
            <w:tcBorders>
              <w:tl2br w:val="nil"/>
              <w:tr2bl w:val="nil"/>
            </w:tcBorders>
            <w:noWrap w:val="0"/>
            <w:vAlign w:val="center"/>
          </w:tcPr>
          <w:p w14:paraId="272769D7">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1.59 </w:t>
            </w:r>
          </w:p>
        </w:tc>
        <w:tc>
          <w:tcPr>
            <w:tcW w:w="355" w:type="pct"/>
            <w:tcBorders>
              <w:tl2br w:val="nil"/>
              <w:tr2bl w:val="nil"/>
            </w:tcBorders>
            <w:noWrap w:val="0"/>
            <w:vAlign w:val="center"/>
          </w:tcPr>
          <w:p w14:paraId="2E23C981">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0.24</w:t>
            </w:r>
          </w:p>
        </w:tc>
        <w:tc>
          <w:tcPr>
            <w:tcW w:w="355" w:type="pct"/>
            <w:tcBorders>
              <w:tl2br w:val="nil"/>
              <w:tr2bl w:val="nil"/>
            </w:tcBorders>
            <w:noWrap w:val="0"/>
            <w:vAlign w:val="center"/>
          </w:tcPr>
          <w:p w14:paraId="470DFAE5">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0.22</w:t>
            </w:r>
          </w:p>
        </w:tc>
        <w:tc>
          <w:tcPr>
            <w:tcW w:w="355" w:type="pct"/>
            <w:tcBorders>
              <w:tl2br w:val="nil"/>
              <w:tr2bl w:val="nil"/>
            </w:tcBorders>
            <w:noWrap w:val="0"/>
            <w:vAlign w:val="center"/>
          </w:tcPr>
          <w:p w14:paraId="20B78951">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0.12</w:t>
            </w:r>
          </w:p>
        </w:tc>
        <w:tc>
          <w:tcPr>
            <w:tcW w:w="355" w:type="pct"/>
            <w:tcBorders>
              <w:tl2br w:val="nil"/>
              <w:tr2bl w:val="nil"/>
            </w:tcBorders>
            <w:noWrap w:val="0"/>
            <w:vAlign w:val="center"/>
          </w:tcPr>
          <w:p w14:paraId="17CFC532">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0.073</w:t>
            </w:r>
          </w:p>
        </w:tc>
        <w:tc>
          <w:tcPr>
            <w:tcW w:w="408" w:type="pct"/>
            <w:vMerge w:val="continue"/>
            <w:tcBorders>
              <w:tl2br w:val="nil"/>
              <w:tr2bl w:val="nil"/>
            </w:tcBorders>
            <w:noWrap w:val="0"/>
            <w:vAlign w:val="center"/>
          </w:tcPr>
          <w:p w14:paraId="722D34DA">
            <w:pPr>
              <w:adjustRightInd/>
              <w:snapToGrid/>
              <w:spacing w:line="240" w:lineRule="auto"/>
              <w:ind w:firstLine="0" w:firstLineChars="0"/>
              <w:jc w:val="center"/>
              <w:rPr>
                <w:rFonts w:hint="eastAsia" w:ascii="Times New Roman" w:hAnsi="Times New Roman" w:eastAsia="宋体" w:cs="Times New Roman"/>
                <w:i w:val="0"/>
                <w:iCs w:val="0"/>
                <w:color w:val="auto"/>
                <w:kern w:val="0"/>
                <w:sz w:val="21"/>
                <w:szCs w:val="21"/>
                <w:u w:val="none"/>
                <w:lang w:val="en-US" w:eastAsia="zh-CN" w:bidi="ar"/>
              </w:rPr>
            </w:pPr>
          </w:p>
        </w:tc>
      </w:tr>
      <w:tr w14:paraId="323BF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8" w:type="pct"/>
            <w:vMerge w:val="continue"/>
            <w:tcBorders>
              <w:tl2br w:val="nil"/>
              <w:tr2bl w:val="nil"/>
            </w:tcBorders>
            <w:noWrap w:val="0"/>
            <w:vAlign w:val="center"/>
          </w:tcPr>
          <w:p w14:paraId="1E97E01E">
            <w:pPr>
              <w:keepNext w:val="0"/>
              <w:keepLines w:val="0"/>
              <w:pageBreakBefore w:val="0"/>
              <w:widowControl/>
              <w:kinsoku/>
              <w:wordWrap/>
              <w:overflowPunct/>
              <w:topLinePunct w:val="0"/>
              <w:autoSpaceDE/>
              <w:autoSpaceDN/>
              <w:bidi w:val="0"/>
              <w:adjustRightInd w:val="0"/>
              <w:spacing w:line="240" w:lineRule="atLeast"/>
              <w:ind w:left="-120" w:leftChars="-50" w:right="-120" w:rightChars="-50" w:firstLine="0" w:firstLineChars="0"/>
              <w:jc w:val="center"/>
              <w:textAlignment w:val="baseline"/>
              <w:rPr>
                <w:rFonts w:hint="default" w:ascii="Times New Roman" w:hAnsi="Times New Roman" w:eastAsia="宋体" w:cs="Times New Roman"/>
                <w:color w:val="auto"/>
                <w:sz w:val="21"/>
                <w:szCs w:val="21"/>
                <w:highlight w:val="none"/>
                <w:vertAlign w:val="baseline"/>
                <w:lang w:val="en-US" w:eastAsia="zh-CN" w:bidi="ar-SA"/>
              </w:rPr>
            </w:pPr>
          </w:p>
        </w:tc>
        <w:tc>
          <w:tcPr>
            <w:tcW w:w="348" w:type="pct"/>
            <w:vMerge w:val="continue"/>
            <w:tcBorders>
              <w:tl2br w:val="nil"/>
              <w:tr2bl w:val="nil"/>
            </w:tcBorders>
            <w:noWrap w:val="0"/>
            <w:vAlign w:val="center"/>
          </w:tcPr>
          <w:p w14:paraId="14922164">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eastAsia" w:ascii="Times New Roman" w:hAnsi="Times New Roman" w:cs="Times New Roman"/>
                <w:sz w:val="21"/>
                <w:szCs w:val="21"/>
                <w:vertAlign w:val="baseline"/>
                <w:lang w:val="en-US" w:eastAsia="zh-CN"/>
              </w:rPr>
            </w:pPr>
          </w:p>
        </w:tc>
        <w:tc>
          <w:tcPr>
            <w:tcW w:w="349" w:type="pct"/>
            <w:tcBorders>
              <w:tl2br w:val="nil"/>
              <w:tr2bl w:val="nil"/>
            </w:tcBorders>
            <w:noWrap w:val="0"/>
            <w:vAlign w:val="center"/>
          </w:tcPr>
          <w:p w14:paraId="61C9E307">
            <w:pPr>
              <w:adjustRightInd/>
              <w:snapToGrid/>
              <w:spacing w:line="240" w:lineRule="auto"/>
              <w:ind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第</w:t>
            </w:r>
            <w:r>
              <w:rPr>
                <w:rFonts w:hint="eastAsia" w:ascii="Times New Roman" w:hAnsi="Times New Roman" w:cs="Times New Roman"/>
                <w:sz w:val="21"/>
                <w:szCs w:val="21"/>
                <w:vertAlign w:val="baseline"/>
                <w:lang w:val="en-US" w:eastAsia="zh-CN"/>
              </w:rPr>
              <w:t>4</w:t>
            </w:r>
            <w:r>
              <w:rPr>
                <w:rFonts w:hint="default" w:ascii="Times New Roman" w:hAnsi="Times New Roman" w:cs="Times New Roman"/>
                <w:sz w:val="21"/>
                <w:szCs w:val="21"/>
                <w:vertAlign w:val="baseline"/>
                <w:lang w:val="en-US" w:eastAsia="zh-CN"/>
              </w:rPr>
              <w:t>次</w:t>
            </w:r>
          </w:p>
        </w:tc>
        <w:tc>
          <w:tcPr>
            <w:tcW w:w="349" w:type="pct"/>
            <w:tcBorders>
              <w:tl2br w:val="nil"/>
              <w:tr2bl w:val="nil"/>
            </w:tcBorders>
            <w:noWrap w:val="0"/>
            <w:vAlign w:val="center"/>
          </w:tcPr>
          <w:p w14:paraId="3CA066C3">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328 </w:t>
            </w:r>
          </w:p>
        </w:tc>
        <w:tc>
          <w:tcPr>
            <w:tcW w:w="354" w:type="pct"/>
            <w:tcBorders>
              <w:tl2br w:val="nil"/>
              <w:tr2bl w:val="nil"/>
            </w:tcBorders>
            <w:noWrap w:val="0"/>
            <w:vAlign w:val="center"/>
          </w:tcPr>
          <w:p w14:paraId="6CDCD96F">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149 </w:t>
            </w:r>
          </w:p>
        </w:tc>
        <w:tc>
          <w:tcPr>
            <w:tcW w:w="355" w:type="pct"/>
            <w:tcBorders>
              <w:tl2br w:val="nil"/>
              <w:tr2bl w:val="nil"/>
            </w:tcBorders>
            <w:noWrap w:val="0"/>
            <w:vAlign w:val="center"/>
          </w:tcPr>
          <w:p w14:paraId="0864BED8">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13.1</w:t>
            </w:r>
          </w:p>
        </w:tc>
        <w:tc>
          <w:tcPr>
            <w:tcW w:w="355" w:type="pct"/>
            <w:tcBorders>
              <w:tl2br w:val="nil"/>
              <w:tr2bl w:val="nil"/>
            </w:tcBorders>
            <w:noWrap w:val="0"/>
            <w:vAlign w:val="center"/>
          </w:tcPr>
          <w:p w14:paraId="4B2AD45A">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1.93 </w:t>
            </w:r>
          </w:p>
        </w:tc>
        <w:tc>
          <w:tcPr>
            <w:tcW w:w="355" w:type="pct"/>
            <w:tcBorders>
              <w:tl2br w:val="nil"/>
              <w:tr2bl w:val="nil"/>
            </w:tcBorders>
            <w:noWrap w:val="0"/>
            <w:vAlign w:val="center"/>
          </w:tcPr>
          <w:p w14:paraId="3E5A5121">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22.3 </w:t>
            </w:r>
          </w:p>
        </w:tc>
        <w:tc>
          <w:tcPr>
            <w:tcW w:w="355" w:type="pct"/>
            <w:tcBorders>
              <w:tl2br w:val="nil"/>
              <w:tr2bl w:val="nil"/>
            </w:tcBorders>
            <w:noWrap w:val="0"/>
            <w:vAlign w:val="center"/>
          </w:tcPr>
          <w:p w14:paraId="215CEB27">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1.55 </w:t>
            </w:r>
          </w:p>
        </w:tc>
        <w:tc>
          <w:tcPr>
            <w:tcW w:w="355" w:type="pct"/>
            <w:tcBorders>
              <w:tl2br w:val="nil"/>
              <w:tr2bl w:val="nil"/>
            </w:tcBorders>
            <w:noWrap w:val="0"/>
            <w:vAlign w:val="center"/>
          </w:tcPr>
          <w:p w14:paraId="4321AD4E">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0.25</w:t>
            </w:r>
          </w:p>
        </w:tc>
        <w:tc>
          <w:tcPr>
            <w:tcW w:w="355" w:type="pct"/>
            <w:tcBorders>
              <w:tl2br w:val="nil"/>
              <w:tr2bl w:val="nil"/>
            </w:tcBorders>
            <w:noWrap w:val="0"/>
            <w:vAlign w:val="center"/>
          </w:tcPr>
          <w:p w14:paraId="727C9190">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0.26</w:t>
            </w:r>
          </w:p>
        </w:tc>
        <w:tc>
          <w:tcPr>
            <w:tcW w:w="355" w:type="pct"/>
            <w:tcBorders>
              <w:tl2br w:val="nil"/>
              <w:tr2bl w:val="nil"/>
            </w:tcBorders>
            <w:noWrap w:val="0"/>
            <w:vAlign w:val="center"/>
          </w:tcPr>
          <w:p w14:paraId="39491F41">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0.14</w:t>
            </w:r>
          </w:p>
        </w:tc>
        <w:tc>
          <w:tcPr>
            <w:tcW w:w="355" w:type="pct"/>
            <w:tcBorders>
              <w:tl2br w:val="nil"/>
              <w:tr2bl w:val="nil"/>
            </w:tcBorders>
            <w:noWrap w:val="0"/>
            <w:vAlign w:val="center"/>
          </w:tcPr>
          <w:p w14:paraId="2BB59476">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0.078</w:t>
            </w:r>
          </w:p>
        </w:tc>
        <w:tc>
          <w:tcPr>
            <w:tcW w:w="408" w:type="pct"/>
            <w:vMerge w:val="continue"/>
            <w:tcBorders>
              <w:tl2br w:val="nil"/>
              <w:tr2bl w:val="nil"/>
            </w:tcBorders>
            <w:noWrap w:val="0"/>
            <w:vAlign w:val="center"/>
          </w:tcPr>
          <w:p w14:paraId="0B7D0D82">
            <w:pPr>
              <w:adjustRightInd/>
              <w:snapToGrid/>
              <w:spacing w:line="240" w:lineRule="auto"/>
              <w:ind w:firstLine="0" w:firstLineChars="0"/>
              <w:jc w:val="center"/>
              <w:rPr>
                <w:rFonts w:hint="eastAsia" w:ascii="Times New Roman" w:hAnsi="Times New Roman" w:eastAsia="宋体" w:cs="Times New Roman"/>
                <w:i w:val="0"/>
                <w:iCs w:val="0"/>
                <w:color w:val="auto"/>
                <w:kern w:val="0"/>
                <w:sz w:val="21"/>
                <w:szCs w:val="21"/>
                <w:u w:val="none"/>
                <w:lang w:val="en-US" w:eastAsia="zh-CN" w:bidi="ar"/>
              </w:rPr>
            </w:pPr>
          </w:p>
        </w:tc>
      </w:tr>
      <w:tr w14:paraId="39238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8" w:type="pct"/>
            <w:vMerge w:val="continue"/>
            <w:tcBorders>
              <w:tl2br w:val="nil"/>
              <w:tr2bl w:val="nil"/>
            </w:tcBorders>
            <w:noWrap w:val="0"/>
            <w:vAlign w:val="center"/>
          </w:tcPr>
          <w:p w14:paraId="52F058D6">
            <w:pPr>
              <w:keepNext w:val="0"/>
              <w:keepLines w:val="0"/>
              <w:pageBreakBefore w:val="0"/>
              <w:widowControl/>
              <w:kinsoku/>
              <w:wordWrap/>
              <w:overflowPunct/>
              <w:topLinePunct w:val="0"/>
              <w:autoSpaceDE/>
              <w:autoSpaceDN/>
              <w:bidi w:val="0"/>
              <w:adjustRightInd w:val="0"/>
              <w:spacing w:line="240" w:lineRule="atLeast"/>
              <w:ind w:left="-120" w:leftChars="-50" w:right="-120" w:rightChars="-50" w:firstLine="0" w:firstLineChars="0"/>
              <w:jc w:val="center"/>
              <w:textAlignment w:val="baseline"/>
              <w:rPr>
                <w:rFonts w:hint="default" w:ascii="Times New Roman" w:hAnsi="Times New Roman" w:eastAsia="宋体" w:cs="Times New Roman"/>
                <w:color w:val="auto"/>
                <w:sz w:val="21"/>
                <w:szCs w:val="21"/>
                <w:highlight w:val="none"/>
                <w:vertAlign w:val="baseline"/>
                <w:lang w:val="en-US" w:eastAsia="zh-CN" w:bidi="ar-SA"/>
              </w:rPr>
            </w:pPr>
          </w:p>
        </w:tc>
        <w:tc>
          <w:tcPr>
            <w:tcW w:w="348" w:type="pct"/>
            <w:vMerge w:val="restart"/>
            <w:tcBorders>
              <w:tl2br w:val="nil"/>
              <w:tr2bl w:val="nil"/>
            </w:tcBorders>
            <w:noWrap w:val="0"/>
            <w:vAlign w:val="center"/>
          </w:tcPr>
          <w:p w14:paraId="40C729D0">
            <w:pPr>
              <w:keepNext w:val="0"/>
              <w:keepLines w:val="0"/>
              <w:pageBreakBefore w:val="0"/>
              <w:widowControl/>
              <w:kinsoku/>
              <w:wordWrap/>
              <w:overflowPunct/>
              <w:topLinePunct w:val="0"/>
              <w:autoSpaceDE/>
              <w:autoSpaceDN/>
              <w:bidi w:val="0"/>
              <w:adjustRightInd w:val="0"/>
              <w:spacing w:line="240" w:lineRule="atLeast"/>
              <w:ind w:left="-120" w:leftChars="-50" w:right="-120" w:rightChars="-50" w:firstLine="0" w:firstLineChars="0"/>
              <w:jc w:val="center"/>
              <w:textAlignment w:val="baseline"/>
              <w:rPr>
                <w:rFonts w:hint="eastAsia" w:ascii="Times New Roman" w:hAnsi="Times New Roman" w:eastAsia="宋体" w:cs="Times New Roman"/>
                <w:color w:val="auto"/>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bidi="ar-SA"/>
              </w:rPr>
              <w:t>厂区污水总排口</w:t>
            </w:r>
          </w:p>
        </w:tc>
        <w:tc>
          <w:tcPr>
            <w:tcW w:w="349" w:type="pct"/>
            <w:tcBorders>
              <w:tl2br w:val="nil"/>
              <w:tr2bl w:val="nil"/>
            </w:tcBorders>
            <w:noWrap w:val="0"/>
            <w:vAlign w:val="center"/>
          </w:tcPr>
          <w:p w14:paraId="71768847">
            <w:pPr>
              <w:adjustRightInd/>
              <w:snapToGrid/>
              <w:spacing w:line="240" w:lineRule="auto"/>
              <w:ind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第1次</w:t>
            </w:r>
          </w:p>
        </w:tc>
        <w:tc>
          <w:tcPr>
            <w:tcW w:w="349" w:type="pct"/>
            <w:tcBorders>
              <w:tl2br w:val="nil"/>
              <w:tr2bl w:val="nil"/>
            </w:tcBorders>
            <w:noWrap w:val="0"/>
            <w:vAlign w:val="center"/>
          </w:tcPr>
          <w:p w14:paraId="5D18DF1D">
            <w:pPr>
              <w:adjustRightInd/>
              <w:snapToGrid/>
              <w:spacing w:line="240" w:lineRule="auto"/>
              <w:ind w:firstLine="0" w:firstLineChars="0"/>
              <w:jc w:val="center"/>
              <w:rPr>
                <w:rFonts w:hint="default" w:ascii="Times New Roman" w:hAnsi="Times New Roman" w:eastAsia="宋体" w:cs="Times New Roman"/>
                <w:b w:val="0"/>
                <w:bCs w:val="0"/>
                <w:color w:val="000000"/>
                <w:sz w:val="21"/>
                <w:szCs w:val="21"/>
                <w:highlight w:val="none"/>
                <w:vertAlign w:val="baseline"/>
                <w:lang w:val="en-US" w:eastAsia="zh-CN"/>
              </w:rPr>
            </w:pPr>
            <w:r>
              <w:rPr>
                <w:rFonts w:hint="eastAsia" w:ascii="Times New Roman" w:hAnsi="Times New Roman" w:eastAsia="宋体" w:cs="Times New Roman"/>
                <w:b w:val="0"/>
                <w:bCs w:val="0"/>
                <w:color w:val="000000"/>
                <w:sz w:val="21"/>
                <w:szCs w:val="21"/>
                <w:highlight w:val="none"/>
                <w:vertAlign w:val="baseline"/>
                <w:lang w:val="en-US" w:eastAsia="zh-CN"/>
              </w:rPr>
              <w:t>44</w:t>
            </w:r>
          </w:p>
        </w:tc>
        <w:tc>
          <w:tcPr>
            <w:tcW w:w="354" w:type="pct"/>
            <w:tcBorders>
              <w:tl2br w:val="nil"/>
              <w:tr2bl w:val="nil"/>
            </w:tcBorders>
            <w:noWrap w:val="0"/>
            <w:vAlign w:val="center"/>
          </w:tcPr>
          <w:p w14:paraId="20C356D8">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46</w:t>
            </w:r>
          </w:p>
        </w:tc>
        <w:tc>
          <w:tcPr>
            <w:tcW w:w="355" w:type="pct"/>
            <w:tcBorders>
              <w:tl2br w:val="nil"/>
              <w:tr2bl w:val="nil"/>
            </w:tcBorders>
            <w:noWrap w:val="0"/>
            <w:vAlign w:val="center"/>
          </w:tcPr>
          <w:p w14:paraId="0A851312">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7.35</w:t>
            </w:r>
          </w:p>
        </w:tc>
        <w:tc>
          <w:tcPr>
            <w:tcW w:w="355" w:type="pct"/>
            <w:tcBorders>
              <w:tl2br w:val="nil"/>
              <w:tr2bl w:val="nil"/>
            </w:tcBorders>
            <w:noWrap w:val="0"/>
            <w:vAlign w:val="center"/>
          </w:tcPr>
          <w:p w14:paraId="3B83DD3F">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0.54</w:t>
            </w:r>
          </w:p>
        </w:tc>
        <w:tc>
          <w:tcPr>
            <w:tcW w:w="355" w:type="pct"/>
            <w:tcBorders>
              <w:tl2br w:val="nil"/>
              <w:tr2bl w:val="nil"/>
            </w:tcBorders>
            <w:noWrap w:val="0"/>
            <w:vAlign w:val="center"/>
          </w:tcPr>
          <w:p w14:paraId="6D6EF493">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13.6 </w:t>
            </w:r>
          </w:p>
        </w:tc>
        <w:tc>
          <w:tcPr>
            <w:tcW w:w="355" w:type="pct"/>
            <w:tcBorders>
              <w:tl2br w:val="nil"/>
              <w:tr2bl w:val="nil"/>
            </w:tcBorders>
            <w:noWrap w:val="0"/>
            <w:vAlign w:val="center"/>
          </w:tcPr>
          <w:p w14:paraId="268F2DC8">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1.05</w:t>
            </w:r>
          </w:p>
        </w:tc>
        <w:tc>
          <w:tcPr>
            <w:tcW w:w="355" w:type="pct"/>
            <w:tcBorders>
              <w:tl2br w:val="nil"/>
              <w:tr2bl w:val="nil"/>
            </w:tcBorders>
            <w:noWrap w:val="0"/>
            <w:vAlign w:val="center"/>
          </w:tcPr>
          <w:p w14:paraId="70DF8088">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355" w:type="pct"/>
            <w:tcBorders>
              <w:tl2br w:val="nil"/>
              <w:tr2bl w:val="nil"/>
            </w:tcBorders>
            <w:noWrap w:val="0"/>
            <w:vAlign w:val="center"/>
          </w:tcPr>
          <w:p w14:paraId="75AADFB6">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355" w:type="pct"/>
            <w:tcBorders>
              <w:tl2br w:val="nil"/>
              <w:tr2bl w:val="nil"/>
            </w:tcBorders>
            <w:noWrap w:val="0"/>
            <w:vAlign w:val="center"/>
          </w:tcPr>
          <w:p w14:paraId="65DF5D62">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355" w:type="pct"/>
            <w:tcBorders>
              <w:tl2br w:val="nil"/>
              <w:tr2bl w:val="nil"/>
            </w:tcBorders>
            <w:noWrap w:val="0"/>
            <w:vAlign w:val="center"/>
          </w:tcPr>
          <w:p w14:paraId="6A80C87C">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408" w:type="pct"/>
            <w:vMerge w:val="restart"/>
            <w:tcBorders>
              <w:tl2br w:val="nil"/>
              <w:tr2bl w:val="nil"/>
            </w:tcBorders>
            <w:noWrap w:val="0"/>
            <w:vAlign w:val="center"/>
          </w:tcPr>
          <w:p w14:paraId="5CBE201B">
            <w:pPr>
              <w:adjustRightInd/>
              <w:snapToGrid/>
              <w:spacing w:line="240" w:lineRule="auto"/>
              <w:ind w:firstLine="0" w:firstLineChars="0"/>
              <w:jc w:val="center"/>
              <w:rPr>
                <w:rFonts w:hint="eastAsia" w:ascii="Times New Roman" w:hAnsi="Times New Roman" w:eastAsia="宋体" w:cs="Times New Roman"/>
                <w:i w:val="0"/>
                <w:iCs w:val="0"/>
                <w:color w:val="auto"/>
                <w:kern w:val="0"/>
                <w:sz w:val="21"/>
                <w:szCs w:val="21"/>
                <w:u w:val="none"/>
                <w:lang w:val="en-US" w:eastAsia="zh-CN" w:bidi="ar"/>
              </w:rPr>
            </w:pPr>
          </w:p>
        </w:tc>
      </w:tr>
      <w:tr w14:paraId="3EC4A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8" w:type="pct"/>
            <w:vMerge w:val="continue"/>
            <w:tcBorders>
              <w:tl2br w:val="nil"/>
              <w:tr2bl w:val="nil"/>
            </w:tcBorders>
            <w:noWrap w:val="0"/>
            <w:vAlign w:val="center"/>
          </w:tcPr>
          <w:p w14:paraId="4BF26578">
            <w:pPr>
              <w:keepNext w:val="0"/>
              <w:keepLines w:val="0"/>
              <w:pageBreakBefore w:val="0"/>
              <w:widowControl/>
              <w:kinsoku/>
              <w:wordWrap/>
              <w:overflowPunct/>
              <w:topLinePunct w:val="0"/>
              <w:autoSpaceDE/>
              <w:autoSpaceDN/>
              <w:bidi w:val="0"/>
              <w:adjustRightInd w:val="0"/>
              <w:spacing w:line="240" w:lineRule="atLeast"/>
              <w:ind w:left="-120" w:leftChars="-50" w:right="-120" w:rightChars="-50" w:firstLine="0" w:firstLineChars="0"/>
              <w:jc w:val="center"/>
              <w:textAlignment w:val="baseline"/>
              <w:rPr>
                <w:rFonts w:hint="default" w:ascii="Times New Roman" w:hAnsi="Times New Roman" w:eastAsia="宋体" w:cs="Times New Roman"/>
                <w:color w:val="auto"/>
                <w:sz w:val="21"/>
                <w:szCs w:val="21"/>
                <w:highlight w:val="none"/>
                <w:vertAlign w:val="baseline"/>
                <w:lang w:val="en-US" w:eastAsia="zh-CN" w:bidi="ar-SA"/>
              </w:rPr>
            </w:pPr>
          </w:p>
        </w:tc>
        <w:tc>
          <w:tcPr>
            <w:tcW w:w="348" w:type="pct"/>
            <w:vMerge w:val="continue"/>
            <w:tcBorders>
              <w:tl2br w:val="nil"/>
              <w:tr2bl w:val="nil"/>
            </w:tcBorders>
            <w:noWrap w:val="0"/>
            <w:vAlign w:val="center"/>
          </w:tcPr>
          <w:p w14:paraId="3EFD18AD">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eastAsia" w:ascii="Times New Roman" w:hAnsi="Times New Roman" w:cs="Times New Roman"/>
                <w:sz w:val="21"/>
                <w:szCs w:val="21"/>
                <w:vertAlign w:val="baseline"/>
                <w:lang w:val="en-US" w:eastAsia="zh-CN"/>
              </w:rPr>
            </w:pPr>
          </w:p>
        </w:tc>
        <w:tc>
          <w:tcPr>
            <w:tcW w:w="349" w:type="pct"/>
            <w:tcBorders>
              <w:tl2br w:val="nil"/>
              <w:tr2bl w:val="nil"/>
            </w:tcBorders>
            <w:noWrap w:val="0"/>
            <w:vAlign w:val="center"/>
          </w:tcPr>
          <w:p w14:paraId="082290B7">
            <w:pPr>
              <w:adjustRightInd/>
              <w:snapToGrid/>
              <w:spacing w:line="240" w:lineRule="auto"/>
              <w:ind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第</w:t>
            </w:r>
            <w:r>
              <w:rPr>
                <w:rFonts w:hint="eastAsia" w:ascii="Times New Roman" w:hAnsi="Times New Roman" w:cs="Times New Roman"/>
                <w:sz w:val="21"/>
                <w:szCs w:val="21"/>
                <w:vertAlign w:val="baseline"/>
                <w:lang w:val="en-US" w:eastAsia="zh-CN"/>
              </w:rPr>
              <w:t>2</w:t>
            </w:r>
            <w:r>
              <w:rPr>
                <w:rFonts w:hint="default" w:ascii="Times New Roman" w:hAnsi="Times New Roman" w:cs="Times New Roman"/>
                <w:sz w:val="21"/>
                <w:szCs w:val="21"/>
                <w:vertAlign w:val="baseline"/>
                <w:lang w:val="en-US" w:eastAsia="zh-CN"/>
              </w:rPr>
              <w:t>次</w:t>
            </w:r>
          </w:p>
        </w:tc>
        <w:tc>
          <w:tcPr>
            <w:tcW w:w="349" w:type="pct"/>
            <w:tcBorders>
              <w:tl2br w:val="nil"/>
              <w:tr2bl w:val="nil"/>
            </w:tcBorders>
            <w:noWrap w:val="0"/>
            <w:vAlign w:val="center"/>
          </w:tcPr>
          <w:p w14:paraId="70A07E1A">
            <w:pPr>
              <w:adjustRightInd/>
              <w:snapToGrid/>
              <w:spacing w:line="240" w:lineRule="auto"/>
              <w:ind w:firstLine="0" w:firstLineChars="0"/>
              <w:jc w:val="center"/>
              <w:rPr>
                <w:rFonts w:hint="default" w:ascii="Times New Roman" w:hAnsi="Times New Roman" w:eastAsia="宋体" w:cs="Times New Roman"/>
                <w:b w:val="0"/>
                <w:bCs w:val="0"/>
                <w:color w:val="000000"/>
                <w:sz w:val="21"/>
                <w:szCs w:val="21"/>
                <w:highlight w:val="none"/>
                <w:vertAlign w:val="baseline"/>
                <w:lang w:val="en-US" w:eastAsia="zh-CN"/>
              </w:rPr>
            </w:pPr>
            <w:r>
              <w:rPr>
                <w:rFonts w:hint="eastAsia" w:ascii="Times New Roman" w:hAnsi="Times New Roman" w:eastAsia="宋体" w:cs="Times New Roman"/>
                <w:b w:val="0"/>
                <w:bCs w:val="0"/>
                <w:color w:val="000000"/>
                <w:sz w:val="21"/>
                <w:szCs w:val="21"/>
                <w:highlight w:val="none"/>
                <w:vertAlign w:val="baseline"/>
                <w:lang w:val="en-US" w:eastAsia="zh-CN"/>
              </w:rPr>
              <w:t>47</w:t>
            </w:r>
          </w:p>
        </w:tc>
        <w:tc>
          <w:tcPr>
            <w:tcW w:w="354" w:type="pct"/>
            <w:tcBorders>
              <w:tl2br w:val="nil"/>
              <w:tr2bl w:val="nil"/>
            </w:tcBorders>
            <w:noWrap w:val="0"/>
            <w:vAlign w:val="center"/>
          </w:tcPr>
          <w:p w14:paraId="7B937D5B">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49</w:t>
            </w:r>
          </w:p>
        </w:tc>
        <w:tc>
          <w:tcPr>
            <w:tcW w:w="355" w:type="pct"/>
            <w:tcBorders>
              <w:tl2br w:val="nil"/>
              <w:tr2bl w:val="nil"/>
            </w:tcBorders>
            <w:noWrap w:val="0"/>
            <w:vAlign w:val="center"/>
          </w:tcPr>
          <w:p w14:paraId="0C5AEEDD">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7.43</w:t>
            </w:r>
          </w:p>
        </w:tc>
        <w:tc>
          <w:tcPr>
            <w:tcW w:w="355" w:type="pct"/>
            <w:tcBorders>
              <w:tl2br w:val="nil"/>
              <w:tr2bl w:val="nil"/>
            </w:tcBorders>
            <w:noWrap w:val="0"/>
            <w:vAlign w:val="center"/>
          </w:tcPr>
          <w:p w14:paraId="78263F16">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0.57</w:t>
            </w:r>
          </w:p>
        </w:tc>
        <w:tc>
          <w:tcPr>
            <w:tcW w:w="355" w:type="pct"/>
            <w:tcBorders>
              <w:tl2br w:val="nil"/>
              <w:tr2bl w:val="nil"/>
            </w:tcBorders>
            <w:noWrap w:val="0"/>
            <w:vAlign w:val="center"/>
          </w:tcPr>
          <w:p w14:paraId="44431AA4">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13.1 </w:t>
            </w:r>
          </w:p>
        </w:tc>
        <w:tc>
          <w:tcPr>
            <w:tcW w:w="355" w:type="pct"/>
            <w:tcBorders>
              <w:tl2br w:val="nil"/>
              <w:tr2bl w:val="nil"/>
            </w:tcBorders>
            <w:noWrap w:val="0"/>
            <w:vAlign w:val="center"/>
          </w:tcPr>
          <w:p w14:paraId="2DE91F63">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1.04</w:t>
            </w:r>
          </w:p>
        </w:tc>
        <w:tc>
          <w:tcPr>
            <w:tcW w:w="355" w:type="pct"/>
            <w:tcBorders>
              <w:tl2br w:val="nil"/>
              <w:tr2bl w:val="nil"/>
            </w:tcBorders>
            <w:noWrap w:val="0"/>
            <w:vAlign w:val="center"/>
          </w:tcPr>
          <w:p w14:paraId="6C5C636E">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355" w:type="pct"/>
            <w:tcBorders>
              <w:tl2br w:val="nil"/>
              <w:tr2bl w:val="nil"/>
            </w:tcBorders>
            <w:noWrap w:val="0"/>
            <w:vAlign w:val="center"/>
          </w:tcPr>
          <w:p w14:paraId="3DBCACB8">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355" w:type="pct"/>
            <w:tcBorders>
              <w:tl2br w:val="nil"/>
              <w:tr2bl w:val="nil"/>
            </w:tcBorders>
            <w:noWrap w:val="0"/>
            <w:vAlign w:val="center"/>
          </w:tcPr>
          <w:p w14:paraId="78ECD839">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355" w:type="pct"/>
            <w:tcBorders>
              <w:tl2br w:val="nil"/>
              <w:tr2bl w:val="nil"/>
            </w:tcBorders>
            <w:noWrap w:val="0"/>
            <w:vAlign w:val="center"/>
          </w:tcPr>
          <w:p w14:paraId="1089C35D">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408" w:type="pct"/>
            <w:vMerge w:val="continue"/>
            <w:tcBorders>
              <w:tl2br w:val="nil"/>
              <w:tr2bl w:val="nil"/>
            </w:tcBorders>
            <w:noWrap w:val="0"/>
            <w:vAlign w:val="center"/>
          </w:tcPr>
          <w:p w14:paraId="7FFBDDAD">
            <w:pPr>
              <w:adjustRightInd/>
              <w:snapToGrid/>
              <w:spacing w:line="240" w:lineRule="auto"/>
              <w:ind w:firstLine="0" w:firstLineChars="0"/>
              <w:jc w:val="center"/>
              <w:rPr>
                <w:rFonts w:hint="eastAsia" w:ascii="Times New Roman" w:hAnsi="Times New Roman" w:eastAsia="宋体" w:cs="Times New Roman"/>
                <w:i w:val="0"/>
                <w:iCs w:val="0"/>
                <w:color w:val="auto"/>
                <w:kern w:val="0"/>
                <w:sz w:val="21"/>
                <w:szCs w:val="21"/>
                <w:u w:val="none"/>
                <w:lang w:val="en-US" w:eastAsia="zh-CN" w:bidi="ar"/>
              </w:rPr>
            </w:pPr>
          </w:p>
        </w:tc>
      </w:tr>
      <w:tr w14:paraId="0AD92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8" w:type="pct"/>
            <w:vMerge w:val="continue"/>
            <w:tcBorders>
              <w:tl2br w:val="nil"/>
              <w:tr2bl w:val="nil"/>
            </w:tcBorders>
            <w:noWrap w:val="0"/>
            <w:vAlign w:val="center"/>
          </w:tcPr>
          <w:p w14:paraId="32367099">
            <w:pPr>
              <w:keepNext w:val="0"/>
              <w:keepLines w:val="0"/>
              <w:pageBreakBefore w:val="0"/>
              <w:widowControl/>
              <w:kinsoku/>
              <w:wordWrap/>
              <w:overflowPunct/>
              <w:topLinePunct w:val="0"/>
              <w:autoSpaceDE/>
              <w:autoSpaceDN/>
              <w:bidi w:val="0"/>
              <w:adjustRightInd w:val="0"/>
              <w:spacing w:line="240" w:lineRule="atLeast"/>
              <w:ind w:left="-120" w:leftChars="-50" w:right="-120" w:rightChars="-50" w:firstLine="0" w:firstLineChars="0"/>
              <w:jc w:val="center"/>
              <w:textAlignment w:val="baseline"/>
              <w:rPr>
                <w:rFonts w:hint="default" w:ascii="Times New Roman" w:hAnsi="Times New Roman" w:eastAsia="宋体" w:cs="Times New Roman"/>
                <w:color w:val="auto"/>
                <w:sz w:val="21"/>
                <w:szCs w:val="21"/>
                <w:highlight w:val="none"/>
                <w:vertAlign w:val="baseline"/>
                <w:lang w:val="en-US" w:eastAsia="zh-CN" w:bidi="ar-SA"/>
              </w:rPr>
            </w:pPr>
          </w:p>
        </w:tc>
        <w:tc>
          <w:tcPr>
            <w:tcW w:w="348" w:type="pct"/>
            <w:vMerge w:val="continue"/>
            <w:tcBorders>
              <w:tl2br w:val="nil"/>
              <w:tr2bl w:val="nil"/>
            </w:tcBorders>
            <w:noWrap w:val="0"/>
            <w:vAlign w:val="center"/>
          </w:tcPr>
          <w:p w14:paraId="044A18FE">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eastAsia" w:ascii="Times New Roman" w:hAnsi="Times New Roman" w:cs="Times New Roman"/>
                <w:sz w:val="21"/>
                <w:szCs w:val="21"/>
                <w:vertAlign w:val="baseline"/>
                <w:lang w:val="en-US" w:eastAsia="zh-CN"/>
              </w:rPr>
            </w:pPr>
          </w:p>
        </w:tc>
        <w:tc>
          <w:tcPr>
            <w:tcW w:w="349" w:type="pct"/>
            <w:tcBorders>
              <w:tl2br w:val="nil"/>
              <w:tr2bl w:val="nil"/>
            </w:tcBorders>
            <w:noWrap w:val="0"/>
            <w:vAlign w:val="center"/>
          </w:tcPr>
          <w:p w14:paraId="1A03DDA3">
            <w:pPr>
              <w:adjustRightInd/>
              <w:snapToGrid/>
              <w:spacing w:line="240" w:lineRule="auto"/>
              <w:ind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第</w:t>
            </w:r>
            <w:r>
              <w:rPr>
                <w:rFonts w:hint="eastAsia" w:ascii="Times New Roman" w:hAnsi="Times New Roman" w:cs="Times New Roman"/>
                <w:sz w:val="21"/>
                <w:szCs w:val="21"/>
                <w:vertAlign w:val="baseline"/>
                <w:lang w:val="en-US" w:eastAsia="zh-CN"/>
              </w:rPr>
              <w:t>3</w:t>
            </w:r>
            <w:r>
              <w:rPr>
                <w:rFonts w:hint="default" w:ascii="Times New Roman" w:hAnsi="Times New Roman" w:cs="Times New Roman"/>
                <w:sz w:val="21"/>
                <w:szCs w:val="21"/>
                <w:vertAlign w:val="baseline"/>
                <w:lang w:val="en-US" w:eastAsia="zh-CN"/>
              </w:rPr>
              <w:t>次</w:t>
            </w:r>
          </w:p>
        </w:tc>
        <w:tc>
          <w:tcPr>
            <w:tcW w:w="349" w:type="pct"/>
            <w:tcBorders>
              <w:tl2br w:val="nil"/>
              <w:tr2bl w:val="nil"/>
            </w:tcBorders>
            <w:noWrap w:val="0"/>
            <w:vAlign w:val="center"/>
          </w:tcPr>
          <w:p w14:paraId="63A2A6AA">
            <w:pPr>
              <w:adjustRightInd/>
              <w:snapToGrid/>
              <w:spacing w:line="240" w:lineRule="auto"/>
              <w:ind w:firstLine="0" w:firstLineChars="0"/>
              <w:jc w:val="center"/>
              <w:rPr>
                <w:rFonts w:hint="default" w:ascii="Times New Roman" w:hAnsi="Times New Roman" w:eastAsia="宋体" w:cs="Times New Roman"/>
                <w:b w:val="0"/>
                <w:bCs w:val="0"/>
                <w:color w:val="000000"/>
                <w:sz w:val="21"/>
                <w:szCs w:val="21"/>
                <w:highlight w:val="none"/>
                <w:vertAlign w:val="baseline"/>
                <w:lang w:val="en-US" w:eastAsia="zh-CN"/>
              </w:rPr>
            </w:pPr>
            <w:r>
              <w:rPr>
                <w:rFonts w:hint="eastAsia" w:ascii="Times New Roman" w:hAnsi="Times New Roman" w:eastAsia="宋体" w:cs="Times New Roman"/>
                <w:b w:val="0"/>
                <w:bCs w:val="0"/>
                <w:color w:val="000000"/>
                <w:sz w:val="21"/>
                <w:szCs w:val="21"/>
                <w:highlight w:val="none"/>
                <w:vertAlign w:val="baseline"/>
                <w:lang w:val="en-US" w:eastAsia="zh-CN"/>
              </w:rPr>
              <w:t>41</w:t>
            </w:r>
          </w:p>
        </w:tc>
        <w:tc>
          <w:tcPr>
            <w:tcW w:w="354" w:type="pct"/>
            <w:tcBorders>
              <w:tl2br w:val="nil"/>
              <w:tr2bl w:val="nil"/>
            </w:tcBorders>
            <w:noWrap w:val="0"/>
            <w:vAlign w:val="center"/>
          </w:tcPr>
          <w:p w14:paraId="0423E87F">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47</w:t>
            </w:r>
          </w:p>
        </w:tc>
        <w:tc>
          <w:tcPr>
            <w:tcW w:w="355" w:type="pct"/>
            <w:tcBorders>
              <w:tl2br w:val="nil"/>
              <w:tr2bl w:val="nil"/>
            </w:tcBorders>
            <w:noWrap w:val="0"/>
            <w:vAlign w:val="center"/>
          </w:tcPr>
          <w:p w14:paraId="51896A34">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7.54</w:t>
            </w:r>
          </w:p>
        </w:tc>
        <w:tc>
          <w:tcPr>
            <w:tcW w:w="355" w:type="pct"/>
            <w:tcBorders>
              <w:tl2br w:val="nil"/>
              <w:tr2bl w:val="nil"/>
            </w:tcBorders>
            <w:noWrap w:val="0"/>
            <w:vAlign w:val="center"/>
          </w:tcPr>
          <w:p w14:paraId="3E529092">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0.53</w:t>
            </w:r>
          </w:p>
        </w:tc>
        <w:tc>
          <w:tcPr>
            <w:tcW w:w="355" w:type="pct"/>
            <w:tcBorders>
              <w:tl2br w:val="nil"/>
              <w:tr2bl w:val="nil"/>
            </w:tcBorders>
            <w:noWrap w:val="0"/>
            <w:vAlign w:val="center"/>
          </w:tcPr>
          <w:p w14:paraId="0ABF80E2">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13.5 </w:t>
            </w:r>
          </w:p>
        </w:tc>
        <w:tc>
          <w:tcPr>
            <w:tcW w:w="355" w:type="pct"/>
            <w:tcBorders>
              <w:tl2br w:val="nil"/>
              <w:tr2bl w:val="nil"/>
            </w:tcBorders>
            <w:noWrap w:val="0"/>
            <w:vAlign w:val="center"/>
          </w:tcPr>
          <w:p w14:paraId="11CEA12D">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1.03</w:t>
            </w:r>
          </w:p>
        </w:tc>
        <w:tc>
          <w:tcPr>
            <w:tcW w:w="355" w:type="pct"/>
            <w:tcBorders>
              <w:tl2br w:val="nil"/>
              <w:tr2bl w:val="nil"/>
            </w:tcBorders>
            <w:noWrap w:val="0"/>
            <w:vAlign w:val="center"/>
          </w:tcPr>
          <w:p w14:paraId="0CC946C1">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355" w:type="pct"/>
            <w:tcBorders>
              <w:tl2br w:val="nil"/>
              <w:tr2bl w:val="nil"/>
            </w:tcBorders>
            <w:noWrap w:val="0"/>
            <w:vAlign w:val="center"/>
          </w:tcPr>
          <w:p w14:paraId="1F885475">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355" w:type="pct"/>
            <w:tcBorders>
              <w:tl2br w:val="nil"/>
              <w:tr2bl w:val="nil"/>
            </w:tcBorders>
            <w:noWrap w:val="0"/>
            <w:vAlign w:val="center"/>
          </w:tcPr>
          <w:p w14:paraId="3D554BCD">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355" w:type="pct"/>
            <w:tcBorders>
              <w:tl2br w:val="nil"/>
              <w:tr2bl w:val="nil"/>
            </w:tcBorders>
            <w:noWrap w:val="0"/>
            <w:vAlign w:val="center"/>
          </w:tcPr>
          <w:p w14:paraId="152BD94C">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408" w:type="pct"/>
            <w:vMerge w:val="continue"/>
            <w:tcBorders>
              <w:tl2br w:val="nil"/>
              <w:tr2bl w:val="nil"/>
            </w:tcBorders>
            <w:noWrap w:val="0"/>
            <w:vAlign w:val="center"/>
          </w:tcPr>
          <w:p w14:paraId="08853DE9">
            <w:pPr>
              <w:adjustRightInd/>
              <w:snapToGrid/>
              <w:spacing w:line="240" w:lineRule="auto"/>
              <w:ind w:firstLine="0" w:firstLineChars="0"/>
              <w:jc w:val="center"/>
              <w:rPr>
                <w:rFonts w:hint="eastAsia" w:ascii="Times New Roman" w:hAnsi="Times New Roman" w:eastAsia="宋体" w:cs="Times New Roman"/>
                <w:i w:val="0"/>
                <w:iCs w:val="0"/>
                <w:color w:val="auto"/>
                <w:kern w:val="0"/>
                <w:sz w:val="21"/>
                <w:szCs w:val="21"/>
                <w:u w:val="none"/>
                <w:lang w:val="en-US" w:eastAsia="zh-CN" w:bidi="ar"/>
              </w:rPr>
            </w:pPr>
          </w:p>
        </w:tc>
      </w:tr>
      <w:tr w14:paraId="76C77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8" w:type="pct"/>
            <w:vMerge w:val="continue"/>
            <w:tcBorders>
              <w:tl2br w:val="nil"/>
              <w:tr2bl w:val="nil"/>
            </w:tcBorders>
            <w:noWrap w:val="0"/>
            <w:vAlign w:val="center"/>
          </w:tcPr>
          <w:p w14:paraId="493620B2">
            <w:pPr>
              <w:keepNext w:val="0"/>
              <w:keepLines w:val="0"/>
              <w:pageBreakBefore w:val="0"/>
              <w:widowControl/>
              <w:kinsoku/>
              <w:wordWrap/>
              <w:overflowPunct/>
              <w:topLinePunct w:val="0"/>
              <w:autoSpaceDE/>
              <w:autoSpaceDN/>
              <w:bidi w:val="0"/>
              <w:adjustRightInd w:val="0"/>
              <w:spacing w:line="240" w:lineRule="atLeast"/>
              <w:ind w:left="-120" w:leftChars="-50" w:right="-120" w:rightChars="-50" w:firstLine="0" w:firstLineChars="0"/>
              <w:jc w:val="center"/>
              <w:textAlignment w:val="baseline"/>
              <w:rPr>
                <w:rFonts w:hint="default" w:ascii="Times New Roman" w:hAnsi="Times New Roman" w:eastAsia="宋体" w:cs="Times New Roman"/>
                <w:color w:val="auto"/>
                <w:sz w:val="21"/>
                <w:szCs w:val="21"/>
                <w:highlight w:val="none"/>
                <w:vertAlign w:val="baseline"/>
                <w:lang w:val="en-US" w:eastAsia="zh-CN" w:bidi="ar-SA"/>
              </w:rPr>
            </w:pPr>
          </w:p>
        </w:tc>
        <w:tc>
          <w:tcPr>
            <w:tcW w:w="348" w:type="pct"/>
            <w:vMerge w:val="continue"/>
            <w:tcBorders>
              <w:tl2br w:val="nil"/>
              <w:tr2bl w:val="nil"/>
            </w:tcBorders>
            <w:noWrap w:val="0"/>
            <w:vAlign w:val="center"/>
          </w:tcPr>
          <w:p w14:paraId="180D4634">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eastAsia" w:ascii="Times New Roman" w:hAnsi="Times New Roman" w:cs="Times New Roman"/>
                <w:sz w:val="21"/>
                <w:szCs w:val="21"/>
                <w:vertAlign w:val="baseline"/>
                <w:lang w:val="en-US" w:eastAsia="zh-CN"/>
              </w:rPr>
            </w:pPr>
          </w:p>
        </w:tc>
        <w:tc>
          <w:tcPr>
            <w:tcW w:w="349" w:type="pct"/>
            <w:tcBorders>
              <w:tl2br w:val="nil"/>
              <w:tr2bl w:val="nil"/>
            </w:tcBorders>
            <w:noWrap w:val="0"/>
            <w:vAlign w:val="center"/>
          </w:tcPr>
          <w:p w14:paraId="03834F0F">
            <w:pPr>
              <w:adjustRightInd/>
              <w:snapToGrid/>
              <w:spacing w:line="240" w:lineRule="auto"/>
              <w:ind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第</w:t>
            </w:r>
            <w:r>
              <w:rPr>
                <w:rFonts w:hint="eastAsia" w:ascii="Times New Roman" w:hAnsi="Times New Roman" w:cs="Times New Roman"/>
                <w:sz w:val="21"/>
                <w:szCs w:val="21"/>
                <w:vertAlign w:val="baseline"/>
                <w:lang w:val="en-US" w:eastAsia="zh-CN"/>
              </w:rPr>
              <w:t>4</w:t>
            </w:r>
            <w:r>
              <w:rPr>
                <w:rFonts w:hint="default" w:ascii="Times New Roman" w:hAnsi="Times New Roman" w:cs="Times New Roman"/>
                <w:sz w:val="21"/>
                <w:szCs w:val="21"/>
                <w:vertAlign w:val="baseline"/>
                <w:lang w:val="en-US" w:eastAsia="zh-CN"/>
              </w:rPr>
              <w:t>次</w:t>
            </w:r>
          </w:p>
        </w:tc>
        <w:tc>
          <w:tcPr>
            <w:tcW w:w="349" w:type="pct"/>
            <w:tcBorders>
              <w:tl2br w:val="nil"/>
              <w:tr2bl w:val="nil"/>
            </w:tcBorders>
            <w:noWrap w:val="0"/>
            <w:vAlign w:val="center"/>
          </w:tcPr>
          <w:p w14:paraId="18D6A9A7">
            <w:pPr>
              <w:adjustRightInd/>
              <w:snapToGrid/>
              <w:spacing w:line="240" w:lineRule="auto"/>
              <w:ind w:firstLine="0" w:firstLineChars="0"/>
              <w:jc w:val="center"/>
              <w:rPr>
                <w:rFonts w:hint="default" w:ascii="Times New Roman" w:hAnsi="Times New Roman" w:eastAsia="宋体" w:cs="Times New Roman"/>
                <w:b w:val="0"/>
                <w:bCs w:val="0"/>
                <w:color w:val="000000"/>
                <w:sz w:val="21"/>
                <w:szCs w:val="21"/>
                <w:highlight w:val="none"/>
                <w:vertAlign w:val="baseline"/>
                <w:lang w:val="en-US" w:eastAsia="zh-CN"/>
              </w:rPr>
            </w:pPr>
            <w:r>
              <w:rPr>
                <w:rFonts w:hint="eastAsia" w:ascii="Times New Roman" w:hAnsi="Times New Roman" w:eastAsia="宋体" w:cs="Times New Roman"/>
                <w:b w:val="0"/>
                <w:bCs w:val="0"/>
                <w:color w:val="000000"/>
                <w:sz w:val="21"/>
                <w:szCs w:val="21"/>
                <w:highlight w:val="none"/>
                <w:vertAlign w:val="baseline"/>
                <w:lang w:val="en-US" w:eastAsia="zh-CN"/>
              </w:rPr>
              <w:t>48</w:t>
            </w:r>
          </w:p>
        </w:tc>
        <w:tc>
          <w:tcPr>
            <w:tcW w:w="354" w:type="pct"/>
            <w:tcBorders>
              <w:tl2br w:val="nil"/>
              <w:tr2bl w:val="nil"/>
            </w:tcBorders>
            <w:noWrap w:val="0"/>
            <w:vAlign w:val="center"/>
          </w:tcPr>
          <w:p w14:paraId="7FC75823">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51</w:t>
            </w:r>
          </w:p>
        </w:tc>
        <w:tc>
          <w:tcPr>
            <w:tcW w:w="355" w:type="pct"/>
            <w:tcBorders>
              <w:tl2br w:val="nil"/>
              <w:tr2bl w:val="nil"/>
            </w:tcBorders>
            <w:noWrap w:val="0"/>
            <w:vAlign w:val="center"/>
          </w:tcPr>
          <w:p w14:paraId="0E170654">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7.49</w:t>
            </w:r>
          </w:p>
        </w:tc>
        <w:tc>
          <w:tcPr>
            <w:tcW w:w="355" w:type="pct"/>
            <w:tcBorders>
              <w:tl2br w:val="nil"/>
              <w:tr2bl w:val="nil"/>
            </w:tcBorders>
            <w:noWrap w:val="0"/>
            <w:vAlign w:val="center"/>
          </w:tcPr>
          <w:p w14:paraId="2BADA323">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0.58</w:t>
            </w:r>
          </w:p>
        </w:tc>
        <w:tc>
          <w:tcPr>
            <w:tcW w:w="355" w:type="pct"/>
            <w:tcBorders>
              <w:tl2br w:val="nil"/>
              <w:tr2bl w:val="nil"/>
            </w:tcBorders>
            <w:noWrap w:val="0"/>
            <w:vAlign w:val="center"/>
          </w:tcPr>
          <w:p w14:paraId="39527E74">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13.9 </w:t>
            </w:r>
          </w:p>
        </w:tc>
        <w:tc>
          <w:tcPr>
            <w:tcW w:w="355" w:type="pct"/>
            <w:tcBorders>
              <w:tl2br w:val="nil"/>
              <w:tr2bl w:val="nil"/>
            </w:tcBorders>
            <w:noWrap w:val="0"/>
            <w:vAlign w:val="center"/>
          </w:tcPr>
          <w:p w14:paraId="3BC816B7">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1.08</w:t>
            </w:r>
          </w:p>
        </w:tc>
        <w:tc>
          <w:tcPr>
            <w:tcW w:w="355" w:type="pct"/>
            <w:tcBorders>
              <w:tl2br w:val="nil"/>
              <w:tr2bl w:val="nil"/>
            </w:tcBorders>
            <w:noWrap w:val="0"/>
            <w:vAlign w:val="center"/>
          </w:tcPr>
          <w:p w14:paraId="48AF681B">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355" w:type="pct"/>
            <w:tcBorders>
              <w:tl2br w:val="nil"/>
              <w:tr2bl w:val="nil"/>
            </w:tcBorders>
            <w:noWrap w:val="0"/>
            <w:vAlign w:val="center"/>
          </w:tcPr>
          <w:p w14:paraId="3FA45938">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355" w:type="pct"/>
            <w:tcBorders>
              <w:tl2br w:val="nil"/>
              <w:tr2bl w:val="nil"/>
            </w:tcBorders>
            <w:noWrap w:val="0"/>
            <w:vAlign w:val="center"/>
          </w:tcPr>
          <w:p w14:paraId="4D0E2771">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355" w:type="pct"/>
            <w:tcBorders>
              <w:tl2br w:val="nil"/>
              <w:tr2bl w:val="nil"/>
            </w:tcBorders>
            <w:noWrap w:val="0"/>
            <w:vAlign w:val="center"/>
          </w:tcPr>
          <w:p w14:paraId="245AAF0C">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408" w:type="pct"/>
            <w:vMerge w:val="continue"/>
            <w:tcBorders>
              <w:tl2br w:val="nil"/>
              <w:tr2bl w:val="nil"/>
            </w:tcBorders>
            <w:noWrap w:val="0"/>
            <w:vAlign w:val="center"/>
          </w:tcPr>
          <w:p w14:paraId="0B837196">
            <w:pPr>
              <w:adjustRightInd/>
              <w:snapToGrid/>
              <w:spacing w:line="240" w:lineRule="auto"/>
              <w:ind w:firstLine="0" w:firstLineChars="0"/>
              <w:jc w:val="center"/>
              <w:rPr>
                <w:rFonts w:hint="eastAsia" w:ascii="Times New Roman" w:hAnsi="Times New Roman" w:eastAsia="宋体" w:cs="Times New Roman"/>
                <w:i w:val="0"/>
                <w:iCs w:val="0"/>
                <w:color w:val="auto"/>
                <w:kern w:val="0"/>
                <w:sz w:val="21"/>
                <w:szCs w:val="21"/>
                <w:u w:val="none"/>
                <w:lang w:val="en-US" w:eastAsia="zh-CN" w:bidi="ar"/>
              </w:rPr>
            </w:pPr>
          </w:p>
        </w:tc>
      </w:tr>
      <w:tr w14:paraId="7BD6B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14"/>
            <w:tcBorders>
              <w:tl2br w:val="nil"/>
              <w:tr2bl w:val="nil"/>
            </w:tcBorders>
            <w:noWrap w:val="0"/>
            <w:vAlign w:val="center"/>
          </w:tcPr>
          <w:p w14:paraId="6F5AA6D0">
            <w:pPr>
              <w:adjustRightInd/>
              <w:snapToGrid/>
              <w:spacing w:line="240" w:lineRule="auto"/>
              <w:ind w:firstLine="0" w:firstLineChars="0"/>
              <w:jc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备注：废水流量由新乡市万宝科技有限公司提供。</w:t>
            </w:r>
          </w:p>
        </w:tc>
      </w:tr>
    </w:tbl>
    <w:p w14:paraId="445EC53A">
      <w:pPr>
        <w:ind w:left="0" w:leftChars="0" w:firstLine="0" w:firstLineChars="0"/>
        <w:jc w:val="both"/>
        <w:rPr>
          <w:rFonts w:hint="eastAsia"/>
          <w:color w:val="FF0000"/>
        </w:rPr>
        <w:sectPr>
          <w:pgSz w:w="16838" w:h="11906" w:orient="landscape"/>
          <w:pgMar w:top="1417" w:right="1417" w:bottom="1417" w:left="1417" w:header="851" w:footer="992" w:gutter="0"/>
          <w:cols w:space="425" w:num="1"/>
          <w:docGrid w:type="lines" w:linePitch="326" w:charSpace="0"/>
        </w:sectPr>
      </w:pPr>
    </w:p>
    <w:p w14:paraId="77048375">
      <w:pPr>
        <w:ind w:firstLine="480"/>
        <w:jc w:val="both"/>
        <w:rPr>
          <w:color w:val="FF0000"/>
          <w:szCs w:val="24"/>
        </w:rPr>
      </w:pPr>
      <w:r>
        <w:rPr>
          <w:rFonts w:hint="eastAsia"/>
          <w:color w:val="auto"/>
        </w:rPr>
        <w:t>由上表可知，</w:t>
      </w:r>
      <w:r>
        <w:rPr>
          <w:color w:val="auto"/>
          <w:szCs w:val="24"/>
        </w:rPr>
        <w:t>验收监测期间，</w:t>
      </w:r>
      <w:r>
        <w:rPr>
          <w:rFonts w:hint="eastAsia"/>
          <w:color w:val="auto"/>
          <w:szCs w:val="24"/>
        </w:rPr>
        <w:t>厂区总排口废水污染物浓度为：</w:t>
      </w:r>
      <w:r>
        <w:rPr>
          <w:rFonts w:hint="eastAsia"/>
          <w:color w:val="auto"/>
        </w:rPr>
        <w:t>化学需氧</w:t>
      </w:r>
      <w:r>
        <w:rPr>
          <w:rFonts w:hint="eastAsia"/>
          <w:color w:val="auto"/>
          <w:lang w:val="en-US" w:eastAsia="zh-CN"/>
        </w:rPr>
        <w:t>量41-49</w:t>
      </w:r>
      <w:r>
        <w:rPr>
          <w:rFonts w:hint="eastAsia"/>
          <w:color w:val="auto"/>
        </w:rPr>
        <w:t>mg/L、悬浮物</w:t>
      </w:r>
      <w:r>
        <w:rPr>
          <w:rFonts w:hint="eastAsia"/>
          <w:color w:val="auto"/>
          <w:lang w:val="en-US" w:eastAsia="zh-CN"/>
        </w:rPr>
        <w:t>46-55</w:t>
      </w:r>
      <w:r>
        <w:rPr>
          <w:rFonts w:hint="eastAsia"/>
          <w:color w:val="auto"/>
        </w:rPr>
        <w:t>mg/L、氨氮7.</w:t>
      </w:r>
      <w:r>
        <w:rPr>
          <w:rFonts w:hint="eastAsia"/>
          <w:color w:val="auto"/>
          <w:lang w:val="en-US" w:eastAsia="zh-CN"/>
        </w:rPr>
        <w:t>29</w:t>
      </w:r>
      <w:r>
        <w:rPr>
          <w:rFonts w:hint="eastAsia"/>
          <w:color w:val="auto"/>
        </w:rPr>
        <w:t>~7.</w:t>
      </w:r>
      <w:r>
        <w:rPr>
          <w:rFonts w:hint="eastAsia"/>
          <w:color w:val="auto"/>
          <w:lang w:val="en-US" w:eastAsia="zh-CN"/>
        </w:rPr>
        <w:t>55</w:t>
      </w:r>
      <w:r>
        <w:rPr>
          <w:rFonts w:hint="eastAsia"/>
          <w:color w:val="auto"/>
        </w:rPr>
        <w:t>g/L、总磷</w:t>
      </w:r>
      <w:r>
        <w:rPr>
          <w:rFonts w:hint="eastAsia"/>
          <w:color w:val="auto"/>
          <w:lang w:val="en-US" w:eastAsia="zh-CN"/>
        </w:rPr>
        <w:t>0.51</w:t>
      </w:r>
      <w:r>
        <w:rPr>
          <w:rFonts w:hint="eastAsia"/>
          <w:color w:val="auto"/>
        </w:rPr>
        <w:t>~</w:t>
      </w:r>
      <w:r>
        <w:rPr>
          <w:rFonts w:hint="eastAsia"/>
          <w:color w:val="auto"/>
          <w:lang w:val="en-US" w:eastAsia="zh-CN"/>
        </w:rPr>
        <w:t>0.62</w:t>
      </w:r>
      <w:r>
        <w:rPr>
          <w:rFonts w:hint="eastAsia"/>
          <w:color w:val="auto"/>
        </w:rPr>
        <w:t>mg/L、总氮</w:t>
      </w:r>
      <w:r>
        <w:rPr>
          <w:rFonts w:hint="eastAsia"/>
          <w:color w:val="auto"/>
          <w:lang w:val="en-US" w:eastAsia="zh-CN"/>
        </w:rPr>
        <w:t>13.1-13.9</w:t>
      </w:r>
      <w:r>
        <w:rPr>
          <w:rFonts w:hint="eastAsia"/>
          <w:color w:val="auto"/>
        </w:rPr>
        <w:t>mg/L、石油类</w:t>
      </w:r>
      <w:r>
        <w:rPr>
          <w:rFonts w:hint="eastAsia"/>
          <w:color w:val="auto"/>
          <w:lang w:val="en-US" w:eastAsia="zh-CN"/>
        </w:rPr>
        <w:t>1.03-1.12</w:t>
      </w:r>
      <w:r>
        <w:rPr>
          <w:rFonts w:hint="eastAsia"/>
          <w:color w:val="auto"/>
        </w:rPr>
        <w:t>mg/L</w:t>
      </w:r>
      <w:r>
        <w:rPr>
          <w:rFonts w:hint="eastAsia"/>
          <w:color w:val="auto"/>
          <w:lang w:eastAsia="zh-CN"/>
        </w:rPr>
        <w:t>、</w:t>
      </w:r>
      <w:r>
        <w:rPr>
          <w:rFonts w:hint="eastAsia"/>
          <w:color w:val="auto"/>
          <w:lang w:val="en-US" w:eastAsia="zh-CN"/>
        </w:rPr>
        <w:t>锌未检出、镍未检出、总铬未检出、六价铬未检出</w:t>
      </w:r>
      <w:r>
        <w:rPr>
          <w:rFonts w:hint="eastAsia"/>
          <w:color w:val="auto"/>
        </w:rPr>
        <w:t>。COD、氨氮、TP、TN浓度可以满足</w:t>
      </w:r>
      <w:r>
        <w:rPr>
          <w:rFonts w:hint="eastAsia"/>
          <w:color w:val="auto"/>
          <w:szCs w:val="24"/>
        </w:rPr>
        <w:t>大块镇污水处理厂收水标准（化学需氧量350</w:t>
      </w:r>
      <w:r>
        <w:rPr>
          <w:color w:val="auto"/>
          <w:szCs w:val="24"/>
        </w:rPr>
        <w:t>mg/L</w:t>
      </w:r>
      <w:r>
        <w:rPr>
          <w:rFonts w:hint="eastAsia"/>
          <w:color w:val="auto"/>
          <w:szCs w:val="24"/>
        </w:rPr>
        <w:t>、悬浮物150</w:t>
      </w:r>
      <w:r>
        <w:rPr>
          <w:color w:val="auto"/>
          <w:szCs w:val="24"/>
        </w:rPr>
        <w:t>mg/L</w:t>
      </w:r>
      <w:r>
        <w:rPr>
          <w:rFonts w:hint="eastAsia"/>
          <w:color w:val="auto"/>
          <w:szCs w:val="24"/>
        </w:rPr>
        <w:t>、氨氮35</w:t>
      </w:r>
      <w:r>
        <w:rPr>
          <w:color w:val="auto"/>
          <w:szCs w:val="24"/>
        </w:rPr>
        <w:t>mg/L</w:t>
      </w:r>
      <w:r>
        <w:rPr>
          <w:rFonts w:hint="eastAsia"/>
          <w:color w:val="auto"/>
          <w:szCs w:val="24"/>
        </w:rPr>
        <w:t>、总氮40</w:t>
      </w:r>
      <w:r>
        <w:rPr>
          <w:color w:val="auto"/>
          <w:szCs w:val="24"/>
        </w:rPr>
        <w:t>mg/L、总磷</w:t>
      </w:r>
      <w:r>
        <w:rPr>
          <w:rFonts w:hint="eastAsia"/>
          <w:color w:val="auto"/>
          <w:szCs w:val="24"/>
        </w:rPr>
        <w:t>4</w:t>
      </w:r>
      <w:r>
        <w:rPr>
          <w:color w:val="auto"/>
          <w:szCs w:val="24"/>
        </w:rPr>
        <w:t>mg/L</w:t>
      </w:r>
      <w:r>
        <w:rPr>
          <w:rFonts w:hint="eastAsia"/>
          <w:color w:val="auto"/>
          <w:szCs w:val="24"/>
        </w:rPr>
        <w:t>）、</w:t>
      </w:r>
      <w:r>
        <w:rPr>
          <w:rFonts w:hint="eastAsia"/>
          <w:color w:val="auto"/>
        </w:rPr>
        <w:t>石油类浓度均能满足《电镀污染物排放标准》（GB21900-2008）表2（石油类3.0mg/L）的限值要求</w:t>
      </w:r>
      <w:r>
        <w:rPr>
          <w:rFonts w:hint="eastAsia"/>
          <w:color w:val="auto"/>
          <w:szCs w:val="24"/>
        </w:rPr>
        <w:t>。</w:t>
      </w:r>
    </w:p>
    <w:p w14:paraId="22CF027F">
      <w:pPr>
        <w:pStyle w:val="5"/>
        <w:spacing w:before="0" w:after="0" w:line="520" w:lineRule="exact"/>
        <w:ind w:firstLine="482"/>
        <w:rPr>
          <w:rFonts w:cs="Times New Roman"/>
          <w:color w:val="auto"/>
        </w:rPr>
      </w:pPr>
      <w:r>
        <w:rPr>
          <w:rFonts w:cs="Times New Roman"/>
          <w:color w:val="auto"/>
        </w:rPr>
        <w:t>9.2.1.2废气</w:t>
      </w:r>
    </w:p>
    <w:p w14:paraId="7A9F906F">
      <w:pPr>
        <w:ind w:firstLine="482"/>
        <w:outlineLvl w:val="4"/>
        <w:rPr>
          <w:rFonts w:cs="Times New Roman"/>
          <w:b/>
          <w:bCs/>
          <w:color w:val="auto"/>
        </w:rPr>
      </w:pPr>
      <w:bookmarkStart w:id="51" w:name="_Hlk101345665"/>
      <w:r>
        <w:rPr>
          <w:rFonts w:hint="eastAsia" w:cs="Times New Roman"/>
          <w:b/>
          <w:bCs/>
          <w:color w:val="auto"/>
        </w:rPr>
        <w:t>1、</w:t>
      </w:r>
      <w:r>
        <w:rPr>
          <w:rFonts w:cs="Times New Roman"/>
          <w:b/>
          <w:bCs/>
          <w:color w:val="auto"/>
        </w:rPr>
        <w:t>有组织废气</w:t>
      </w:r>
    </w:p>
    <w:p w14:paraId="2B36AB82">
      <w:pPr>
        <w:ind w:firstLine="480"/>
        <w:rPr>
          <w:rFonts w:cs="Times New Roman"/>
          <w:color w:val="auto"/>
        </w:rPr>
        <w:sectPr>
          <w:pgSz w:w="11906" w:h="16838"/>
          <w:pgMar w:top="1417" w:right="1417" w:bottom="1417" w:left="1417" w:header="851" w:footer="992" w:gutter="0"/>
          <w:cols w:space="425" w:num="1"/>
          <w:docGrid w:type="lines" w:linePitch="326" w:charSpace="0"/>
        </w:sectPr>
      </w:pPr>
      <w:r>
        <w:rPr>
          <w:rFonts w:hint="eastAsia" w:cs="Times New Roman"/>
          <w:color w:val="auto"/>
        </w:rPr>
        <w:t>本项目有组织废气为</w:t>
      </w:r>
      <w:r>
        <w:rPr>
          <w:rFonts w:hint="eastAsia" w:cs="Times New Roman"/>
          <w:color w:val="auto"/>
          <w:lang w:val="en-US" w:eastAsia="zh-CN"/>
        </w:rPr>
        <w:t>表面处理生产线酸性废气、槽液调配间酸性废气、污水处理站废气</w:t>
      </w:r>
      <w:r>
        <w:rPr>
          <w:rFonts w:hint="eastAsia"/>
          <w:color w:val="auto"/>
          <w:lang w:eastAsia="zh-CN"/>
        </w:rPr>
        <w:t>。</w:t>
      </w:r>
      <w:r>
        <w:rPr>
          <w:rFonts w:hint="eastAsia"/>
          <w:color w:val="auto"/>
          <w:lang w:val="en-US" w:eastAsia="zh-CN"/>
        </w:rPr>
        <w:t>挂镀锌线及退锌线废气经收集后经1套</w:t>
      </w:r>
      <w:r>
        <w:rPr>
          <w:rFonts w:ascii="Times New Roman" w:hAnsi="Times New Roman" w:eastAsia="宋体" w:cs="Times New Roman"/>
          <w:color w:val="auto"/>
        </w:rPr>
        <w:t>两级酸雾吸收塔</w:t>
      </w:r>
      <w:r>
        <w:rPr>
          <w:rFonts w:hint="eastAsia" w:ascii="Times New Roman" w:hAnsi="Times New Roman" w:eastAsia="宋体" w:cs="Times New Roman"/>
          <w:color w:val="auto"/>
          <w:lang w:val="en-US" w:eastAsia="zh-CN"/>
        </w:rPr>
        <w:t>处理，尾气经1根</w:t>
      </w:r>
      <w:r>
        <w:rPr>
          <w:color w:val="auto"/>
        </w:rPr>
        <w:t>1</w:t>
      </w:r>
      <w:r>
        <w:rPr>
          <w:rFonts w:hint="eastAsia"/>
          <w:color w:val="auto"/>
        </w:rPr>
        <w:t>5</w:t>
      </w:r>
      <w:r>
        <w:rPr>
          <w:color w:val="auto"/>
        </w:rPr>
        <w:t>m</w:t>
      </w:r>
      <w:r>
        <w:rPr>
          <w:rFonts w:hint="eastAsia" w:cs="Times New Roman"/>
          <w:color w:val="auto"/>
        </w:rPr>
        <w:t>高排气筒</w:t>
      </w:r>
      <w:r>
        <w:rPr>
          <w:rFonts w:hint="eastAsia" w:cs="Times New Roman"/>
          <w:color w:val="auto"/>
          <w:lang w:val="en-US" w:eastAsia="zh-CN"/>
        </w:rPr>
        <w:t>DA006</w:t>
      </w:r>
      <w:r>
        <w:rPr>
          <w:rFonts w:hint="eastAsia" w:cs="Times New Roman"/>
          <w:color w:val="auto"/>
        </w:rPr>
        <w:t>排放</w:t>
      </w:r>
      <w:r>
        <w:rPr>
          <w:rFonts w:hint="eastAsia" w:cs="Times New Roman"/>
          <w:color w:val="auto"/>
          <w:lang w:eastAsia="zh-CN"/>
        </w:rPr>
        <w:t>；</w:t>
      </w:r>
      <w:r>
        <w:rPr>
          <w:rFonts w:hint="eastAsia" w:cs="Times New Roman"/>
          <w:color w:val="auto"/>
          <w:lang w:val="en-US" w:eastAsia="zh-CN"/>
        </w:rPr>
        <w:t>1#钢带线</w:t>
      </w:r>
      <w:r>
        <w:rPr>
          <w:rFonts w:hint="eastAsia"/>
          <w:color w:val="auto"/>
          <w:lang w:val="en-US" w:eastAsia="zh-CN"/>
        </w:rPr>
        <w:t>废气经收集后经1套</w:t>
      </w:r>
      <w:r>
        <w:rPr>
          <w:rFonts w:ascii="Times New Roman" w:hAnsi="Times New Roman" w:eastAsia="宋体" w:cs="Times New Roman"/>
          <w:color w:val="auto"/>
        </w:rPr>
        <w:t>两级酸雾吸收塔</w:t>
      </w:r>
      <w:r>
        <w:rPr>
          <w:rFonts w:hint="eastAsia" w:ascii="Times New Roman" w:hAnsi="Times New Roman" w:eastAsia="宋体" w:cs="Times New Roman"/>
          <w:color w:val="auto"/>
          <w:lang w:val="en-US" w:eastAsia="zh-CN"/>
        </w:rPr>
        <w:t>处理，尾气经1根</w:t>
      </w:r>
      <w:r>
        <w:rPr>
          <w:color w:val="auto"/>
        </w:rPr>
        <w:t>1</w:t>
      </w:r>
      <w:r>
        <w:rPr>
          <w:rFonts w:hint="eastAsia"/>
          <w:color w:val="auto"/>
        </w:rPr>
        <w:t>5</w:t>
      </w:r>
      <w:r>
        <w:rPr>
          <w:color w:val="auto"/>
        </w:rPr>
        <w:t>m</w:t>
      </w:r>
      <w:r>
        <w:rPr>
          <w:rFonts w:hint="eastAsia" w:cs="Times New Roman"/>
          <w:color w:val="auto"/>
        </w:rPr>
        <w:t>高排气筒</w:t>
      </w:r>
      <w:r>
        <w:rPr>
          <w:rFonts w:hint="eastAsia" w:cs="Times New Roman"/>
          <w:color w:val="auto"/>
          <w:lang w:val="en-US" w:eastAsia="zh-CN"/>
        </w:rPr>
        <w:t>DA003</w:t>
      </w:r>
      <w:r>
        <w:rPr>
          <w:rFonts w:hint="eastAsia" w:cs="Times New Roman"/>
          <w:color w:val="auto"/>
        </w:rPr>
        <w:t>排放</w:t>
      </w:r>
      <w:r>
        <w:rPr>
          <w:rFonts w:hint="eastAsia" w:cs="Times New Roman"/>
          <w:color w:val="auto"/>
          <w:lang w:eastAsia="zh-CN"/>
        </w:rPr>
        <w:t>；</w:t>
      </w:r>
      <w:r>
        <w:rPr>
          <w:rFonts w:hint="eastAsia" w:cs="Times New Roman"/>
          <w:color w:val="auto"/>
          <w:lang w:val="en-US" w:eastAsia="zh-CN"/>
        </w:rPr>
        <w:t>2#钢带线</w:t>
      </w:r>
      <w:r>
        <w:rPr>
          <w:rFonts w:hint="eastAsia"/>
          <w:color w:val="auto"/>
          <w:lang w:val="en-US" w:eastAsia="zh-CN"/>
        </w:rPr>
        <w:t>废气经收集后依托现有</w:t>
      </w:r>
      <w:r>
        <w:rPr>
          <w:rFonts w:ascii="Times New Roman" w:hAnsi="Times New Roman" w:eastAsia="宋体" w:cs="Times New Roman"/>
          <w:color w:val="auto"/>
          <w:szCs w:val="21"/>
        </w:rPr>
        <w:t>钢帽镀镍生产线废气处理系统</w:t>
      </w:r>
      <w:r>
        <w:rPr>
          <w:rFonts w:hint="eastAsia" w:ascii="Times New Roman" w:hAnsi="Times New Roman" w:eastAsia="宋体" w:cs="Times New Roman"/>
          <w:color w:val="auto"/>
          <w:lang w:val="en-US" w:eastAsia="zh-CN"/>
        </w:rPr>
        <w:t>处理，尾气经1根</w:t>
      </w:r>
      <w:r>
        <w:rPr>
          <w:color w:val="auto"/>
        </w:rPr>
        <w:t>1</w:t>
      </w:r>
      <w:r>
        <w:rPr>
          <w:rFonts w:hint="eastAsia"/>
          <w:color w:val="auto"/>
        </w:rPr>
        <w:t>5</w:t>
      </w:r>
      <w:r>
        <w:rPr>
          <w:color w:val="auto"/>
        </w:rPr>
        <w:t>m</w:t>
      </w:r>
      <w:r>
        <w:rPr>
          <w:rFonts w:hint="eastAsia" w:cs="Times New Roman"/>
          <w:color w:val="auto"/>
        </w:rPr>
        <w:t>高排气筒</w:t>
      </w:r>
      <w:r>
        <w:rPr>
          <w:rFonts w:hint="eastAsia" w:cs="Times New Roman"/>
          <w:color w:val="auto"/>
          <w:lang w:val="en-US" w:eastAsia="zh-CN"/>
        </w:rPr>
        <w:t>DA004</w:t>
      </w:r>
      <w:r>
        <w:rPr>
          <w:rFonts w:hint="eastAsia" w:cs="Times New Roman"/>
          <w:color w:val="auto"/>
        </w:rPr>
        <w:t>排放</w:t>
      </w:r>
      <w:r>
        <w:rPr>
          <w:rFonts w:hint="eastAsia" w:cs="Times New Roman"/>
          <w:color w:val="auto"/>
          <w:lang w:eastAsia="zh-CN"/>
        </w:rPr>
        <w:t>；</w:t>
      </w:r>
      <w:r>
        <w:rPr>
          <w:rFonts w:hint="eastAsia" w:cs="Times New Roman"/>
          <w:color w:val="auto"/>
          <w:lang w:val="en-US" w:eastAsia="zh-CN"/>
        </w:rPr>
        <w:t>3#钢带线</w:t>
      </w:r>
      <w:r>
        <w:rPr>
          <w:rFonts w:hint="eastAsia"/>
          <w:color w:val="auto"/>
          <w:lang w:val="en-US" w:eastAsia="zh-CN"/>
        </w:rPr>
        <w:t>废气经收集后经1套</w:t>
      </w:r>
      <w:r>
        <w:rPr>
          <w:rFonts w:ascii="Times New Roman" w:hAnsi="Times New Roman" w:eastAsia="宋体" w:cs="Times New Roman"/>
          <w:color w:val="auto"/>
        </w:rPr>
        <w:t>两级酸雾吸收塔</w:t>
      </w:r>
      <w:r>
        <w:rPr>
          <w:rFonts w:hint="eastAsia" w:ascii="Times New Roman" w:hAnsi="Times New Roman" w:eastAsia="宋体" w:cs="Times New Roman"/>
          <w:color w:val="auto"/>
          <w:lang w:val="en-US" w:eastAsia="zh-CN"/>
        </w:rPr>
        <w:t>处理，尾气经1根</w:t>
      </w:r>
      <w:r>
        <w:rPr>
          <w:color w:val="auto"/>
        </w:rPr>
        <w:t>1</w:t>
      </w:r>
      <w:r>
        <w:rPr>
          <w:rFonts w:hint="eastAsia"/>
          <w:color w:val="auto"/>
        </w:rPr>
        <w:t>5</w:t>
      </w:r>
      <w:r>
        <w:rPr>
          <w:color w:val="auto"/>
        </w:rPr>
        <w:t>m</w:t>
      </w:r>
      <w:r>
        <w:rPr>
          <w:rFonts w:hint="eastAsia" w:cs="Times New Roman"/>
          <w:color w:val="auto"/>
        </w:rPr>
        <w:t>高排气筒</w:t>
      </w:r>
      <w:r>
        <w:rPr>
          <w:rFonts w:hint="eastAsia" w:cs="Times New Roman"/>
          <w:color w:val="auto"/>
          <w:lang w:val="en-US" w:eastAsia="zh-CN"/>
        </w:rPr>
        <w:t>DA005</w:t>
      </w:r>
      <w:r>
        <w:rPr>
          <w:rFonts w:hint="eastAsia" w:cs="Times New Roman"/>
          <w:color w:val="auto"/>
        </w:rPr>
        <w:t>排放</w:t>
      </w:r>
      <w:r>
        <w:rPr>
          <w:rFonts w:hint="eastAsia" w:cs="Times New Roman"/>
          <w:color w:val="auto"/>
          <w:lang w:eastAsia="zh-CN"/>
        </w:rPr>
        <w:t>；</w:t>
      </w:r>
      <w:r>
        <w:rPr>
          <w:rFonts w:hint="eastAsia" w:cs="Times New Roman"/>
          <w:color w:val="auto"/>
          <w:lang w:val="en-US" w:eastAsia="zh-CN"/>
        </w:rPr>
        <w:t>污水处理站废气经收集后经1套生物除臭塔处理，</w:t>
      </w:r>
      <w:r>
        <w:rPr>
          <w:rFonts w:hint="eastAsia" w:ascii="Times New Roman" w:hAnsi="Times New Roman" w:eastAsia="宋体" w:cs="Times New Roman"/>
          <w:color w:val="auto"/>
          <w:lang w:val="en-US" w:eastAsia="zh-CN"/>
        </w:rPr>
        <w:t>尾气经1根</w:t>
      </w:r>
      <w:r>
        <w:rPr>
          <w:color w:val="auto"/>
        </w:rPr>
        <w:t>1</w:t>
      </w:r>
      <w:r>
        <w:rPr>
          <w:rFonts w:hint="eastAsia"/>
          <w:color w:val="auto"/>
        </w:rPr>
        <w:t>5</w:t>
      </w:r>
      <w:r>
        <w:rPr>
          <w:color w:val="auto"/>
        </w:rPr>
        <w:t>m</w:t>
      </w:r>
      <w:r>
        <w:rPr>
          <w:rFonts w:hint="eastAsia" w:cs="Times New Roman"/>
          <w:color w:val="auto"/>
        </w:rPr>
        <w:t>高排气筒</w:t>
      </w:r>
      <w:r>
        <w:rPr>
          <w:rFonts w:hint="eastAsia" w:cs="Times New Roman"/>
          <w:color w:val="auto"/>
          <w:lang w:val="en-US" w:eastAsia="zh-CN"/>
        </w:rPr>
        <w:t>DA007</w:t>
      </w:r>
      <w:r>
        <w:rPr>
          <w:rFonts w:hint="eastAsia" w:cs="Times New Roman"/>
          <w:color w:val="auto"/>
        </w:rPr>
        <w:t>排放。</w:t>
      </w:r>
      <w:bookmarkEnd w:id="51"/>
      <w:r>
        <w:rPr>
          <w:rFonts w:cs="Times New Roman"/>
          <w:color w:val="auto"/>
        </w:rPr>
        <w:t>污染物排放监测结果见下表。</w:t>
      </w:r>
    </w:p>
    <w:p w14:paraId="19AEEC89">
      <w:pPr>
        <w:pStyle w:val="40"/>
        <w:spacing w:beforeLines="0" w:line="520" w:lineRule="exact"/>
        <w:rPr>
          <w:rFonts w:hint="eastAsia" w:eastAsia="黑体"/>
          <w:color w:val="auto"/>
          <w:lang w:eastAsia="zh-CN"/>
        </w:rPr>
      </w:pPr>
      <w:r>
        <w:rPr>
          <w:color w:val="auto"/>
        </w:rPr>
        <w:t>表9-</w:t>
      </w:r>
      <w:r>
        <w:rPr>
          <w:rFonts w:hint="eastAsia"/>
          <w:color w:val="auto"/>
        </w:rPr>
        <w:t>5</w:t>
      </w:r>
      <w:r>
        <w:rPr>
          <w:color w:val="auto"/>
        </w:rPr>
        <w:t xml:space="preserve">            </w:t>
      </w:r>
      <w:r>
        <w:rPr>
          <w:rFonts w:hint="eastAsia"/>
          <w:color w:val="auto"/>
          <w:lang w:val="en-US" w:eastAsia="zh-CN"/>
        </w:rPr>
        <w:t xml:space="preserve">                                   </w:t>
      </w:r>
      <w:r>
        <w:rPr>
          <w:color w:val="auto"/>
        </w:rPr>
        <w:t xml:space="preserve">                    有组织废气监测结果</w:t>
      </w:r>
      <w:r>
        <w:rPr>
          <w:rFonts w:hint="eastAsia"/>
          <w:color w:val="auto"/>
          <w:lang w:eastAsia="zh-CN"/>
        </w:rPr>
        <w:t>（</w:t>
      </w:r>
      <w:r>
        <w:rPr>
          <w:rFonts w:hint="eastAsia"/>
          <w:color w:val="auto"/>
          <w:lang w:val="en-US" w:eastAsia="zh-CN"/>
        </w:rPr>
        <w:t>一</w:t>
      </w:r>
      <w:r>
        <w:rPr>
          <w:rFonts w:hint="eastAsia"/>
          <w:color w:val="auto"/>
          <w:lang w:eastAsia="zh-CN"/>
        </w:rPr>
        <w:t>）</w:t>
      </w:r>
    </w:p>
    <w:tbl>
      <w:tblPr>
        <w:tblStyle w:val="27"/>
        <w:tblW w:w="499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72"/>
        <w:gridCol w:w="2505"/>
        <w:gridCol w:w="2144"/>
        <w:gridCol w:w="2346"/>
        <w:gridCol w:w="2445"/>
        <w:gridCol w:w="2485"/>
      </w:tblGrid>
      <w:tr w14:paraId="60CB2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800" w:type="pct"/>
            <w:vMerge w:val="restart"/>
            <w:tcBorders>
              <w:tl2br w:val="nil"/>
              <w:tr2bl w:val="nil"/>
            </w:tcBorders>
            <w:noWrap w:val="0"/>
            <w:vAlign w:val="center"/>
          </w:tcPr>
          <w:p w14:paraId="42C8E56C">
            <w:pPr>
              <w:keepNext w:val="0"/>
              <w:keepLines w:val="0"/>
              <w:pageBreakBefore w:val="0"/>
              <w:widowControl/>
              <w:kinsoku/>
              <w:wordWrap/>
              <w:overflowPunct/>
              <w:topLinePunct w:val="0"/>
              <w:autoSpaceDE/>
              <w:autoSpaceDN/>
              <w:bidi w:val="0"/>
              <w:adjustRightInd/>
              <w:snapToGrid/>
              <w:spacing w:line="240" w:lineRule="auto"/>
              <w:ind w:left="-240" w:leftChars="-100" w:right="-240" w:rightChars="-100" w:firstLine="0" w:firstLineChars="0"/>
              <w:jc w:val="center"/>
              <w:textAlignment w:val="auto"/>
              <w:rPr>
                <w:rFonts w:hint="default" w:eastAsia="宋体" w:cs="Times New Roman"/>
                <w:b/>
                <w:bCs/>
                <w:sz w:val="21"/>
                <w:szCs w:val="21"/>
                <w:vertAlign w:val="baseline"/>
                <w:lang w:val="en-US" w:eastAsia="zh-CN"/>
              </w:rPr>
            </w:pPr>
            <w:r>
              <w:rPr>
                <w:rFonts w:hint="eastAsia" w:cs="Times New Roman"/>
                <w:b/>
                <w:bCs/>
                <w:sz w:val="21"/>
                <w:szCs w:val="21"/>
                <w:vertAlign w:val="baseline"/>
                <w:lang w:val="en-US" w:eastAsia="zh-CN"/>
              </w:rPr>
              <w:t>采样日期</w:t>
            </w:r>
          </w:p>
        </w:tc>
        <w:tc>
          <w:tcPr>
            <w:tcW w:w="882" w:type="pct"/>
            <w:vMerge w:val="restart"/>
            <w:tcBorders>
              <w:tl2br w:val="nil"/>
              <w:tr2bl w:val="nil"/>
            </w:tcBorders>
            <w:noWrap w:val="0"/>
            <w:vAlign w:val="center"/>
          </w:tcPr>
          <w:p w14:paraId="6FC2CF4C">
            <w:pPr>
              <w:keepNext w:val="0"/>
              <w:keepLines w:val="0"/>
              <w:pageBreakBefore w:val="0"/>
              <w:widowControl/>
              <w:kinsoku/>
              <w:wordWrap/>
              <w:overflowPunct/>
              <w:topLinePunct w:val="0"/>
              <w:autoSpaceDE/>
              <w:autoSpaceDN/>
              <w:bidi w:val="0"/>
              <w:adjustRightInd/>
              <w:snapToGrid/>
              <w:spacing w:line="240" w:lineRule="auto"/>
              <w:ind w:left="-240" w:leftChars="-100" w:right="-240" w:rightChars="-100" w:firstLine="0" w:firstLineChars="0"/>
              <w:jc w:val="center"/>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采样点位</w:t>
            </w:r>
          </w:p>
        </w:tc>
        <w:tc>
          <w:tcPr>
            <w:tcW w:w="755" w:type="pct"/>
            <w:vMerge w:val="restart"/>
            <w:tcBorders>
              <w:tl2br w:val="nil"/>
              <w:tr2bl w:val="nil"/>
            </w:tcBorders>
            <w:noWrap w:val="0"/>
            <w:vAlign w:val="center"/>
          </w:tcPr>
          <w:p w14:paraId="0F705F11">
            <w:pPr>
              <w:keepNext w:val="0"/>
              <w:keepLines w:val="0"/>
              <w:pageBreakBefore w:val="0"/>
              <w:widowControl/>
              <w:kinsoku/>
              <w:wordWrap/>
              <w:overflowPunct/>
              <w:topLinePunct w:val="0"/>
              <w:autoSpaceDE/>
              <w:autoSpaceDN/>
              <w:bidi w:val="0"/>
              <w:adjustRightInd/>
              <w:snapToGrid/>
              <w:spacing w:line="240" w:lineRule="auto"/>
              <w:ind w:left="-240" w:leftChars="-100" w:right="-240" w:rightChars="-100" w:firstLine="0" w:firstLineChars="0"/>
              <w:jc w:val="center"/>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采样频次</w:t>
            </w:r>
          </w:p>
        </w:tc>
        <w:tc>
          <w:tcPr>
            <w:tcW w:w="826" w:type="pct"/>
            <w:vMerge w:val="restart"/>
            <w:tcBorders>
              <w:tl2br w:val="nil"/>
              <w:tr2bl w:val="nil"/>
            </w:tcBorders>
            <w:noWrap w:val="0"/>
            <w:vAlign w:val="center"/>
          </w:tcPr>
          <w:p w14:paraId="4E57109D">
            <w:pPr>
              <w:keepNext w:val="0"/>
              <w:keepLines w:val="0"/>
              <w:pageBreakBefore w:val="0"/>
              <w:widowControl/>
              <w:kinsoku/>
              <w:wordWrap/>
              <w:overflowPunct/>
              <w:topLinePunct w:val="0"/>
              <w:autoSpaceDE/>
              <w:autoSpaceDN/>
              <w:bidi w:val="0"/>
              <w:adjustRightInd/>
              <w:snapToGrid/>
              <w:spacing w:line="240" w:lineRule="auto"/>
              <w:ind w:left="-240" w:leftChars="-100" w:right="-240" w:rightChars="-100" w:firstLine="0" w:firstLineChars="0"/>
              <w:jc w:val="center"/>
              <w:textAlignment w:val="auto"/>
              <w:rPr>
                <w:rFonts w:hint="eastAsia" w:cs="Times New Roman"/>
                <w:b/>
                <w:bCs/>
                <w:sz w:val="21"/>
                <w:szCs w:val="21"/>
                <w:vertAlign w:val="baseline"/>
                <w:lang w:val="en-US" w:eastAsia="zh-CN"/>
              </w:rPr>
            </w:pPr>
            <w:r>
              <w:rPr>
                <w:rFonts w:hint="eastAsia" w:cs="Times New Roman"/>
                <w:b/>
                <w:bCs/>
                <w:sz w:val="21"/>
                <w:szCs w:val="21"/>
                <w:vertAlign w:val="baseline"/>
                <w:lang w:val="en-US" w:eastAsia="zh-CN"/>
              </w:rPr>
              <w:t>标干流量</w:t>
            </w:r>
          </w:p>
          <w:p w14:paraId="1D981BD5">
            <w:pPr>
              <w:keepNext w:val="0"/>
              <w:keepLines w:val="0"/>
              <w:pageBreakBefore w:val="0"/>
              <w:widowControl/>
              <w:kinsoku/>
              <w:wordWrap/>
              <w:overflowPunct/>
              <w:topLinePunct w:val="0"/>
              <w:autoSpaceDE/>
              <w:autoSpaceDN/>
              <w:bidi w:val="0"/>
              <w:adjustRightInd/>
              <w:snapToGrid/>
              <w:spacing w:line="240" w:lineRule="auto"/>
              <w:ind w:left="-240" w:leftChars="-100" w:right="-240" w:rightChars="-100" w:firstLine="0" w:firstLineChars="0"/>
              <w:jc w:val="center"/>
              <w:textAlignment w:val="auto"/>
              <w:rPr>
                <w:rFonts w:hint="eastAsia" w:ascii="宋体" w:hAnsi="宋体" w:eastAsia="宋体" w:cs="宋体"/>
                <w:b/>
                <w:bCs/>
                <w:sz w:val="21"/>
                <w:szCs w:val="21"/>
                <w:vertAlign w:val="baseline"/>
                <w:lang w:val="en-US" w:eastAsia="zh-CN"/>
              </w:rPr>
            </w:pPr>
            <w:r>
              <w:rPr>
                <w:rFonts w:hint="eastAsia" w:cs="Times New Roman"/>
                <w:b/>
                <w:bCs/>
                <w:sz w:val="21"/>
                <w:szCs w:val="21"/>
                <w:vertAlign w:val="baseline"/>
                <w:lang w:val="en-US" w:eastAsia="zh-CN"/>
              </w:rPr>
              <w:t>（Nm</w:t>
            </w:r>
            <w:r>
              <w:rPr>
                <w:rFonts w:hint="default" w:ascii="Times New Roman" w:hAnsi="Times New Roman" w:cs="Times New Roman"/>
                <w:b/>
                <w:bCs/>
                <w:sz w:val="21"/>
                <w:szCs w:val="21"/>
                <w:vertAlign w:val="baseline"/>
                <w:lang w:val="en-US" w:eastAsia="zh-CN"/>
              </w:rPr>
              <w:t>³</w:t>
            </w:r>
            <w:r>
              <w:rPr>
                <w:rFonts w:hint="eastAsia" w:cs="Times New Roman"/>
                <w:b/>
                <w:bCs/>
                <w:sz w:val="21"/>
                <w:szCs w:val="21"/>
                <w:vertAlign w:val="baseline"/>
                <w:lang w:val="en-US" w:eastAsia="zh-CN"/>
              </w:rPr>
              <w:t>/h）</w:t>
            </w:r>
          </w:p>
        </w:tc>
        <w:tc>
          <w:tcPr>
            <w:tcW w:w="1736" w:type="pct"/>
            <w:gridSpan w:val="2"/>
            <w:tcBorders>
              <w:tl2br w:val="nil"/>
              <w:tr2bl w:val="nil"/>
            </w:tcBorders>
            <w:noWrap w:val="0"/>
            <w:vAlign w:val="center"/>
          </w:tcPr>
          <w:p w14:paraId="1056E1F4">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auto"/>
              <w:rPr>
                <w:rFonts w:hint="default" w:eastAsia="宋体" w:cs="Times New Roman"/>
                <w:b/>
                <w:bCs/>
                <w:sz w:val="21"/>
                <w:szCs w:val="21"/>
                <w:vertAlign w:val="baseline"/>
                <w:lang w:val="en-US" w:eastAsia="zh-CN"/>
              </w:rPr>
            </w:pPr>
            <w:r>
              <w:rPr>
                <w:rFonts w:hint="eastAsia" w:ascii="Times New Roman" w:hAnsi="Times New Roman" w:eastAsia="宋体" w:cs="Times New Roman"/>
                <w:b/>
                <w:bCs/>
                <w:color w:val="auto"/>
                <w:sz w:val="21"/>
                <w:szCs w:val="21"/>
                <w:highlight w:val="none"/>
                <w:lang w:val="en-US" w:eastAsia="zh-CN"/>
              </w:rPr>
              <w:t>硫酸雾</w:t>
            </w:r>
          </w:p>
        </w:tc>
      </w:tr>
      <w:tr w14:paraId="7FBBA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800" w:type="pct"/>
            <w:vMerge w:val="continue"/>
            <w:tcBorders>
              <w:tl2br w:val="nil"/>
              <w:tr2bl w:val="nil"/>
            </w:tcBorders>
            <w:noWrap w:val="0"/>
            <w:vAlign w:val="center"/>
          </w:tcPr>
          <w:p w14:paraId="017B84DA">
            <w:pPr>
              <w:adjustRightInd/>
              <w:snapToGrid/>
              <w:spacing w:line="240" w:lineRule="auto"/>
              <w:ind w:firstLine="0" w:firstLineChars="0"/>
              <w:jc w:val="center"/>
              <w:rPr>
                <w:rFonts w:cs="Times New Roman"/>
                <w:b/>
                <w:bCs/>
                <w:sz w:val="21"/>
                <w:szCs w:val="21"/>
              </w:rPr>
            </w:pPr>
          </w:p>
        </w:tc>
        <w:tc>
          <w:tcPr>
            <w:tcW w:w="882" w:type="pct"/>
            <w:vMerge w:val="continue"/>
            <w:tcBorders>
              <w:tl2br w:val="nil"/>
              <w:tr2bl w:val="nil"/>
            </w:tcBorders>
            <w:noWrap w:val="0"/>
            <w:vAlign w:val="center"/>
          </w:tcPr>
          <w:p w14:paraId="4CCAE91A">
            <w:pPr>
              <w:adjustRightInd/>
              <w:snapToGrid/>
              <w:spacing w:line="240" w:lineRule="auto"/>
              <w:ind w:firstLine="0" w:firstLineChars="0"/>
              <w:jc w:val="center"/>
              <w:rPr>
                <w:rFonts w:cs="Times New Roman"/>
                <w:b/>
                <w:bCs/>
                <w:sz w:val="21"/>
                <w:szCs w:val="21"/>
              </w:rPr>
            </w:pPr>
          </w:p>
        </w:tc>
        <w:tc>
          <w:tcPr>
            <w:tcW w:w="755" w:type="pct"/>
            <w:vMerge w:val="continue"/>
            <w:tcBorders>
              <w:tl2br w:val="nil"/>
              <w:tr2bl w:val="nil"/>
            </w:tcBorders>
            <w:noWrap w:val="0"/>
            <w:vAlign w:val="center"/>
          </w:tcPr>
          <w:p w14:paraId="6F94A06D">
            <w:pPr>
              <w:adjustRightInd/>
              <w:snapToGrid/>
              <w:spacing w:line="240" w:lineRule="auto"/>
              <w:ind w:firstLine="0" w:firstLineChars="0"/>
              <w:jc w:val="center"/>
              <w:rPr>
                <w:rFonts w:cs="Times New Roman"/>
                <w:b/>
                <w:bCs/>
                <w:sz w:val="21"/>
                <w:szCs w:val="21"/>
              </w:rPr>
            </w:pPr>
          </w:p>
        </w:tc>
        <w:tc>
          <w:tcPr>
            <w:tcW w:w="826" w:type="pct"/>
            <w:vMerge w:val="continue"/>
            <w:tcBorders>
              <w:tl2br w:val="nil"/>
              <w:tr2bl w:val="nil"/>
            </w:tcBorders>
            <w:noWrap w:val="0"/>
            <w:vAlign w:val="center"/>
          </w:tcPr>
          <w:p w14:paraId="0FC957A9">
            <w:pPr>
              <w:adjustRightInd/>
              <w:snapToGrid/>
              <w:spacing w:line="240" w:lineRule="auto"/>
              <w:ind w:firstLine="0" w:firstLineChars="0"/>
              <w:jc w:val="center"/>
              <w:rPr>
                <w:rFonts w:cs="Times New Roman"/>
                <w:b/>
                <w:bCs/>
                <w:sz w:val="21"/>
                <w:szCs w:val="21"/>
              </w:rPr>
            </w:pPr>
          </w:p>
        </w:tc>
        <w:tc>
          <w:tcPr>
            <w:tcW w:w="861" w:type="pct"/>
            <w:tcBorders>
              <w:tl2br w:val="nil"/>
              <w:tr2bl w:val="nil"/>
            </w:tcBorders>
            <w:noWrap w:val="0"/>
            <w:vAlign w:val="center"/>
          </w:tcPr>
          <w:p w14:paraId="55EC1540">
            <w:pPr>
              <w:adjustRightInd/>
              <w:snapToGrid/>
              <w:spacing w:line="240" w:lineRule="auto"/>
              <w:ind w:firstLine="0" w:firstLineChars="0"/>
              <w:jc w:val="center"/>
              <w:rPr>
                <w:rFonts w:hint="default" w:cs="Times New Roman"/>
                <w:b/>
                <w:bCs/>
                <w:sz w:val="21"/>
                <w:szCs w:val="21"/>
                <w:vertAlign w:val="baseline"/>
                <w:lang w:val="en-US" w:eastAsia="zh-CN"/>
              </w:rPr>
            </w:pPr>
            <w:r>
              <w:rPr>
                <w:rFonts w:hint="eastAsia" w:cs="Times New Roman"/>
                <w:b/>
                <w:bCs/>
                <w:sz w:val="21"/>
                <w:szCs w:val="21"/>
                <w:vertAlign w:val="baseline"/>
                <w:lang w:val="en-US" w:eastAsia="zh-CN"/>
              </w:rPr>
              <w:t>排放浓度</w:t>
            </w:r>
            <w:r>
              <w:rPr>
                <w:rFonts w:hint="default" w:ascii="Times New Roman" w:hAnsi="Times New Roman" w:cs="Times New Roman"/>
                <w:b/>
                <w:bCs/>
                <w:sz w:val="21"/>
                <w:szCs w:val="21"/>
                <w:vertAlign w:val="baseline"/>
                <w:lang w:val="en-US" w:eastAsia="zh-CN"/>
              </w:rPr>
              <w:t>（mg/m</w:t>
            </w:r>
            <w:r>
              <w:rPr>
                <w:rFonts w:hint="default" w:ascii="Times New Roman" w:hAnsi="Times New Roman" w:eastAsia="宋体" w:cs="Times New Roman"/>
                <w:b/>
                <w:bCs/>
                <w:sz w:val="21"/>
                <w:szCs w:val="21"/>
                <w:vertAlign w:val="superscript"/>
                <w:lang w:val="en-US" w:eastAsia="zh-CN" w:bidi="ar"/>
              </w:rPr>
              <w:t>3</w:t>
            </w:r>
            <w:r>
              <w:rPr>
                <w:rFonts w:hint="default" w:ascii="Times New Roman" w:hAnsi="Times New Roman" w:cs="Times New Roman"/>
                <w:b/>
                <w:bCs/>
                <w:sz w:val="21"/>
                <w:szCs w:val="21"/>
                <w:vertAlign w:val="baseline"/>
                <w:lang w:val="en-US" w:eastAsia="zh-CN"/>
              </w:rPr>
              <w:t>）</w:t>
            </w:r>
          </w:p>
        </w:tc>
        <w:tc>
          <w:tcPr>
            <w:tcW w:w="874" w:type="pct"/>
            <w:tcBorders>
              <w:tl2br w:val="nil"/>
              <w:tr2bl w:val="nil"/>
            </w:tcBorders>
            <w:noWrap w:val="0"/>
            <w:vAlign w:val="center"/>
          </w:tcPr>
          <w:p w14:paraId="6EED4F8B">
            <w:pPr>
              <w:adjustRightInd/>
              <w:snapToGrid/>
              <w:spacing w:line="240" w:lineRule="auto"/>
              <w:ind w:firstLine="0" w:firstLineChars="0"/>
              <w:jc w:val="center"/>
              <w:rPr>
                <w:rFonts w:hint="eastAsia" w:ascii="Times New Roman" w:hAnsi="Times New Roman" w:cs="Times New Roman"/>
                <w:b/>
                <w:bCs/>
                <w:sz w:val="21"/>
                <w:szCs w:val="21"/>
                <w:vertAlign w:val="baseline"/>
                <w:lang w:val="en-US" w:eastAsia="zh-CN"/>
              </w:rPr>
            </w:pPr>
            <w:r>
              <w:rPr>
                <w:rFonts w:hint="eastAsia" w:ascii="Times New Roman" w:hAnsi="Times New Roman" w:cs="Times New Roman"/>
                <w:b/>
                <w:bCs/>
                <w:sz w:val="21"/>
                <w:szCs w:val="21"/>
                <w:vertAlign w:val="baseline"/>
                <w:lang w:val="en-US" w:eastAsia="zh-CN"/>
              </w:rPr>
              <w:t>排放速率</w:t>
            </w:r>
          </w:p>
          <w:p w14:paraId="3453EB2D">
            <w:pPr>
              <w:adjustRightInd/>
              <w:snapToGrid/>
              <w:spacing w:line="240" w:lineRule="auto"/>
              <w:ind w:firstLine="0" w:firstLineChars="0"/>
              <w:jc w:val="center"/>
              <w:rPr>
                <w:rFonts w:hint="eastAsia" w:cs="Times New Roman"/>
                <w:b/>
                <w:bCs/>
                <w:sz w:val="21"/>
                <w:szCs w:val="21"/>
                <w:vertAlign w:val="baseline"/>
                <w:lang w:val="en-US" w:eastAsia="zh-CN"/>
              </w:rPr>
            </w:pPr>
            <w:r>
              <w:rPr>
                <w:rFonts w:hint="default" w:ascii="Times New Roman" w:hAnsi="Times New Roman" w:cs="Times New Roman"/>
                <w:b/>
                <w:bCs/>
                <w:sz w:val="21"/>
                <w:szCs w:val="21"/>
                <w:vertAlign w:val="baseline"/>
                <w:lang w:val="en-US" w:eastAsia="zh-CN"/>
              </w:rPr>
              <w:t>（</w:t>
            </w:r>
            <w:r>
              <w:rPr>
                <w:rFonts w:hint="eastAsia" w:ascii="Times New Roman" w:hAnsi="Times New Roman" w:cs="Times New Roman"/>
                <w:b/>
                <w:bCs/>
                <w:sz w:val="21"/>
                <w:szCs w:val="21"/>
                <w:vertAlign w:val="baseline"/>
                <w:lang w:val="en-US" w:eastAsia="zh-CN"/>
              </w:rPr>
              <w:t>kg</w:t>
            </w:r>
            <w:r>
              <w:rPr>
                <w:rFonts w:hint="default" w:ascii="Times New Roman" w:hAnsi="Times New Roman" w:cs="Times New Roman"/>
                <w:b/>
                <w:bCs/>
                <w:sz w:val="21"/>
                <w:szCs w:val="21"/>
                <w:vertAlign w:val="baseline"/>
                <w:lang w:val="en-US" w:eastAsia="zh-CN"/>
              </w:rPr>
              <w:t>/</w:t>
            </w:r>
            <w:r>
              <w:rPr>
                <w:rFonts w:hint="eastAsia" w:ascii="Times New Roman" w:hAnsi="Times New Roman" w:cs="Times New Roman"/>
                <w:b/>
                <w:bCs/>
                <w:sz w:val="21"/>
                <w:szCs w:val="21"/>
                <w:vertAlign w:val="baseline"/>
                <w:lang w:val="en-US" w:eastAsia="zh-CN"/>
              </w:rPr>
              <w:t>h</w:t>
            </w:r>
            <w:r>
              <w:rPr>
                <w:rFonts w:hint="default" w:ascii="Times New Roman" w:hAnsi="Times New Roman" w:cs="Times New Roman"/>
                <w:b/>
                <w:bCs/>
                <w:sz w:val="21"/>
                <w:szCs w:val="21"/>
                <w:vertAlign w:val="baseline"/>
                <w:lang w:val="en-US" w:eastAsia="zh-CN"/>
              </w:rPr>
              <w:t>）</w:t>
            </w:r>
          </w:p>
        </w:tc>
      </w:tr>
      <w:tr w14:paraId="2D9D5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00" w:type="pct"/>
            <w:vMerge w:val="restart"/>
            <w:tcBorders>
              <w:tl2br w:val="nil"/>
              <w:tr2bl w:val="nil"/>
            </w:tcBorders>
            <w:noWrap w:val="0"/>
            <w:vAlign w:val="center"/>
          </w:tcPr>
          <w:p w14:paraId="3FA34342">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2026.05.07</w:t>
            </w:r>
          </w:p>
        </w:tc>
        <w:tc>
          <w:tcPr>
            <w:tcW w:w="882" w:type="pct"/>
            <w:vMerge w:val="restart"/>
            <w:tcBorders>
              <w:tl2br w:val="nil"/>
              <w:tr2bl w:val="nil"/>
            </w:tcBorders>
            <w:noWrap w:val="0"/>
            <w:vAlign w:val="center"/>
          </w:tcPr>
          <w:p w14:paraId="6C673D37">
            <w:pPr>
              <w:adjustRightInd/>
              <w:snapToGrid/>
              <w:spacing w:line="240" w:lineRule="auto"/>
              <w:ind w:firstLine="0" w:firstLineChars="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DA00</w:t>
            </w:r>
            <w:r>
              <w:rPr>
                <w:rFonts w:hint="eastAsia" w:cs="Times New Roman"/>
                <w:sz w:val="21"/>
                <w:szCs w:val="21"/>
                <w:lang w:val="en-US" w:eastAsia="zh-CN"/>
              </w:rPr>
              <w:t>3</w:t>
            </w:r>
          </w:p>
          <w:p w14:paraId="6AABE4AA">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lang w:val="en-US" w:eastAsia="zh-CN"/>
              </w:rPr>
              <w:t>1#钢带镀镍线废气处理设施</w:t>
            </w:r>
            <w:r>
              <w:rPr>
                <w:rFonts w:hint="default" w:ascii="Times New Roman" w:hAnsi="Times New Roman" w:eastAsia="宋体" w:cs="Times New Roman"/>
                <w:sz w:val="21"/>
                <w:szCs w:val="21"/>
                <w:lang w:val="en-US" w:eastAsia="zh-CN"/>
              </w:rPr>
              <w:t>进口</w:t>
            </w:r>
          </w:p>
        </w:tc>
        <w:tc>
          <w:tcPr>
            <w:tcW w:w="755" w:type="pct"/>
            <w:tcBorders>
              <w:tl2br w:val="nil"/>
              <w:tr2bl w:val="nil"/>
            </w:tcBorders>
            <w:noWrap w:val="0"/>
            <w:vAlign w:val="center"/>
          </w:tcPr>
          <w:p w14:paraId="7673FD4F">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w:t>
            </w:r>
          </w:p>
        </w:tc>
        <w:tc>
          <w:tcPr>
            <w:tcW w:w="826" w:type="pct"/>
            <w:tcBorders>
              <w:tl2br w:val="nil"/>
              <w:tr2bl w:val="nil"/>
            </w:tcBorders>
            <w:noWrap w:val="0"/>
            <w:vAlign w:val="center"/>
          </w:tcPr>
          <w:p w14:paraId="75FF4DF0">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1.52</w:t>
            </w:r>
            <w:r>
              <w:rPr>
                <w:rFonts w:hint="default" w:ascii="Times New Roman" w:hAnsi="Times New Roman" w:eastAsia="宋体" w:cs="Times New Roman"/>
                <w:i w:val="0"/>
                <w:iCs w:val="0"/>
                <w:color w:val="auto"/>
                <w:kern w:val="0"/>
                <w:sz w:val="21"/>
                <w:szCs w:val="21"/>
                <w:u w:val="none"/>
                <w:lang w:val="en-US" w:eastAsia="zh-CN" w:bidi="ar"/>
              </w:rPr>
              <w:t>×10</w:t>
            </w:r>
            <w:r>
              <w:rPr>
                <w:rFonts w:hint="default" w:ascii="Times New Roman" w:hAnsi="Times New Roman" w:eastAsia="宋体" w:cs="Times New Roman"/>
                <w:i w:val="0"/>
                <w:iCs w:val="0"/>
                <w:color w:val="auto"/>
                <w:kern w:val="0"/>
                <w:sz w:val="21"/>
                <w:szCs w:val="21"/>
                <w:u w:val="none"/>
                <w:vertAlign w:val="superscript"/>
                <w:lang w:val="en-US" w:eastAsia="zh-CN" w:bidi="ar"/>
              </w:rPr>
              <w:t>3</w:t>
            </w:r>
            <w:r>
              <w:rPr>
                <w:rFonts w:hint="eastAsia" w:ascii="Times New Roman" w:hAnsi="Times New Roman" w:eastAsia="宋体" w:cs="Times New Roman"/>
                <w:sz w:val="21"/>
                <w:szCs w:val="21"/>
                <w:vertAlign w:val="baseline"/>
                <w:lang w:val="en-US" w:eastAsia="zh-CN"/>
              </w:rPr>
              <w:t xml:space="preserve"> </w:t>
            </w:r>
          </w:p>
        </w:tc>
        <w:tc>
          <w:tcPr>
            <w:tcW w:w="861" w:type="pct"/>
            <w:tcBorders>
              <w:tl2br w:val="nil"/>
              <w:tr2bl w:val="nil"/>
            </w:tcBorders>
            <w:noWrap w:val="0"/>
            <w:vAlign w:val="center"/>
          </w:tcPr>
          <w:p w14:paraId="0156B051">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22.8</w:t>
            </w:r>
          </w:p>
        </w:tc>
        <w:tc>
          <w:tcPr>
            <w:tcW w:w="1689" w:type="dxa"/>
            <w:tcBorders>
              <w:tl2br w:val="nil"/>
              <w:tr2bl w:val="nil"/>
            </w:tcBorders>
            <w:noWrap w:val="0"/>
            <w:vAlign w:val="center"/>
          </w:tcPr>
          <w:p w14:paraId="67B74B78">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0.0347 </w:t>
            </w:r>
          </w:p>
        </w:tc>
      </w:tr>
      <w:tr w14:paraId="2A55E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00" w:type="pct"/>
            <w:vMerge w:val="continue"/>
            <w:tcBorders>
              <w:tl2br w:val="nil"/>
              <w:tr2bl w:val="nil"/>
            </w:tcBorders>
            <w:noWrap w:val="0"/>
            <w:vAlign w:val="center"/>
          </w:tcPr>
          <w:p w14:paraId="502CB0A3">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eastAsia" w:ascii="Times New Roman" w:hAnsi="Times New Roman" w:eastAsia="宋体" w:cs="Times New Roman"/>
                <w:sz w:val="21"/>
                <w:szCs w:val="21"/>
                <w:vertAlign w:val="baseline"/>
                <w:lang w:val="en-US" w:eastAsia="zh-CN"/>
              </w:rPr>
            </w:pPr>
          </w:p>
        </w:tc>
        <w:tc>
          <w:tcPr>
            <w:tcW w:w="882" w:type="pct"/>
            <w:vMerge w:val="continue"/>
            <w:tcBorders>
              <w:tl2br w:val="nil"/>
              <w:tr2bl w:val="nil"/>
            </w:tcBorders>
            <w:noWrap w:val="0"/>
            <w:vAlign w:val="center"/>
          </w:tcPr>
          <w:p w14:paraId="495BAA46">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755" w:type="pct"/>
            <w:tcBorders>
              <w:tl2br w:val="nil"/>
              <w:tr2bl w:val="nil"/>
            </w:tcBorders>
            <w:noWrap w:val="0"/>
            <w:vAlign w:val="center"/>
          </w:tcPr>
          <w:p w14:paraId="57EC01B8">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w:t>
            </w:r>
          </w:p>
        </w:tc>
        <w:tc>
          <w:tcPr>
            <w:tcW w:w="826" w:type="pct"/>
            <w:tcBorders>
              <w:tl2br w:val="nil"/>
              <w:tr2bl w:val="nil"/>
            </w:tcBorders>
            <w:noWrap w:val="0"/>
            <w:vAlign w:val="center"/>
          </w:tcPr>
          <w:p w14:paraId="33B1A9AE">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1.63</w:t>
            </w:r>
            <w:r>
              <w:rPr>
                <w:rFonts w:hint="default" w:ascii="Times New Roman" w:hAnsi="Times New Roman" w:eastAsia="宋体" w:cs="Times New Roman"/>
                <w:i w:val="0"/>
                <w:iCs w:val="0"/>
                <w:color w:val="auto"/>
                <w:kern w:val="0"/>
                <w:sz w:val="21"/>
                <w:szCs w:val="21"/>
                <w:u w:val="none"/>
                <w:lang w:val="en-US" w:eastAsia="zh-CN" w:bidi="ar"/>
              </w:rPr>
              <w:t>×10</w:t>
            </w:r>
            <w:r>
              <w:rPr>
                <w:rFonts w:hint="default" w:ascii="Times New Roman" w:hAnsi="Times New Roman" w:eastAsia="宋体" w:cs="Times New Roman"/>
                <w:i w:val="0"/>
                <w:iCs w:val="0"/>
                <w:color w:val="auto"/>
                <w:kern w:val="0"/>
                <w:sz w:val="21"/>
                <w:szCs w:val="21"/>
                <w:u w:val="none"/>
                <w:vertAlign w:val="superscript"/>
                <w:lang w:val="en-US" w:eastAsia="zh-CN" w:bidi="ar"/>
              </w:rPr>
              <w:t>3</w:t>
            </w:r>
          </w:p>
        </w:tc>
        <w:tc>
          <w:tcPr>
            <w:tcW w:w="861" w:type="pct"/>
            <w:tcBorders>
              <w:tl2br w:val="nil"/>
              <w:tr2bl w:val="nil"/>
            </w:tcBorders>
            <w:noWrap w:val="0"/>
            <w:vAlign w:val="center"/>
          </w:tcPr>
          <w:p w14:paraId="57B05F47">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23.5</w:t>
            </w:r>
          </w:p>
        </w:tc>
        <w:tc>
          <w:tcPr>
            <w:tcW w:w="1689" w:type="dxa"/>
            <w:tcBorders>
              <w:tl2br w:val="nil"/>
              <w:tr2bl w:val="nil"/>
            </w:tcBorders>
            <w:noWrap w:val="0"/>
            <w:vAlign w:val="center"/>
          </w:tcPr>
          <w:p w14:paraId="6EE85B75">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0.0383 </w:t>
            </w:r>
          </w:p>
        </w:tc>
      </w:tr>
      <w:tr w14:paraId="4A70D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00" w:type="pct"/>
            <w:vMerge w:val="continue"/>
            <w:tcBorders>
              <w:tl2br w:val="nil"/>
              <w:tr2bl w:val="nil"/>
            </w:tcBorders>
            <w:noWrap w:val="0"/>
            <w:vAlign w:val="center"/>
          </w:tcPr>
          <w:p w14:paraId="0F056F22">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eastAsia" w:ascii="Times New Roman" w:hAnsi="Times New Roman" w:eastAsia="宋体" w:cs="Times New Roman"/>
                <w:sz w:val="21"/>
                <w:szCs w:val="21"/>
                <w:vertAlign w:val="baseline"/>
                <w:lang w:val="en-US" w:eastAsia="zh-CN"/>
              </w:rPr>
            </w:pPr>
          </w:p>
        </w:tc>
        <w:tc>
          <w:tcPr>
            <w:tcW w:w="882" w:type="pct"/>
            <w:vMerge w:val="continue"/>
            <w:tcBorders>
              <w:tl2br w:val="nil"/>
              <w:tr2bl w:val="nil"/>
            </w:tcBorders>
            <w:noWrap w:val="0"/>
            <w:vAlign w:val="center"/>
          </w:tcPr>
          <w:p w14:paraId="6BCE442B">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755" w:type="pct"/>
            <w:tcBorders>
              <w:tl2br w:val="nil"/>
              <w:tr2bl w:val="nil"/>
            </w:tcBorders>
            <w:noWrap w:val="0"/>
            <w:vAlign w:val="center"/>
          </w:tcPr>
          <w:p w14:paraId="77CFD8DA">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3</w:t>
            </w:r>
          </w:p>
        </w:tc>
        <w:tc>
          <w:tcPr>
            <w:tcW w:w="826" w:type="pct"/>
            <w:tcBorders>
              <w:tl2br w:val="nil"/>
              <w:tr2bl w:val="nil"/>
            </w:tcBorders>
            <w:noWrap w:val="0"/>
            <w:vAlign w:val="center"/>
          </w:tcPr>
          <w:p w14:paraId="6210E930">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1.55</w:t>
            </w:r>
            <w:r>
              <w:rPr>
                <w:rFonts w:hint="default" w:ascii="Times New Roman" w:hAnsi="Times New Roman" w:eastAsia="宋体" w:cs="Times New Roman"/>
                <w:i w:val="0"/>
                <w:iCs w:val="0"/>
                <w:color w:val="auto"/>
                <w:kern w:val="0"/>
                <w:sz w:val="21"/>
                <w:szCs w:val="21"/>
                <w:u w:val="none"/>
                <w:lang w:val="en-US" w:eastAsia="zh-CN" w:bidi="ar"/>
              </w:rPr>
              <w:t>×10</w:t>
            </w:r>
            <w:r>
              <w:rPr>
                <w:rFonts w:hint="default" w:ascii="Times New Roman" w:hAnsi="Times New Roman" w:eastAsia="宋体" w:cs="Times New Roman"/>
                <w:i w:val="0"/>
                <w:iCs w:val="0"/>
                <w:color w:val="auto"/>
                <w:kern w:val="0"/>
                <w:sz w:val="21"/>
                <w:szCs w:val="21"/>
                <w:u w:val="none"/>
                <w:vertAlign w:val="superscript"/>
                <w:lang w:val="en-US" w:eastAsia="zh-CN" w:bidi="ar"/>
              </w:rPr>
              <w:t>3</w:t>
            </w:r>
            <w:r>
              <w:rPr>
                <w:rFonts w:hint="eastAsia" w:ascii="Times New Roman" w:hAnsi="Times New Roman" w:eastAsia="宋体" w:cs="Times New Roman"/>
                <w:sz w:val="21"/>
                <w:szCs w:val="21"/>
                <w:vertAlign w:val="baseline"/>
                <w:lang w:val="en-US" w:eastAsia="zh-CN"/>
              </w:rPr>
              <w:t xml:space="preserve"> </w:t>
            </w:r>
          </w:p>
        </w:tc>
        <w:tc>
          <w:tcPr>
            <w:tcW w:w="861" w:type="pct"/>
            <w:tcBorders>
              <w:tl2br w:val="nil"/>
              <w:tr2bl w:val="nil"/>
            </w:tcBorders>
            <w:noWrap w:val="0"/>
            <w:vAlign w:val="center"/>
          </w:tcPr>
          <w:p w14:paraId="3CBB7AC6">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23.1</w:t>
            </w:r>
          </w:p>
        </w:tc>
        <w:tc>
          <w:tcPr>
            <w:tcW w:w="1689" w:type="dxa"/>
            <w:tcBorders>
              <w:tl2br w:val="nil"/>
              <w:tr2bl w:val="nil"/>
            </w:tcBorders>
            <w:noWrap w:val="0"/>
            <w:vAlign w:val="center"/>
          </w:tcPr>
          <w:p w14:paraId="0CC84823">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0.0358</w:t>
            </w:r>
          </w:p>
        </w:tc>
      </w:tr>
      <w:tr w14:paraId="562F6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00" w:type="pct"/>
            <w:vMerge w:val="continue"/>
            <w:tcBorders>
              <w:tl2br w:val="nil"/>
              <w:tr2bl w:val="nil"/>
            </w:tcBorders>
            <w:noWrap w:val="0"/>
            <w:vAlign w:val="center"/>
          </w:tcPr>
          <w:p w14:paraId="713C681E">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eastAsia" w:ascii="Times New Roman" w:hAnsi="Times New Roman" w:eastAsia="宋体" w:cs="Times New Roman"/>
                <w:sz w:val="21"/>
                <w:szCs w:val="21"/>
                <w:vertAlign w:val="baseline"/>
                <w:lang w:val="en-US" w:eastAsia="zh-CN"/>
              </w:rPr>
            </w:pPr>
          </w:p>
        </w:tc>
        <w:tc>
          <w:tcPr>
            <w:tcW w:w="882" w:type="pct"/>
            <w:vMerge w:val="continue"/>
            <w:tcBorders>
              <w:tl2br w:val="nil"/>
              <w:tr2bl w:val="nil"/>
            </w:tcBorders>
            <w:noWrap w:val="0"/>
            <w:vAlign w:val="center"/>
          </w:tcPr>
          <w:p w14:paraId="1B399620">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755" w:type="pct"/>
            <w:tcBorders>
              <w:tl2br w:val="nil"/>
              <w:tr2bl w:val="nil"/>
            </w:tcBorders>
            <w:noWrap w:val="0"/>
            <w:vAlign w:val="center"/>
          </w:tcPr>
          <w:p w14:paraId="72CFF468">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均值</w:t>
            </w:r>
          </w:p>
        </w:tc>
        <w:tc>
          <w:tcPr>
            <w:tcW w:w="826" w:type="pct"/>
            <w:tcBorders>
              <w:tl2br w:val="nil"/>
              <w:tr2bl w:val="nil"/>
            </w:tcBorders>
            <w:noWrap w:val="0"/>
            <w:vAlign w:val="center"/>
          </w:tcPr>
          <w:p w14:paraId="549AAD26">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fldChar w:fldCharType="begin"/>
            </w:r>
            <w:r>
              <w:rPr>
                <w:rFonts w:hint="default" w:ascii="Times New Roman" w:hAnsi="Times New Roman" w:eastAsia="宋体" w:cs="Times New Roman"/>
                <w:sz w:val="21"/>
                <w:szCs w:val="21"/>
                <w:vertAlign w:val="baseline"/>
                <w:lang w:val="en-US" w:eastAsia="zh-CN"/>
              </w:rPr>
              <w:instrText xml:space="preserve"> = average(D3:D5) \* MERGEFORMAT </w:instrText>
            </w:r>
            <w:r>
              <w:rPr>
                <w:rFonts w:hint="default" w:ascii="Times New Roman" w:hAnsi="Times New Roman" w:eastAsia="宋体" w:cs="Times New Roman"/>
                <w:sz w:val="21"/>
                <w:szCs w:val="21"/>
                <w:vertAlign w:val="baseline"/>
                <w:lang w:val="en-US" w:eastAsia="zh-CN"/>
              </w:rPr>
              <w:fldChar w:fldCharType="separate"/>
            </w:r>
            <w:r>
              <w:rPr>
                <w:rFonts w:hint="default" w:ascii="Times New Roman" w:hAnsi="Times New Roman" w:eastAsia="宋体" w:cs="Times New Roman"/>
                <w:sz w:val="21"/>
                <w:szCs w:val="21"/>
                <w:vertAlign w:val="baseline"/>
                <w:lang w:val="en-US" w:eastAsia="zh-CN"/>
              </w:rPr>
              <w:t>1.57</w:t>
            </w:r>
            <w:r>
              <w:rPr>
                <w:rFonts w:hint="default" w:ascii="Times New Roman" w:hAnsi="Times New Roman" w:eastAsia="宋体" w:cs="Times New Roman"/>
                <w:sz w:val="21"/>
                <w:szCs w:val="21"/>
                <w:vertAlign w:val="baseline"/>
                <w:lang w:val="en-US" w:eastAsia="zh-CN"/>
              </w:rPr>
              <w:fldChar w:fldCharType="end"/>
            </w:r>
            <w:r>
              <w:rPr>
                <w:rFonts w:hint="default" w:ascii="Times New Roman" w:hAnsi="Times New Roman" w:eastAsia="宋体" w:cs="Times New Roman"/>
                <w:i w:val="0"/>
                <w:iCs w:val="0"/>
                <w:color w:val="auto"/>
                <w:kern w:val="0"/>
                <w:sz w:val="21"/>
                <w:szCs w:val="21"/>
                <w:u w:val="none"/>
                <w:lang w:val="en-US" w:eastAsia="zh-CN" w:bidi="ar"/>
              </w:rPr>
              <w:t>×10</w:t>
            </w:r>
            <w:r>
              <w:rPr>
                <w:rFonts w:hint="default" w:ascii="Times New Roman" w:hAnsi="Times New Roman" w:eastAsia="宋体" w:cs="Times New Roman"/>
                <w:i w:val="0"/>
                <w:iCs w:val="0"/>
                <w:color w:val="auto"/>
                <w:kern w:val="0"/>
                <w:sz w:val="21"/>
                <w:szCs w:val="21"/>
                <w:u w:val="none"/>
                <w:vertAlign w:val="superscript"/>
                <w:lang w:val="en-US" w:eastAsia="zh-CN" w:bidi="ar"/>
              </w:rPr>
              <w:t>3</w:t>
            </w:r>
          </w:p>
        </w:tc>
        <w:tc>
          <w:tcPr>
            <w:tcW w:w="861" w:type="pct"/>
            <w:tcBorders>
              <w:tl2br w:val="nil"/>
              <w:tr2bl w:val="nil"/>
            </w:tcBorders>
            <w:noWrap w:val="0"/>
            <w:vAlign w:val="center"/>
          </w:tcPr>
          <w:p w14:paraId="636E878E">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fldChar w:fldCharType="begin"/>
            </w:r>
            <w:r>
              <w:rPr>
                <w:rFonts w:hint="default" w:ascii="Times New Roman" w:hAnsi="Times New Roman" w:eastAsia="宋体" w:cs="Times New Roman"/>
                <w:sz w:val="21"/>
                <w:szCs w:val="21"/>
                <w:vertAlign w:val="baseline"/>
                <w:lang w:val="en-US" w:eastAsia="zh-CN"/>
              </w:rPr>
              <w:instrText xml:space="preserve"> = average(E3:E5) \* MERGEFORMAT </w:instrText>
            </w:r>
            <w:r>
              <w:rPr>
                <w:rFonts w:hint="default" w:ascii="Times New Roman" w:hAnsi="Times New Roman" w:eastAsia="宋体" w:cs="Times New Roman"/>
                <w:sz w:val="21"/>
                <w:szCs w:val="21"/>
                <w:vertAlign w:val="baseline"/>
                <w:lang w:val="en-US" w:eastAsia="zh-CN"/>
              </w:rPr>
              <w:fldChar w:fldCharType="separate"/>
            </w:r>
            <w:r>
              <w:rPr>
                <w:rFonts w:hint="default" w:ascii="Times New Roman" w:hAnsi="Times New Roman" w:eastAsia="宋体" w:cs="Times New Roman"/>
                <w:sz w:val="21"/>
                <w:szCs w:val="21"/>
                <w:vertAlign w:val="baseline"/>
                <w:lang w:val="en-US" w:eastAsia="zh-CN"/>
              </w:rPr>
              <w:t>23.1</w:t>
            </w:r>
            <w:r>
              <w:rPr>
                <w:rFonts w:hint="default" w:ascii="Times New Roman" w:hAnsi="Times New Roman" w:eastAsia="宋体" w:cs="Times New Roman"/>
                <w:sz w:val="21"/>
                <w:szCs w:val="21"/>
                <w:vertAlign w:val="baseline"/>
                <w:lang w:val="en-US" w:eastAsia="zh-CN"/>
              </w:rPr>
              <w:fldChar w:fldCharType="end"/>
            </w:r>
          </w:p>
        </w:tc>
        <w:tc>
          <w:tcPr>
            <w:tcW w:w="1689" w:type="dxa"/>
            <w:tcBorders>
              <w:tl2br w:val="nil"/>
              <w:tr2bl w:val="nil"/>
            </w:tcBorders>
            <w:noWrap w:val="0"/>
            <w:vAlign w:val="center"/>
          </w:tcPr>
          <w:p w14:paraId="43216B77">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0.0363 </w:t>
            </w:r>
          </w:p>
        </w:tc>
      </w:tr>
      <w:tr w14:paraId="72315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00" w:type="pct"/>
            <w:vMerge w:val="continue"/>
            <w:tcBorders>
              <w:tl2br w:val="nil"/>
              <w:tr2bl w:val="nil"/>
            </w:tcBorders>
            <w:noWrap w:val="0"/>
            <w:vAlign w:val="center"/>
          </w:tcPr>
          <w:p w14:paraId="61064034">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default" w:ascii="Times New Roman" w:hAnsi="Times New Roman" w:eastAsia="宋体" w:cs="Times New Roman"/>
                <w:sz w:val="21"/>
                <w:szCs w:val="21"/>
                <w:vertAlign w:val="baseline"/>
                <w:lang w:val="en-US" w:eastAsia="zh-CN"/>
              </w:rPr>
            </w:pPr>
          </w:p>
        </w:tc>
        <w:tc>
          <w:tcPr>
            <w:tcW w:w="882" w:type="pct"/>
            <w:vMerge w:val="restart"/>
            <w:tcBorders>
              <w:tl2br w:val="nil"/>
              <w:tr2bl w:val="nil"/>
            </w:tcBorders>
            <w:noWrap w:val="0"/>
            <w:vAlign w:val="center"/>
          </w:tcPr>
          <w:p w14:paraId="4EB1CB90">
            <w:pPr>
              <w:adjustRightInd/>
              <w:snapToGrid/>
              <w:spacing w:line="240" w:lineRule="auto"/>
              <w:ind w:firstLine="0" w:firstLineChars="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DA00</w:t>
            </w:r>
            <w:r>
              <w:rPr>
                <w:rFonts w:hint="eastAsia" w:cs="Times New Roman"/>
                <w:sz w:val="21"/>
                <w:szCs w:val="21"/>
                <w:lang w:val="en-US" w:eastAsia="zh-CN"/>
              </w:rPr>
              <w:t>3</w:t>
            </w:r>
          </w:p>
          <w:p w14:paraId="7B6E8A0A">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lang w:val="en-US" w:eastAsia="zh-CN"/>
              </w:rPr>
              <w:t>1#钢带镀镍线废气处理设施</w:t>
            </w:r>
            <w:r>
              <w:rPr>
                <w:rFonts w:hint="default" w:ascii="Times New Roman" w:hAnsi="Times New Roman" w:eastAsia="宋体" w:cs="Times New Roman"/>
                <w:sz w:val="21"/>
                <w:szCs w:val="21"/>
                <w:lang w:val="en-US" w:eastAsia="zh-CN"/>
              </w:rPr>
              <w:t>出口</w:t>
            </w:r>
          </w:p>
        </w:tc>
        <w:tc>
          <w:tcPr>
            <w:tcW w:w="755" w:type="pct"/>
            <w:tcBorders>
              <w:tl2br w:val="nil"/>
              <w:tr2bl w:val="nil"/>
            </w:tcBorders>
            <w:noWrap w:val="0"/>
            <w:vAlign w:val="center"/>
          </w:tcPr>
          <w:p w14:paraId="72195588">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w:t>
            </w:r>
          </w:p>
        </w:tc>
        <w:tc>
          <w:tcPr>
            <w:tcW w:w="826" w:type="pct"/>
            <w:tcBorders>
              <w:tl2br w:val="nil"/>
              <w:tr2bl w:val="nil"/>
            </w:tcBorders>
            <w:noWrap w:val="0"/>
            <w:vAlign w:val="center"/>
          </w:tcPr>
          <w:p w14:paraId="12459CB5">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1.60</w:t>
            </w:r>
            <w:r>
              <w:rPr>
                <w:rFonts w:hint="default" w:ascii="Times New Roman" w:hAnsi="Times New Roman" w:eastAsia="宋体" w:cs="Times New Roman"/>
                <w:i w:val="0"/>
                <w:iCs w:val="0"/>
                <w:color w:val="auto"/>
                <w:kern w:val="0"/>
                <w:sz w:val="21"/>
                <w:szCs w:val="21"/>
                <w:u w:val="none"/>
                <w:lang w:val="en-US" w:eastAsia="zh-CN" w:bidi="ar"/>
              </w:rPr>
              <w:t>×10</w:t>
            </w:r>
            <w:r>
              <w:rPr>
                <w:rFonts w:hint="default" w:ascii="Times New Roman" w:hAnsi="Times New Roman" w:eastAsia="宋体" w:cs="Times New Roman"/>
                <w:i w:val="0"/>
                <w:iCs w:val="0"/>
                <w:color w:val="auto"/>
                <w:kern w:val="0"/>
                <w:sz w:val="21"/>
                <w:szCs w:val="21"/>
                <w:u w:val="none"/>
                <w:vertAlign w:val="superscript"/>
                <w:lang w:val="en-US" w:eastAsia="zh-CN" w:bidi="ar"/>
              </w:rPr>
              <w:t>3</w:t>
            </w:r>
          </w:p>
        </w:tc>
        <w:tc>
          <w:tcPr>
            <w:tcW w:w="861" w:type="pct"/>
            <w:tcBorders>
              <w:tl2br w:val="nil"/>
              <w:tr2bl w:val="nil"/>
            </w:tcBorders>
            <w:noWrap w:val="0"/>
            <w:vAlign w:val="center"/>
          </w:tcPr>
          <w:p w14:paraId="6A55DDE0">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2.06</w:t>
            </w:r>
          </w:p>
        </w:tc>
        <w:tc>
          <w:tcPr>
            <w:tcW w:w="1689" w:type="dxa"/>
            <w:tcBorders>
              <w:tl2br w:val="nil"/>
              <w:tr2bl w:val="nil"/>
            </w:tcBorders>
            <w:noWrap w:val="0"/>
            <w:vAlign w:val="center"/>
          </w:tcPr>
          <w:p w14:paraId="4CED3126">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3.30</w:t>
            </w:r>
            <w:r>
              <w:rPr>
                <w:rFonts w:hint="default" w:ascii="Times New Roman" w:hAnsi="Times New Roman" w:eastAsia="宋体" w:cs="Times New Roman"/>
                <w:i w:val="0"/>
                <w:iCs w:val="0"/>
                <w:color w:val="auto"/>
                <w:kern w:val="0"/>
                <w:sz w:val="21"/>
                <w:szCs w:val="21"/>
                <w:u w:val="none"/>
                <w:lang w:val="en-US" w:eastAsia="zh-CN" w:bidi="ar"/>
              </w:rPr>
              <w:t>×10</w:t>
            </w:r>
            <w:r>
              <w:rPr>
                <w:rFonts w:hint="eastAsia" w:ascii="Times New Roman" w:hAnsi="Times New Roman" w:eastAsia="宋体" w:cs="Times New Roman"/>
                <w:i w:val="0"/>
                <w:iCs w:val="0"/>
                <w:color w:val="auto"/>
                <w:kern w:val="0"/>
                <w:sz w:val="21"/>
                <w:szCs w:val="21"/>
                <w:u w:val="none"/>
                <w:vertAlign w:val="superscript"/>
                <w:lang w:val="en-US" w:eastAsia="zh-CN" w:bidi="ar"/>
              </w:rPr>
              <w:t>-3</w:t>
            </w:r>
            <w:r>
              <w:rPr>
                <w:rFonts w:hint="eastAsia" w:ascii="Times New Roman" w:hAnsi="Times New Roman" w:eastAsia="宋体" w:cs="Times New Roman"/>
                <w:sz w:val="21"/>
                <w:szCs w:val="21"/>
                <w:vertAlign w:val="baseline"/>
                <w:lang w:val="en-US" w:eastAsia="zh-CN"/>
              </w:rPr>
              <w:t xml:space="preserve"> </w:t>
            </w:r>
          </w:p>
        </w:tc>
      </w:tr>
      <w:tr w14:paraId="5A74B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00" w:type="pct"/>
            <w:vMerge w:val="continue"/>
            <w:tcBorders>
              <w:tl2br w:val="nil"/>
              <w:tr2bl w:val="nil"/>
            </w:tcBorders>
            <w:noWrap w:val="0"/>
            <w:vAlign w:val="center"/>
          </w:tcPr>
          <w:p w14:paraId="6D2DED49">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882" w:type="pct"/>
            <w:vMerge w:val="continue"/>
            <w:tcBorders>
              <w:tl2br w:val="nil"/>
              <w:tr2bl w:val="nil"/>
            </w:tcBorders>
            <w:noWrap w:val="0"/>
            <w:vAlign w:val="center"/>
          </w:tcPr>
          <w:p w14:paraId="445819F1">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755" w:type="pct"/>
            <w:tcBorders>
              <w:tl2br w:val="nil"/>
              <w:tr2bl w:val="nil"/>
            </w:tcBorders>
            <w:noWrap w:val="0"/>
            <w:vAlign w:val="center"/>
          </w:tcPr>
          <w:p w14:paraId="75FC701A">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w:t>
            </w:r>
          </w:p>
        </w:tc>
        <w:tc>
          <w:tcPr>
            <w:tcW w:w="826" w:type="pct"/>
            <w:tcBorders>
              <w:tl2br w:val="nil"/>
              <w:tr2bl w:val="nil"/>
            </w:tcBorders>
            <w:noWrap w:val="0"/>
            <w:vAlign w:val="center"/>
          </w:tcPr>
          <w:p w14:paraId="11FCA153">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1.69</w:t>
            </w:r>
            <w:r>
              <w:rPr>
                <w:rFonts w:hint="default" w:ascii="Times New Roman" w:hAnsi="Times New Roman" w:eastAsia="宋体" w:cs="Times New Roman"/>
                <w:i w:val="0"/>
                <w:iCs w:val="0"/>
                <w:color w:val="auto"/>
                <w:kern w:val="0"/>
                <w:sz w:val="21"/>
                <w:szCs w:val="21"/>
                <w:u w:val="none"/>
                <w:lang w:val="en-US" w:eastAsia="zh-CN" w:bidi="ar"/>
              </w:rPr>
              <w:t>×10</w:t>
            </w:r>
            <w:r>
              <w:rPr>
                <w:rFonts w:hint="default" w:ascii="Times New Roman" w:hAnsi="Times New Roman" w:eastAsia="宋体" w:cs="Times New Roman"/>
                <w:i w:val="0"/>
                <w:iCs w:val="0"/>
                <w:color w:val="auto"/>
                <w:kern w:val="0"/>
                <w:sz w:val="21"/>
                <w:szCs w:val="21"/>
                <w:u w:val="none"/>
                <w:vertAlign w:val="superscript"/>
                <w:lang w:val="en-US" w:eastAsia="zh-CN" w:bidi="ar"/>
              </w:rPr>
              <w:t>3</w:t>
            </w:r>
            <w:r>
              <w:rPr>
                <w:rFonts w:hint="eastAsia" w:ascii="Times New Roman" w:hAnsi="Times New Roman" w:eastAsia="宋体" w:cs="Times New Roman"/>
                <w:sz w:val="21"/>
                <w:szCs w:val="21"/>
                <w:vertAlign w:val="baseline"/>
                <w:lang w:val="en-US" w:eastAsia="zh-CN"/>
              </w:rPr>
              <w:t xml:space="preserve"> </w:t>
            </w:r>
          </w:p>
        </w:tc>
        <w:tc>
          <w:tcPr>
            <w:tcW w:w="861" w:type="pct"/>
            <w:tcBorders>
              <w:tl2br w:val="nil"/>
              <w:tr2bl w:val="nil"/>
            </w:tcBorders>
            <w:noWrap w:val="0"/>
            <w:vAlign w:val="center"/>
          </w:tcPr>
          <w:p w14:paraId="5B45953F">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2.17</w:t>
            </w:r>
          </w:p>
        </w:tc>
        <w:tc>
          <w:tcPr>
            <w:tcW w:w="1689" w:type="dxa"/>
            <w:tcBorders>
              <w:tl2br w:val="nil"/>
              <w:tr2bl w:val="nil"/>
            </w:tcBorders>
            <w:noWrap w:val="0"/>
            <w:vAlign w:val="center"/>
          </w:tcPr>
          <w:p w14:paraId="1F6C3CE2">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3.67</w:t>
            </w:r>
            <w:r>
              <w:rPr>
                <w:rFonts w:hint="default" w:ascii="Times New Roman" w:hAnsi="Times New Roman" w:eastAsia="宋体" w:cs="Times New Roman"/>
                <w:i w:val="0"/>
                <w:iCs w:val="0"/>
                <w:color w:val="auto"/>
                <w:kern w:val="0"/>
                <w:sz w:val="21"/>
                <w:szCs w:val="21"/>
                <w:u w:val="none"/>
                <w:lang w:val="en-US" w:eastAsia="zh-CN" w:bidi="ar"/>
              </w:rPr>
              <w:t>×10</w:t>
            </w:r>
            <w:r>
              <w:rPr>
                <w:rFonts w:hint="eastAsia" w:ascii="Times New Roman" w:hAnsi="Times New Roman" w:eastAsia="宋体" w:cs="Times New Roman"/>
                <w:i w:val="0"/>
                <w:iCs w:val="0"/>
                <w:color w:val="auto"/>
                <w:kern w:val="0"/>
                <w:sz w:val="21"/>
                <w:szCs w:val="21"/>
                <w:u w:val="none"/>
                <w:vertAlign w:val="superscript"/>
                <w:lang w:val="en-US" w:eastAsia="zh-CN" w:bidi="ar"/>
              </w:rPr>
              <w:t>-3</w:t>
            </w:r>
            <w:r>
              <w:rPr>
                <w:rFonts w:hint="eastAsia" w:ascii="Times New Roman" w:hAnsi="Times New Roman" w:eastAsia="宋体" w:cs="Times New Roman"/>
                <w:sz w:val="21"/>
                <w:szCs w:val="21"/>
                <w:vertAlign w:val="baseline"/>
                <w:lang w:val="en-US" w:eastAsia="zh-CN"/>
              </w:rPr>
              <w:t xml:space="preserve">  </w:t>
            </w:r>
          </w:p>
        </w:tc>
      </w:tr>
      <w:tr w14:paraId="5CEB7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00" w:type="pct"/>
            <w:vMerge w:val="continue"/>
            <w:tcBorders>
              <w:tl2br w:val="nil"/>
              <w:tr2bl w:val="nil"/>
            </w:tcBorders>
            <w:noWrap w:val="0"/>
            <w:vAlign w:val="center"/>
          </w:tcPr>
          <w:p w14:paraId="2318A4DA">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882" w:type="pct"/>
            <w:vMerge w:val="continue"/>
            <w:tcBorders>
              <w:tl2br w:val="nil"/>
              <w:tr2bl w:val="nil"/>
            </w:tcBorders>
            <w:noWrap w:val="0"/>
            <w:vAlign w:val="center"/>
          </w:tcPr>
          <w:p w14:paraId="17809F16">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755" w:type="pct"/>
            <w:tcBorders>
              <w:tl2br w:val="nil"/>
              <w:tr2bl w:val="nil"/>
            </w:tcBorders>
            <w:noWrap w:val="0"/>
            <w:vAlign w:val="center"/>
          </w:tcPr>
          <w:p w14:paraId="75BAED75">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3</w:t>
            </w:r>
          </w:p>
        </w:tc>
        <w:tc>
          <w:tcPr>
            <w:tcW w:w="826" w:type="pct"/>
            <w:tcBorders>
              <w:tl2br w:val="nil"/>
              <w:tr2bl w:val="nil"/>
            </w:tcBorders>
            <w:noWrap w:val="0"/>
            <w:vAlign w:val="center"/>
          </w:tcPr>
          <w:p w14:paraId="2E49988B">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1.61</w:t>
            </w:r>
            <w:r>
              <w:rPr>
                <w:rFonts w:hint="default" w:ascii="Times New Roman" w:hAnsi="Times New Roman" w:eastAsia="宋体" w:cs="Times New Roman"/>
                <w:i w:val="0"/>
                <w:iCs w:val="0"/>
                <w:color w:val="auto"/>
                <w:kern w:val="0"/>
                <w:sz w:val="21"/>
                <w:szCs w:val="21"/>
                <w:u w:val="none"/>
                <w:lang w:val="en-US" w:eastAsia="zh-CN" w:bidi="ar"/>
              </w:rPr>
              <w:t>×10</w:t>
            </w:r>
            <w:r>
              <w:rPr>
                <w:rFonts w:hint="default" w:ascii="Times New Roman" w:hAnsi="Times New Roman" w:eastAsia="宋体" w:cs="Times New Roman"/>
                <w:i w:val="0"/>
                <w:iCs w:val="0"/>
                <w:color w:val="auto"/>
                <w:kern w:val="0"/>
                <w:sz w:val="21"/>
                <w:szCs w:val="21"/>
                <w:u w:val="none"/>
                <w:vertAlign w:val="superscript"/>
                <w:lang w:val="en-US" w:eastAsia="zh-CN" w:bidi="ar"/>
              </w:rPr>
              <w:t>3</w:t>
            </w:r>
          </w:p>
        </w:tc>
        <w:tc>
          <w:tcPr>
            <w:tcW w:w="861" w:type="pct"/>
            <w:tcBorders>
              <w:tl2br w:val="nil"/>
              <w:tr2bl w:val="nil"/>
            </w:tcBorders>
            <w:noWrap w:val="0"/>
            <w:vAlign w:val="center"/>
          </w:tcPr>
          <w:p w14:paraId="6E17C90B">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2.14</w:t>
            </w:r>
          </w:p>
        </w:tc>
        <w:tc>
          <w:tcPr>
            <w:tcW w:w="1689" w:type="dxa"/>
            <w:tcBorders>
              <w:tl2br w:val="nil"/>
              <w:tr2bl w:val="nil"/>
            </w:tcBorders>
            <w:noWrap w:val="0"/>
            <w:vAlign w:val="center"/>
          </w:tcPr>
          <w:p w14:paraId="3B9B96BF">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3.45</w:t>
            </w:r>
            <w:r>
              <w:rPr>
                <w:rFonts w:hint="default" w:ascii="Times New Roman" w:hAnsi="Times New Roman" w:eastAsia="宋体" w:cs="Times New Roman"/>
                <w:i w:val="0"/>
                <w:iCs w:val="0"/>
                <w:color w:val="auto"/>
                <w:kern w:val="0"/>
                <w:sz w:val="21"/>
                <w:szCs w:val="21"/>
                <w:u w:val="none"/>
                <w:lang w:val="en-US" w:eastAsia="zh-CN" w:bidi="ar"/>
              </w:rPr>
              <w:t>×10</w:t>
            </w:r>
            <w:r>
              <w:rPr>
                <w:rFonts w:hint="eastAsia" w:ascii="Times New Roman" w:hAnsi="Times New Roman" w:eastAsia="宋体" w:cs="Times New Roman"/>
                <w:i w:val="0"/>
                <w:iCs w:val="0"/>
                <w:color w:val="auto"/>
                <w:kern w:val="0"/>
                <w:sz w:val="21"/>
                <w:szCs w:val="21"/>
                <w:u w:val="none"/>
                <w:vertAlign w:val="superscript"/>
                <w:lang w:val="en-US" w:eastAsia="zh-CN" w:bidi="ar"/>
              </w:rPr>
              <w:t>-3</w:t>
            </w:r>
            <w:r>
              <w:rPr>
                <w:rFonts w:hint="eastAsia" w:ascii="Times New Roman" w:hAnsi="Times New Roman" w:eastAsia="宋体" w:cs="Times New Roman"/>
                <w:sz w:val="21"/>
                <w:szCs w:val="21"/>
                <w:vertAlign w:val="baseline"/>
                <w:lang w:val="en-US" w:eastAsia="zh-CN"/>
              </w:rPr>
              <w:t xml:space="preserve">  </w:t>
            </w:r>
          </w:p>
        </w:tc>
      </w:tr>
      <w:tr w14:paraId="1FEE7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00" w:type="pct"/>
            <w:vMerge w:val="continue"/>
            <w:tcBorders>
              <w:tl2br w:val="nil"/>
              <w:tr2bl w:val="nil"/>
            </w:tcBorders>
            <w:noWrap w:val="0"/>
            <w:vAlign w:val="center"/>
          </w:tcPr>
          <w:p w14:paraId="1D87384A">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882" w:type="pct"/>
            <w:vMerge w:val="continue"/>
            <w:tcBorders>
              <w:tl2br w:val="nil"/>
              <w:tr2bl w:val="nil"/>
            </w:tcBorders>
            <w:noWrap w:val="0"/>
            <w:vAlign w:val="center"/>
          </w:tcPr>
          <w:p w14:paraId="6662C832">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755" w:type="pct"/>
            <w:tcBorders>
              <w:tl2br w:val="nil"/>
              <w:tr2bl w:val="nil"/>
            </w:tcBorders>
            <w:noWrap w:val="0"/>
            <w:vAlign w:val="center"/>
          </w:tcPr>
          <w:p w14:paraId="1213AA77">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均值</w:t>
            </w:r>
          </w:p>
        </w:tc>
        <w:tc>
          <w:tcPr>
            <w:tcW w:w="826" w:type="pct"/>
            <w:tcBorders>
              <w:tl2br w:val="nil"/>
              <w:tr2bl w:val="nil"/>
            </w:tcBorders>
            <w:noWrap w:val="0"/>
            <w:vAlign w:val="center"/>
          </w:tcPr>
          <w:p w14:paraId="146E7EF2">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fldChar w:fldCharType="begin"/>
            </w:r>
            <w:r>
              <w:rPr>
                <w:rFonts w:hint="default" w:ascii="Times New Roman" w:hAnsi="Times New Roman" w:eastAsia="宋体" w:cs="Times New Roman"/>
                <w:sz w:val="21"/>
                <w:szCs w:val="21"/>
                <w:vertAlign w:val="baseline"/>
                <w:lang w:val="en-US" w:eastAsia="zh-CN"/>
              </w:rPr>
              <w:instrText xml:space="preserve"> = average(D7:D9) \* MERGEFORMAT </w:instrText>
            </w:r>
            <w:r>
              <w:rPr>
                <w:rFonts w:hint="default" w:ascii="Times New Roman" w:hAnsi="Times New Roman" w:eastAsia="宋体" w:cs="Times New Roman"/>
                <w:sz w:val="21"/>
                <w:szCs w:val="21"/>
                <w:vertAlign w:val="baseline"/>
                <w:lang w:val="en-US" w:eastAsia="zh-CN"/>
              </w:rPr>
              <w:fldChar w:fldCharType="separate"/>
            </w:r>
            <w:r>
              <w:rPr>
                <w:rFonts w:hint="default" w:ascii="Times New Roman" w:hAnsi="Times New Roman" w:eastAsia="宋体" w:cs="Times New Roman"/>
                <w:sz w:val="21"/>
                <w:szCs w:val="21"/>
                <w:vertAlign w:val="baseline"/>
                <w:lang w:val="en-US" w:eastAsia="zh-CN"/>
              </w:rPr>
              <w:t>1.63</w:t>
            </w:r>
            <w:r>
              <w:rPr>
                <w:rFonts w:hint="default" w:ascii="Times New Roman" w:hAnsi="Times New Roman" w:eastAsia="宋体" w:cs="Times New Roman"/>
                <w:i w:val="0"/>
                <w:iCs w:val="0"/>
                <w:color w:val="auto"/>
                <w:kern w:val="0"/>
                <w:sz w:val="21"/>
                <w:szCs w:val="21"/>
                <w:u w:val="none"/>
                <w:lang w:val="en-US" w:eastAsia="zh-CN" w:bidi="ar"/>
              </w:rPr>
              <w:t>×10</w:t>
            </w:r>
            <w:r>
              <w:rPr>
                <w:rFonts w:hint="default" w:ascii="Times New Roman" w:hAnsi="Times New Roman" w:eastAsia="宋体" w:cs="Times New Roman"/>
                <w:i w:val="0"/>
                <w:iCs w:val="0"/>
                <w:color w:val="auto"/>
                <w:kern w:val="0"/>
                <w:sz w:val="21"/>
                <w:szCs w:val="21"/>
                <w:u w:val="none"/>
                <w:vertAlign w:val="superscript"/>
                <w:lang w:val="en-US" w:eastAsia="zh-CN" w:bidi="ar"/>
              </w:rPr>
              <w:t>3</w:t>
            </w:r>
            <w:r>
              <w:rPr>
                <w:rFonts w:hint="default" w:ascii="Times New Roman" w:hAnsi="Times New Roman" w:eastAsia="宋体" w:cs="Times New Roman"/>
                <w:sz w:val="21"/>
                <w:szCs w:val="21"/>
                <w:vertAlign w:val="baseline"/>
                <w:lang w:val="en-US" w:eastAsia="zh-CN"/>
              </w:rPr>
              <w:fldChar w:fldCharType="end"/>
            </w:r>
          </w:p>
        </w:tc>
        <w:tc>
          <w:tcPr>
            <w:tcW w:w="861" w:type="pct"/>
            <w:tcBorders>
              <w:tl2br w:val="nil"/>
              <w:tr2bl w:val="nil"/>
            </w:tcBorders>
            <w:noWrap w:val="0"/>
            <w:vAlign w:val="center"/>
          </w:tcPr>
          <w:p w14:paraId="7275CE5D">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fldChar w:fldCharType="begin"/>
            </w:r>
            <w:r>
              <w:rPr>
                <w:rFonts w:hint="default" w:ascii="Times New Roman" w:hAnsi="Times New Roman" w:eastAsia="宋体" w:cs="Times New Roman"/>
                <w:sz w:val="21"/>
                <w:szCs w:val="21"/>
                <w:vertAlign w:val="baseline"/>
                <w:lang w:val="en-US" w:eastAsia="zh-CN"/>
              </w:rPr>
              <w:instrText xml:space="preserve"> = average(E7:E9) \* MERGEFORMAT </w:instrText>
            </w:r>
            <w:r>
              <w:rPr>
                <w:rFonts w:hint="default" w:ascii="Times New Roman" w:hAnsi="Times New Roman" w:eastAsia="宋体" w:cs="Times New Roman"/>
                <w:sz w:val="21"/>
                <w:szCs w:val="21"/>
                <w:vertAlign w:val="baseline"/>
                <w:lang w:val="en-US" w:eastAsia="zh-CN"/>
              </w:rPr>
              <w:fldChar w:fldCharType="separate"/>
            </w:r>
            <w:r>
              <w:rPr>
                <w:rFonts w:hint="default" w:ascii="Times New Roman" w:hAnsi="Times New Roman" w:eastAsia="宋体" w:cs="Times New Roman"/>
                <w:sz w:val="21"/>
                <w:szCs w:val="21"/>
                <w:vertAlign w:val="baseline"/>
                <w:lang w:val="en-US" w:eastAsia="zh-CN"/>
              </w:rPr>
              <w:t>2.12</w:t>
            </w:r>
            <w:r>
              <w:rPr>
                <w:rFonts w:hint="default" w:ascii="Times New Roman" w:hAnsi="Times New Roman" w:eastAsia="宋体" w:cs="Times New Roman"/>
                <w:sz w:val="21"/>
                <w:szCs w:val="21"/>
                <w:vertAlign w:val="baseline"/>
                <w:lang w:val="en-US" w:eastAsia="zh-CN"/>
              </w:rPr>
              <w:fldChar w:fldCharType="end"/>
            </w:r>
          </w:p>
        </w:tc>
        <w:tc>
          <w:tcPr>
            <w:tcW w:w="1689" w:type="dxa"/>
            <w:tcBorders>
              <w:tl2br w:val="nil"/>
              <w:tr2bl w:val="nil"/>
            </w:tcBorders>
            <w:noWrap w:val="0"/>
            <w:vAlign w:val="center"/>
          </w:tcPr>
          <w:p w14:paraId="340CB3E4">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3.46</w:t>
            </w:r>
            <w:r>
              <w:rPr>
                <w:rFonts w:hint="default" w:ascii="Times New Roman" w:hAnsi="Times New Roman" w:eastAsia="宋体" w:cs="Times New Roman"/>
                <w:i w:val="0"/>
                <w:iCs w:val="0"/>
                <w:color w:val="auto"/>
                <w:kern w:val="0"/>
                <w:sz w:val="21"/>
                <w:szCs w:val="21"/>
                <w:u w:val="none"/>
                <w:lang w:val="en-US" w:eastAsia="zh-CN" w:bidi="ar"/>
              </w:rPr>
              <w:t>×10</w:t>
            </w:r>
            <w:r>
              <w:rPr>
                <w:rFonts w:hint="eastAsia" w:ascii="Times New Roman" w:hAnsi="Times New Roman" w:eastAsia="宋体" w:cs="Times New Roman"/>
                <w:i w:val="0"/>
                <w:iCs w:val="0"/>
                <w:color w:val="auto"/>
                <w:kern w:val="0"/>
                <w:sz w:val="21"/>
                <w:szCs w:val="21"/>
                <w:u w:val="none"/>
                <w:vertAlign w:val="superscript"/>
                <w:lang w:val="en-US" w:eastAsia="zh-CN" w:bidi="ar"/>
              </w:rPr>
              <w:t>-3</w:t>
            </w:r>
            <w:r>
              <w:rPr>
                <w:rFonts w:hint="eastAsia" w:ascii="Times New Roman" w:hAnsi="Times New Roman" w:eastAsia="宋体" w:cs="Times New Roman"/>
                <w:sz w:val="21"/>
                <w:szCs w:val="21"/>
                <w:vertAlign w:val="baseline"/>
                <w:lang w:val="en-US" w:eastAsia="zh-CN"/>
              </w:rPr>
              <w:t xml:space="preserve"> </w:t>
            </w:r>
          </w:p>
        </w:tc>
      </w:tr>
      <w:tr w14:paraId="722BD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00" w:type="pct"/>
            <w:vMerge w:val="restart"/>
            <w:tcBorders>
              <w:tl2br w:val="nil"/>
              <w:tr2bl w:val="nil"/>
            </w:tcBorders>
            <w:noWrap w:val="0"/>
            <w:vAlign w:val="center"/>
          </w:tcPr>
          <w:p w14:paraId="49C9DD8C">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2026.05.30</w:t>
            </w:r>
          </w:p>
        </w:tc>
        <w:tc>
          <w:tcPr>
            <w:tcW w:w="882" w:type="pct"/>
            <w:vMerge w:val="restart"/>
            <w:tcBorders>
              <w:tl2br w:val="nil"/>
              <w:tr2bl w:val="nil"/>
            </w:tcBorders>
            <w:noWrap w:val="0"/>
            <w:vAlign w:val="center"/>
          </w:tcPr>
          <w:p w14:paraId="1A4F2C6D">
            <w:pPr>
              <w:adjustRightInd/>
              <w:snapToGrid/>
              <w:spacing w:line="240" w:lineRule="auto"/>
              <w:ind w:firstLine="0" w:firstLineChars="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DA00</w:t>
            </w:r>
            <w:r>
              <w:rPr>
                <w:rFonts w:hint="eastAsia" w:cs="Times New Roman"/>
                <w:sz w:val="21"/>
                <w:szCs w:val="21"/>
                <w:lang w:val="en-US" w:eastAsia="zh-CN"/>
              </w:rPr>
              <w:t>3</w:t>
            </w:r>
          </w:p>
          <w:p w14:paraId="31A4CB2D">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lang w:val="en-US" w:eastAsia="zh-CN"/>
              </w:rPr>
              <w:t>1#钢带镀镍线废气处理设施</w:t>
            </w:r>
            <w:r>
              <w:rPr>
                <w:rFonts w:hint="default" w:ascii="Times New Roman" w:hAnsi="Times New Roman" w:eastAsia="宋体" w:cs="Times New Roman"/>
                <w:sz w:val="21"/>
                <w:szCs w:val="21"/>
                <w:lang w:val="en-US" w:eastAsia="zh-CN"/>
              </w:rPr>
              <w:t>进口</w:t>
            </w:r>
          </w:p>
        </w:tc>
        <w:tc>
          <w:tcPr>
            <w:tcW w:w="755" w:type="pct"/>
            <w:tcBorders>
              <w:tl2br w:val="nil"/>
              <w:tr2bl w:val="nil"/>
            </w:tcBorders>
            <w:noWrap w:val="0"/>
            <w:vAlign w:val="center"/>
          </w:tcPr>
          <w:p w14:paraId="203BDAE4">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w:t>
            </w:r>
          </w:p>
        </w:tc>
        <w:tc>
          <w:tcPr>
            <w:tcW w:w="826" w:type="pct"/>
            <w:tcBorders>
              <w:tl2br w:val="nil"/>
              <w:tr2bl w:val="nil"/>
            </w:tcBorders>
            <w:noWrap w:val="0"/>
            <w:vAlign w:val="center"/>
          </w:tcPr>
          <w:p w14:paraId="118A2373">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1.63</w:t>
            </w:r>
            <w:r>
              <w:rPr>
                <w:rFonts w:hint="default" w:ascii="Times New Roman" w:hAnsi="Times New Roman" w:eastAsia="宋体" w:cs="Times New Roman"/>
                <w:i w:val="0"/>
                <w:iCs w:val="0"/>
                <w:color w:val="auto"/>
                <w:kern w:val="0"/>
                <w:sz w:val="21"/>
                <w:szCs w:val="21"/>
                <w:u w:val="none"/>
                <w:lang w:val="en-US" w:eastAsia="zh-CN" w:bidi="ar"/>
              </w:rPr>
              <w:t>×10</w:t>
            </w:r>
            <w:r>
              <w:rPr>
                <w:rFonts w:hint="default" w:ascii="Times New Roman" w:hAnsi="Times New Roman" w:eastAsia="宋体" w:cs="Times New Roman"/>
                <w:i w:val="0"/>
                <w:iCs w:val="0"/>
                <w:color w:val="auto"/>
                <w:kern w:val="0"/>
                <w:sz w:val="21"/>
                <w:szCs w:val="21"/>
                <w:u w:val="none"/>
                <w:vertAlign w:val="superscript"/>
                <w:lang w:val="en-US" w:eastAsia="zh-CN" w:bidi="ar"/>
              </w:rPr>
              <w:t>3</w:t>
            </w:r>
            <w:r>
              <w:rPr>
                <w:rFonts w:hint="eastAsia" w:ascii="Times New Roman" w:hAnsi="Times New Roman" w:eastAsia="宋体" w:cs="Times New Roman"/>
                <w:sz w:val="21"/>
                <w:szCs w:val="21"/>
                <w:vertAlign w:val="baseline"/>
                <w:lang w:val="en-US" w:eastAsia="zh-CN"/>
              </w:rPr>
              <w:t xml:space="preserve"> </w:t>
            </w:r>
          </w:p>
        </w:tc>
        <w:tc>
          <w:tcPr>
            <w:tcW w:w="861" w:type="pct"/>
            <w:tcBorders>
              <w:tl2br w:val="nil"/>
              <w:tr2bl w:val="nil"/>
            </w:tcBorders>
            <w:noWrap w:val="0"/>
            <w:vAlign w:val="center"/>
          </w:tcPr>
          <w:p w14:paraId="6AD54776">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23.9</w:t>
            </w:r>
          </w:p>
        </w:tc>
        <w:tc>
          <w:tcPr>
            <w:tcW w:w="1689" w:type="dxa"/>
            <w:tcBorders>
              <w:tl2br w:val="nil"/>
              <w:tr2bl w:val="nil"/>
            </w:tcBorders>
            <w:noWrap w:val="0"/>
            <w:vAlign w:val="center"/>
          </w:tcPr>
          <w:p w14:paraId="1F67788F">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0.0390 </w:t>
            </w:r>
          </w:p>
        </w:tc>
      </w:tr>
      <w:tr w14:paraId="1A343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00" w:type="pct"/>
            <w:vMerge w:val="continue"/>
            <w:tcBorders>
              <w:tl2br w:val="nil"/>
              <w:tr2bl w:val="nil"/>
            </w:tcBorders>
            <w:noWrap w:val="0"/>
            <w:vAlign w:val="center"/>
          </w:tcPr>
          <w:p w14:paraId="7ECB7799">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882" w:type="pct"/>
            <w:vMerge w:val="continue"/>
            <w:tcBorders>
              <w:tl2br w:val="nil"/>
              <w:tr2bl w:val="nil"/>
            </w:tcBorders>
            <w:noWrap w:val="0"/>
            <w:vAlign w:val="center"/>
          </w:tcPr>
          <w:p w14:paraId="66E32FEA">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755" w:type="pct"/>
            <w:tcBorders>
              <w:tl2br w:val="nil"/>
              <w:tr2bl w:val="nil"/>
            </w:tcBorders>
            <w:noWrap w:val="0"/>
            <w:vAlign w:val="center"/>
          </w:tcPr>
          <w:p w14:paraId="6DB9577E">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w:t>
            </w:r>
          </w:p>
        </w:tc>
        <w:tc>
          <w:tcPr>
            <w:tcW w:w="826" w:type="pct"/>
            <w:tcBorders>
              <w:tl2br w:val="nil"/>
              <w:tr2bl w:val="nil"/>
            </w:tcBorders>
            <w:noWrap w:val="0"/>
            <w:vAlign w:val="center"/>
          </w:tcPr>
          <w:p w14:paraId="00546D75">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1.59</w:t>
            </w:r>
            <w:r>
              <w:rPr>
                <w:rFonts w:hint="default" w:ascii="Times New Roman" w:hAnsi="Times New Roman" w:eastAsia="宋体" w:cs="Times New Roman"/>
                <w:i w:val="0"/>
                <w:iCs w:val="0"/>
                <w:color w:val="auto"/>
                <w:kern w:val="0"/>
                <w:sz w:val="21"/>
                <w:szCs w:val="21"/>
                <w:u w:val="none"/>
                <w:lang w:val="en-US" w:eastAsia="zh-CN" w:bidi="ar"/>
              </w:rPr>
              <w:t>×10</w:t>
            </w:r>
            <w:r>
              <w:rPr>
                <w:rFonts w:hint="default" w:ascii="Times New Roman" w:hAnsi="Times New Roman" w:eastAsia="宋体" w:cs="Times New Roman"/>
                <w:i w:val="0"/>
                <w:iCs w:val="0"/>
                <w:color w:val="auto"/>
                <w:kern w:val="0"/>
                <w:sz w:val="21"/>
                <w:szCs w:val="21"/>
                <w:u w:val="none"/>
                <w:vertAlign w:val="superscript"/>
                <w:lang w:val="en-US" w:eastAsia="zh-CN" w:bidi="ar"/>
              </w:rPr>
              <w:t>3</w:t>
            </w:r>
          </w:p>
        </w:tc>
        <w:tc>
          <w:tcPr>
            <w:tcW w:w="861" w:type="pct"/>
            <w:tcBorders>
              <w:tl2br w:val="nil"/>
              <w:tr2bl w:val="nil"/>
            </w:tcBorders>
            <w:noWrap w:val="0"/>
            <w:vAlign w:val="center"/>
          </w:tcPr>
          <w:p w14:paraId="76A66C70">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23.7</w:t>
            </w:r>
          </w:p>
        </w:tc>
        <w:tc>
          <w:tcPr>
            <w:tcW w:w="1689" w:type="dxa"/>
            <w:tcBorders>
              <w:tl2br w:val="nil"/>
              <w:tr2bl w:val="nil"/>
            </w:tcBorders>
            <w:noWrap w:val="0"/>
            <w:vAlign w:val="center"/>
          </w:tcPr>
          <w:p w14:paraId="10B50143">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0.0377 </w:t>
            </w:r>
          </w:p>
        </w:tc>
      </w:tr>
      <w:tr w14:paraId="059A7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00" w:type="pct"/>
            <w:vMerge w:val="continue"/>
            <w:tcBorders>
              <w:tl2br w:val="nil"/>
              <w:tr2bl w:val="nil"/>
            </w:tcBorders>
            <w:noWrap w:val="0"/>
            <w:vAlign w:val="center"/>
          </w:tcPr>
          <w:p w14:paraId="0CCF9CB5">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882" w:type="pct"/>
            <w:vMerge w:val="continue"/>
            <w:tcBorders>
              <w:tl2br w:val="nil"/>
              <w:tr2bl w:val="nil"/>
            </w:tcBorders>
            <w:noWrap w:val="0"/>
            <w:vAlign w:val="center"/>
          </w:tcPr>
          <w:p w14:paraId="5E970309">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755" w:type="pct"/>
            <w:tcBorders>
              <w:tl2br w:val="nil"/>
              <w:tr2bl w:val="nil"/>
            </w:tcBorders>
            <w:noWrap w:val="0"/>
            <w:vAlign w:val="center"/>
          </w:tcPr>
          <w:p w14:paraId="44F747FD">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3</w:t>
            </w:r>
          </w:p>
        </w:tc>
        <w:tc>
          <w:tcPr>
            <w:tcW w:w="826" w:type="pct"/>
            <w:tcBorders>
              <w:tl2br w:val="nil"/>
              <w:tr2bl w:val="nil"/>
            </w:tcBorders>
            <w:noWrap w:val="0"/>
            <w:vAlign w:val="center"/>
          </w:tcPr>
          <w:p w14:paraId="07718C95">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1.61</w:t>
            </w:r>
            <w:r>
              <w:rPr>
                <w:rFonts w:hint="default" w:ascii="Times New Roman" w:hAnsi="Times New Roman" w:eastAsia="宋体" w:cs="Times New Roman"/>
                <w:i w:val="0"/>
                <w:iCs w:val="0"/>
                <w:color w:val="auto"/>
                <w:kern w:val="0"/>
                <w:sz w:val="21"/>
                <w:szCs w:val="21"/>
                <w:u w:val="none"/>
                <w:lang w:val="en-US" w:eastAsia="zh-CN" w:bidi="ar"/>
              </w:rPr>
              <w:t>×10</w:t>
            </w:r>
            <w:r>
              <w:rPr>
                <w:rFonts w:hint="default" w:ascii="Times New Roman" w:hAnsi="Times New Roman" w:eastAsia="宋体" w:cs="Times New Roman"/>
                <w:i w:val="0"/>
                <w:iCs w:val="0"/>
                <w:color w:val="auto"/>
                <w:kern w:val="0"/>
                <w:sz w:val="21"/>
                <w:szCs w:val="21"/>
                <w:u w:val="none"/>
                <w:vertAlign w:val="superscript"/>
                <w:lang w:val="en-US" w:eastAsia="zh-CN" w:bidi="ar"/>
              </w:rPr>
              <w:t>3</w:t>
            </w:r>
          </w:p>
        </w:tc>
        <w:tc>
          <w:tcPr>
            <w:tcW w:w="861" w:type="pct"/>
            <w:tcBorders>
              <w:tl2br w:val="nil"/>
              <w:tr2bl w:val="nil"/>
            </w:tcBorders>
            <w:noWrap w:val="0"/>
            <w:vAlign w:val="center"/>
          </w:tcPr>
          <w:p w14:paraId="513269EA">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23.2</w:t>
            </w:r>
          </w:p>
        </w:tc>
        <w:tc>
          <w:tcPr>
            <w:tcW w:w="1689" w:type="dxa"/>
            <w:tcBorders>
              <w:tl2br w:val="nil"/>
              <w:tr2bl w:val="nil"/>
            </w:tcBorders>
            <w:noWrap w:val="0"/>
            <w:vAlign w:val="center"/>
          </w:tcPr>
          <w:p w14:paraId="52BBEFB4">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0.0374 </w:t>
            </w:r>
          </w:p>
        </w:tc>
      </w:tr>
      <w:tr w14:paraId="1373C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00" w:type="pct"/>
            <w:vMerge w:val="continue"/>
            <w:tcBorders>
              <w:tl2br w:val="nil"/>
              <w:tr2bl w:val="nil"/>
            </w:tcBorders>
            <w:noWrap w:val="0"/>
            <w:vAlign w:val="center"/>
          </w:tcPr>
          <w:p w14:paraId="7BFCF2B9">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882" w:type="pct"/>
            <w:vMerge w:val="continue"/>
            <w:tcBorders>
              <w:tl2br w:val="nil"/>
              <w:tr2bl w:val="nil"/>
            </w:tcBorders>
            <w:noWrap w:val="0"/>
            <w:vAlign w:val="center"/>
          </w:tcPr>
          <w:p w14:paraId="787EAE50">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755" w:type="pct"/>
            <w:tcBorders>
              <w:tl2br w:val="nil"/>
              <w:tr2bl w:val="nil"/>
            </w:tcBorders>
            <w:noWrap w:val="0"/>
            <w:vAlign w:val="center"/>
          </w:tcPr>
          <w:p w14:paraId="044FEE28">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均值</w:t>
            </w:r>
          </w:p>
        </w:tc>
        <w:tc>
          <w:tcPr>
            <w:tcW w:w="826" w:type="pct"/>
            <w:tcBorders>
              <w:tl2br w:val="nil"/>
              <w:tr2bl w:val="nil"/>
            </w:tcBorders>
            <w:noWrap w:val="0"/>
            <w:vAlign w:val="center"/>
          </w:tcPr>
          <w:p w14:paraId="4C19E6E1">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fldChar w:fldCharType="begin"/>
            </w:r>
            <w:r>
              <w:rPr>
                <w:rFonts w:hint="default" w:ascii="Times New Roman" w:hAnsi="Times New Roman" w:eastAsia="宋体" w:cs="Times New Roman"/>
                <w:sz w:val="21"/>
                <w:szCs w:val="21"/>
                <w:vertAlign w:val="baseline"/>
                <w:lang w:val="en-US" w:eastAsia="zh-CN"/>
              </w:rPr>
              <w:instrText xml:space="preserve"> = average(D11:D13) \* MERGEFORMAT </w:instrText>
            </w:r>
            <w:r>
              <w:rPr>
                <w:rFonts w:hint="default" w:ascii="Times New Roman" w:hAnsi="Times New Roman" w:eastAsia="宋体" w:cs="Times New Roman"/>
                <w:sz w:val="21"/>
                <w:szCs w:val="21"/>
                <w:vertAlign w:val="baseline"/>
                <w:lang w:val="en-US" w:eastAsia="zh-CN"/>
              </w:rPr>
              <w:fldChar w:fldCharType="separate"/>
            </w:r>
            <w:r>
              <w:rPr>
                <w:rFonts w:hint="default" w:ascii="Times New Roman" w:hAnsi="Times New Roman" w:eastAsia="宋体" w:cs="Times New Roman"/>
                <w:sz w:val="21"/>
                <w:szCs w:val="21"/>
                <w:vertAlign w:val="baseline"/>
                <w:lang w:val="en-US" w:eastAsia="zh-CN"/>
              </w:rPr>
              <w:t>1.61</w:t>
            </w:r>
            <w:r>
              <w:rPr>
                <w:rFonts w:hint="default" w:ascii="Times New Roman" w:hAnsi="Times New Roman" w:eastAsia="宋体" w:cs="Times New Roman"/>
                <w:sz w:val="21"/>
                <w:szCs w:val="21"/>
                <w:vertAlign w:val="baseline"/>
                <w:lang w:val="en-US" w:eastAsia="zh-CN"/>
              </w:rPr>
              <w:fldChar w:fldCharType="end"/>
            </w:r>
            <w:r>
              <w:rPr>
                <w:rFonts w:hint="default" w:ascii="Times New Roman" w:hAnsi="Times New Roman" w:eastAsia="宋体" w:cs="Times New Roman"/>
                <w:i w:val="0"/>
                <w:iCs w:val="0"/>
                <w:color w:val="auto"/>
                <w:kern w:val="0"/>
                <w:sz w:val="21"/>
                <w:szCs w:val="21"/>
                <w:u w:val="none"/>
                <w:lang w:val="en-US" w:eastAsia="zh-CN" w:bidi="ar"/>
              </w:rPr>
              <w:t>×10</w:t>
            </w:r>
            <w:r>
              <w:rPr>
                <w:rFonts w:hint="default" w:ascii="Times New Roman" w:hAnsi="Times New Roman" w:eastAsia="宋体" w:cs="Times New Roman"/>
                <w:i w:val="0"/>
                <w:iCs w:val="0"/>
                <w:color w:val="auto"/>
                <w:kern w:val="0"/>
                <w:sz w:val="21"/>
                <w:szCs w:val="21"/>
                <w:u w:val="none"/>
                <w:vertAlign w:val="superscript"/>
                <w:lang w:val="en-US" w:eastAsia="zh-CN" w:bidi="ar"/>
              </w:rPr>
              <w:t>3</w:t>
            </w:r>
          </w:p>
        </w:tc>
        <w:tc>
          <w:tcPr>
            <w:tcW w:w="861" w:type="pct"/>
            <w:tcBorders>
              <w:tl2br w:val="nil"/>
              <w:tr2bl w:val="nil"/>
            </w:tcBorders>
            <w:noWrap w:val="0"/>
            <w:vAlign w:val="center"/>
          </w:tcPr>
          <w:p w14:paraId="3905148B">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fldChar w:fldCharType="begin"/>
            </w:r>
            <w:r>
              <w:rPr>
                <w:rFonts w:hint="default" w:ascii="Times New Roman" w:hAnsi="Times New Roman" w:eastAsia="宋体" w:cs="Times New Roman"/>
                <w:sz w:val="21"/>
                <w:szCs w:val="21"/>
                <w:vertAlign w:val="baseline"/>
                <w:lang w:val="en-US" w:eastAsia="zh-CN"/>
              </w:rPr>
              <w:instrText xml:space="preserve"> = average(E11:E13) \* MERGEFORMAT </w:instrText>
            </w:r>
            <w:r>
              <w:rPr>
                <w:rFonts w:hint="default" w:ascii="Times New Roman" w:hAnsi="Times New Roman" w:eastAsia="宋体" w:cs="Times New Roman"/>
                <w:sz w:val="21"/>
                <w:szCs w:val="21"/>
                <w:vertAlign w:val="baseline"/>
                <w:lang w:val="en-US" w:eastAsia="zh-CN"/>
              </w:rPr>
              <w:fldChar w:fldCharType="separate"/>
            </w:r>
            <w:r>
              <w:rPr>
                <w:rFonts w:hint="default" w:ascii="Times New Roman" w:hAnsi="Times New Roman" w:eastAsia="宋体" w:cs="Times New Roman"/>
                <w:sz w:val="21"/>
                <w:szCs w:val="21"/>
                <w:vertAlign w:val="baseline"/>
                <w:lang w:val="en-US" w:eastAsia="zh-CN"/>
              </w:rPr>
              <w:t>23.6</w:t>
            </w:r>
            <w:r>
              <w:rPr>
                <w:rFonts w:hint="default" w:ascii="Times New Roman" w:hAnsi="Times New Roman" w:eastAsia="宋体" w:cs="Times New Roman"/>
                <w:sz w:val="21"/>
                <w:szCs w:val="21"/>
                <w:vertAlign w:val="baseline"/>
                <w:lang w:val="en-US" w:eastAsia="zh-CN"/>
              </w:rPr>
              <w:fldChar w:fldCharType="end"/>
            </w:r>
          </w:p>
        </w:tc>
        <w:tc>
          <w:tcPr>
            <w:tcW w:w="1689" w:type="dxa"/>
            <w:tcBorders>
              <w:tl2br w:val="nil"/>
              <w:tr2bl w:val="nil"/>
            </w:tcBorders>
            <w:noWrap w:val="0"/>
            <w:vAlign w:val="center"/>
          </w:tcPr>
          <w:p w14:paraId="2908E862">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0.0380</w:t>
            </w:r>
          </w:p>
        </w:tc>
      </w:tr>
      <w:tr w14:paraId="78DE3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00" w:type="pct"/>
            <w:vMerge w:val="continue"/>
            <w:tcBorders>
              <w:tl2br w:val="nil"/>
              <w:tr2bl w:val="nil"/>
            </w:tcBorders>
            <w:noWrap w:val="0"/>
            <w:vAlign w:val="center"/>
          </w:tcPr>
          <w:p w14:paraId="7E209540">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eastAsia" w:ascii="Times New Roman" w:hAnsi="Times New Roman" w:eastAsia="宋体" w:cs="Times New Roman"/>
                <w:sz w:val="21"/>
                <w:szCs w:val="21"/>
                <w:vertAlign w:val="baseline"/>
                <w:lang w:val="en-US" w:eastAsia="zh-CN"/>
              </w:rPr>
            </w:pPr>
          </w:p>
        </w:tc>
        <w:tc>
          <w:tcPr>
            <w:tcW w:w="882" w:type="pct"/>
            <w:vMerge w:val="restart"/>
            <w:tcBorders>
              <w:tl2br w:val="nil"/>
              <w:tr2bl w:val="nil"/>
            </w:tcBorders>
            <w:noWrap w:val="0"/>
            <w:vAlign w:val="center"/>
          </w:tcPr>
          <w:p w14:paraId="4FBF76D9">
            <w:pPr>
              <w:adjustRightInd/>
              <w:snapToGrid/>
              <w:spacing w:line="240" w:lineRule="auto"/>
              <w:ind w:firstLine="0" w:firstLineChars="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DA00</w:t>
            </w:r>
            <w:r>
              <w:rPr>
                <w:rFonts w:hint="eastAsia" w:cs="Times New Roman"/>
                <w:sz w:val="21"/>
                <w:szCs w:val="21"/>
                <w:lang w:val="en-US" w:eastAsia="zh-CN"/>
              </w:rPr>
              <w:t>3</w:t>
            </w:r>
          </w:p>
          <w:p w14:paraId="702D5C3C">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lang w:val="en-US" w:eastAsia="zh-CN"/>
              </w:rPr>
              <w:t>1#钢带镀镍线废气处理设施</w:t>
            </w:r>
            <w:r>
              <w:rPr>
                <w:rFonts w:hint="default" w:ascii="Times New Roman" w:hAnsi="Times New Roman" w:eastAsia="宋体" w:cs="Times New Roman"/>
                <w:sz w:val="21"/>
                <w:szCs w:val="21"/>
                <w:lang w:val="en-US" w:eastAsia="zh-CN"/>
              </w:rPr>
              <w:t>出口</w:t>
            </w:r>
          </w:p>
        </w:tc>
        <w:tc>
          <w:tcPr>
            <w:tcW w:w="755" w:type="pct"/>
            <w:tcBorders>
              <w:tl2br w:val="nil"/>
              <w:tr2bl w:val="nil"/>
            </w:tcBorders>
            <w:noWrap w:val="0"/>
            <w:vAlign w:val="center"/>
          </w:tcPr>
          <w:p w14:paraId="551A6E8F">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w:t>
            </w:r>
          </w:p>
        </w:tc>
        <w:tc>
          <w:tcPr>
            <w:tcW w:w="826" w:type="pct"/>
            <w:tcBorders>
              <w:tl2br w:val="nil"/>
              <w:tr2bl w:val="nil"/>
            </w:tcBorders>
            <w:noWrap w:val="0"/>
            <w:vAlign w:val="center"/>
          </w:tcPr>
          <w:p w14:paraId="085A461D">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1.70</w:t>
            </w:r>
            <w:r>
              <w:rPr>
                <w:rFonts w:hint="default" w:ascii="Times New Roman" w:hAnsi="Times New Roman" w:eastAsia="宋体" w:cs="Times New Roman"/>
                <w:i w:val="0"/>
                <w:iCs w:val="0"/>
                <w:color w:val="auto"/>
                <w:kern w:val="0"/>
                <w:sz w:val="21"/>
                <w:szCs w:val="21"/>
                <w:u w:val="none"/>
                <w:lang w:val="en-US" w:eastAsia="zh-CN" w:bidi="ar"/>
              </w:rPr>
              <w:t>×10</w:t>
            </w:r>
            <w:r>
              <w:rPr>
                <w:rFonts w:hint="default" w:ascii="Times New Roman" w:hAnsi="Times New Roman" w:eastAsia="宋体" w:cs="Times New Roman"/>
                <w:i w:val="0"/>
                <w:iCs w:val="0"/>
                <w:color w:val="auto"/>
                <w:kern w:val="0"/>
                <w:sz w:val="21"/>
                <w:szCs w:val="21"/>
                <w:u w:val="none"/>
                <w:vertAlign w:val="superscript"/>
                <w:lang w:val="en-US" w:eastAsia="zh-CN" w:bidi="ar"/>
              </w:rPr>
              <w:t>3</w:t>
            </w:r>
            <w:r>
              <w:rPr>
                <w:rFonts w:hint="eastAsia" w:ascii="Times New Roman" w:hAnsi="Times New Roman" w:eastAsia="宋体" w:cs="Times New Roman"/>
                <w:sz w:val="21"/>
                <w:szCs w:val="21"/>
                <w:vertAlign w:val="baseline"/>
                <w:lang w:val="en-US" w:eastAsia="zh-CN"/>
              </w:rPr>
              <w:t xml:space="preserve"> </w:t>
            </w:r>
          </w:p>
        </w:tc>
        <w:tc>
          <w:tcPr>
            <w:tcW w:w="861" w:type="pct"/>
            <w:tcBorders>
              <w:tl2br w:val="nil"/>
              <w:tr2bl w:val="nil"/>
            </w:tcBorders>
            <w:noWrap w:val="0"/>
            <w:vAlign w:val="center"/>
          </w:tcPr>
          <w:p w14:paraId="04CBACC7">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2.19</w:t>
            </w:r>
          </w:p>
        </w:tc>
        <w:tc>
          <w:tcPr>
            <w:tcW w:w="1689" w:type="dxa"/>
            <w:tcBorders>
              <w:tl2br w:val="nil"/>
              <w:tr2bl w:val="nil"/>
            </w:tcBorders>
            <w:noWrap w:val="0"/>
            <w:vAlign w:val="center"/>
          </w:tcPr>
          <w:p w14:paraId="30ECC5AE">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3.72</w:t>
            </w:r>
            <w:r>
              <w:rPr>
                <w:rFonts w:hint="default" w:ascii="Times New Roman" w:hAnsi="Times New Roman" w:eastAsia="宋体" w:cs="Times New Roman"/>
                <w:i w:val="0"/>
                <w:iCs w:val="0"/>
                <w:color w:val="auto"/>
                <w:kern w:val="0"/>
                <w:sz w:val="21"/>
                <w:szCs w:val="21"/>
                <w:u w:val="none"/>
                <w:lang w:val="en-US" w:eastAsia="zh-CN" w:bidi="ar"/>
              </w:rPr>
              <w:t>×10</w:t>
            </w:r>
            <w:r>
              <w:rPr>
                <w:rFonts w:hint="eastAsia" w:ascii="Times New Roman" w:hAnsi="Times New Roman" w:eastAsia="宋体" w:cs="Times New Roman"/>
                <w:i w:val="0"/>
                <w:iCs w:val="0"/>
                <w:color w:val="auto"/>
                <w:kern w:val="0"/>
                <w:sz w:val="21"/>
                <w:szCs w:val="21"/>
                <w:u w:val="none"/>
                <w:vertAlign w:val="superscript"/>
                <w:lang w:val="en-US" w:eastAsia="zh-CN" w:bidi="ar"/>
              </w:rPr>
              <w:t>-3</w:t>
            </w:r>
            <w:r>
              <w:rPr>
                <w:rFonts w:hint="eastAsia" w:ascii="Times New Roman" w:hAnsi="Times New Roman" w:eastAsia="宋体" w:cs="Times New Roman"/>
                <w:sz w:val="21"/>
                <w:szCs w:val="21"/>
                <w:vertAlign w:val="baseline"/>
                <w:lang w:val="en-US" w:eastAsia="zh-CN"/>
              </w:rPr>
              <w:t xml:space="preserve">  </w:t>
            </w:r>
          </w:p>
        </w:tc>
      </w:tr>
      <w:tr w14:paraId="4763B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00" w:type="pct"/>
            <w:vMerge w:val="continue"/>
            <w:tcBorders>
              <w:tl2br w:val="nil"/>
              <w:tr2bl w:val="nil"/>
            </w:tcBorders>
            <w:noWrap w:val="0"/>
            <w:vAlign w:val="center"/>
          </w:tcPr>
          <w:p w14:paraId="272B3BA1">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882" w:type="pct"/>
            <w:vMerge w:val="continue"/>
            <w:tcBorders>
              <w:tl2br w:val="nil"/>
              <w:tr2bl w:val="nil"/>
            </w:tcBorders>
            <w:noWrap w:val="0"/>
            <w:vAlign w:val="center"/>
          </w:tcPr>
          <w:p w14:paraId="24E621FA">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755" w:type="pct"/>
            <w:tcBorders>
              <w:tl2br w:val="nil"/>
              <w:tr2bl w:val="nil"/>
            </w:tcBorders>
            <w:noWrap w:val="0"/>
            <w:vAlign w:val="center"/>
          </w:tcPr>
          <w:p w14:paraId="5724A6DE">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w:t>
            </w:r>
          </w:p>
        </w:tc>
        <w:tc>
          <w:tcPr>
            <w:tcW w:w="826" w:type="pct"/>
            <w:tcBorders>
              <w:tl2br w:val="nil"/>
              <w:tr2bl w:val="nil"/>
            </w:tcBorders>
            <w:noWrap w:val="0"/>
            <w:vAlign w:val="center"/>
          </w:tcPr>
          <w:p w14:paraId="7170427A">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1.66</w:t>
            </w:r>
            <w:r>
              <w:rPr>
                <w:rFonts w:hint="default" w:ascii="Times New Roman" w:hAnsi="Times New Roman" w:eastAsia="宋体" w:cs="Times New Roman"/>
                <w:i w:val="0"/>
                <w:iCs w:val="0"/>
                <w:color w:val="auto"/>
                <w:kern w:val="0"/>
                <w:sz w:val="21"/>
                <w:szCs w:val="21"/>
                <w:u w:val="none"/>
                <w:lang w:val="en-US" w:eastAsia="zh-CN" w:bidi="ar"/>
              </w:rPr>
              <w:t>×10</w:t>
            </w:r>
            <w:r>
              <w:rPr>
                <w:rFonts w:hint="default" w:ascii="Times New Roman" w:hAnsi="Times New Roman" w:eastAsia="宋体" w:cs="Times New Roman"/>
                <w:i w:val="0"/>
                <w:iCs w:val="0"/>
                <w:color w:val="auto"/>
                <w:kern w:val="0"/>
                <w:sz w:val="21"/>
                <w:szCs w:val="21"/>
                <w:u w:val="none"/>
                <w:vertAlign w:val="superscript"/>
                <w:lang w:val="en-US" w:eastAsia="zh-CN" w:bidi="ar"/>
              </w:rPr>
              <w:t>3</w:t>
            </w:r>
          </w:p>
        </w:tc>
        <w:tc>
          <w:tcPr>
            <w:tcW w:w="861" w:type="pct"/>
            <w:tcBorders>
              <w:tl2br w:val="nil"/>
              <w:tr2bl w:val="nil"/>
            </w:tcBorders>
            <w:noWrap w:val="0"/>
            <w:vAlign w:val="center"/>
          </w:tcPr>
          <w:p w14:paraId="0BCB578C">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2.17</w:t>
            </w:r>
          </w:p>
        </w:tc>
        <w:tc>
          <w:tcPr>
            <w:tcW w:w="1689" w:type="dxa"/>
            <w:tcBorders>
              <w:tl2br w:val="nil"/>
              <w:tr2bl w:val="nil"/>
            </w:tcBorders>
            <w:noWrap w:val="0"/>
            <w:vAlign w:val="center"/>
          </w:tcPr>
          <w:p w14:paraId="434268E0">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3.60</w:t>
            </w:r>
            <w:r>
              <w:rPr>
                <w:rFonts w:hint="default" w:ascii="Times New Roman" w:hAnsi="Times New Roman" w:eastAsia="宋体" w:cs="Times New Roman"/>
                <w:i w:val="0"/>
                <w:iCs w:val="0"/>
                <w:color w:val="auto"/>
                <w:kern w:val="0"/>
                <w:sz w:val="21"/>
                <w:szCs w:val="21"/>
                <w:u w:val="none"/>
                <w:lang w:val="en-US" w:eastAsia="zh-CN" w:bidi="ar"/>
              </w:rPr>
              <w:t>×10</w:t>
            </w:r>
            <w:r>
              <w:rPr>
                <w:rFonts w:hint="eastAsia" w:ascii="Times New Roman" w:hAnsi="Times New Roman" w:eastAsia="宋体" w:cs="Times New Roman"/>
                <w:i w:val="0"/>
                <w:iCs w:val="0"/>
                <w:color w:val="auto"/>
                <w:kern w:val="0"/>
                <w:sz w:val="21"/>
                <w:szCs w:val="21"/>
                <w:u w:val="none"/>
                <w:vertAlign w:val="superscript"/>
                <w:lang w:val="en-US" w:eastAsia="zh-CN" w:bidi="ar"/>
              </w:rPr>
              <w:t>-3</w:t>
            </w:r>
            <w:r>
              <w:rPr>
                <w:rFonts w:hint="eastAsia" w:ascii="Times New Roman" w:hAnsi="Times New Roman" w:eastAsia="宋体" w:cs="Times New Roman"/>
                <w:sz w:val="21"/>
                <w:szCs w:val="21"/>
                <w:vertAlign w:val="baseline"/>
                <w:lang w:val="en-US" w:eastAsia="zh-CN"/>
              </w:rPr>
              <w:t xml:space="preserve">  </w:t>
            </w:r>
          </w:p>
        </w:tc>
      </w:tr>
      <w:tr w14:paraId="6C167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00" w:type="pct"/>
            <w:vMerge w:val="continue"/>
            <w:tcBorders>
              <w:tl2br w:val="nil"/>
              <w:tr2bl w:val="nil"/>
            </w:tcBorders>
            <w:noWrap w:val="0"/>
            <w:vAlign w:val="center"/>
          </w:tcPr>
          <w:p w14:paraId="774A0CB1">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882" w:type="pct"/>
            <w:vMerge w:val="continue"/>
            <w:tcBorders>
              <w:tl2br w:val="nil"/>
              <w:tr2bl w:val="nil"/>
            </w:tcBorders>
            <w:noWrap w:val="0"/>
            <w:vAlign w:val="center"/>
          </w:tcPr>
          <w:p w14:paraId="0A450E14">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755" w:type="pct"/>
            <w:tcBorders>
              <w:tl2br w:val="nil"/>
              <w:tr2bl w:val="nil"/>
            </w:tcBorders>
            <w:noWrap w:val="0"/>
            <w:vAlign w:val="center"/>
          </w:tcPr>
          <w:p w14:paraId="4115001E">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3</w:t>
            </w:r>
          </w:p>
        </w:tc>
        <w:tc>
          <w:tcPr>
            <w:tcW w:w="826" w:type="pct"/>
            <w:tcBorders>
              <w:tl2br w:val="nil"/>
              <w:tr2bl w:val="nil"/>
            </w:tcBorders>
            <w:noWrap w:val="0"/>
            <w:vAlign w:val="center"/>
          </w:tcPr>
          <w:p w14:paraId="3B346C45">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1.61</w:t>
            </w:r>
            <w:r>
              <w:rPr>
                <w:rFonts w:hint="default" w:ascii="Times New Roman" w:hAnsi="Times New Roman" w:eastAsia="宋体" w:cs="Times New Roman"/>
                <w:i w:val="0"/>
                <w:iCs w:val="0"/>
                <w:color w:val="auto"/>
                <w:kern w:val="0"/>
                <w:sz w:val="21"/>
                <w:szCs w:val="21"/>
                <w:u w:val="none"/>
                <w:lang w:val="en-US" w:eastAsia="zh-CN" w:bidi="ar"/>
              </w:rPr>
              <w:t>×10</w:t>
            </w:r>
            <w:r>
              <w:rPr>
                <w:rFonts w:hint="default" w:ascii="Times New Roman" w:hAnsi="Times New Roman" w:eastAsia="宋体" w:cs="Times New Roman"/>
                <w:i w:val="0"/>
                <w:iCs w:val="0"/>
                <w:color w:val="auto"/>
                <w:kern w:val="0"/>
                <w:sz w:val="21"/>
                <w:szCs w:val="21"/>
                <w:u w:val="none"/>
                <w:vertAlign w:val="superscript"/>
                <w:lang w:val="en-US" w:eastAsia="zh-CN" w:bidi="ar"/>
              </w:rPr>
              <w:t>3</w:t>
            </w:r>
            <w:r>
              <w:rPr>
                <w:rFonts w:hint="eastAsia" w:ascii="Times New Roman" w:hAnsi="Times New Roman" w:eastAsia="宋体" w:cs="Times New Roman"/>
                <w:sz w:val="21"/>
                <w:szCs w:val="21"/>
                <w:vertAlign w:val="baseline"/>
                <w:lang w:val="en-US" w:eastAsia="zh-CN"/>
              </w:rPr>
              <w:t xml:space="preserve"> </w:t>
            </w:r>
          </w:p>
        </w:tc>
        <w:tc>
          <w:tcPr>
            <w:tcW w:w="861" w:type="pct"/>
            <w:tcBorders>
              <w:tl2br w:val="nil"/>
              <w:tr2bl w:val="nil"/>
            </w:tcBorders>
            <w:noWrap w:val="0"/>
            <w:vAlign w:val="center"/>
          </w:tcPr>
          <w:p w14:paraId="0FE11602">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2.24</w:t>
            </w:r>
          </w:p>
        </w:tc>
        <w:tc>
          <w:tcPr>
            <w:tcW w:w="1689" w:type="dxa"/>
            <w:tcBorders>
              <w:tl2br w:val="nil"/>
              <w:tr2bl w:val="nil"/>
            </w:tcBorders>
            <w:noWrap w:val="0"/>
            <w:vAlign w:val="center"/>
          </w:tcPr>
          <w:p w14:paraId="2B46DAF6">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3.61</w:t>
            </w:r>
            <w:r>
              <w:rPr>
                <w:rFonts w:hint="default" w:ascii="Times New Roman" w:hAnsi="Times New Roman" w:eastAsia="宋体" w:cs="Times New Roman"/>
                <w:i w:val="0"/>
                <w:iCs w:val="0"/>
                <w:color w:val="auto"/>
                <w:kern w:val="0"/>
                <w:sz w:val="21"/>
                <w:szCs w:val="21"/>
                <w:u w:val="none"/>
                <w:lang w:val="en-US" w:eastAsia="zh-CN" w:bidi="ar"/>
              </w:rPr>
              <w:t>×10</w:t>
            </w:r>
            <w:r>
              <w:rPr>
                <w:rFonts w:hint="eastAsia" w:ascii="Times New Roman" w:hAnsi="Times New Roman" w:eastAsia="宋体" w:cs="Times New Roman"/>
                <w:i w:val="0"/>
                <w:iCs w:val="0"/>
                <w:color w:val="auto"/>
                <w:kern w:val="0"/>
                <w:sz w:val="21"/>
                <w:szCs w:val="21"/>
                <w:u w:val="none"/>
                <w:vertAlign w:val="superscript"/>
                <w:lang w:val="en-US" w:eastAsia="zh-CN" w:bidi="ar"/>
              </w:rPr>
              <w:t>-3</w:t>
            </w:r>
            <w:r>
              <w:rPr>
                <w:rFonts w:hint="eastAsia" w:ascii="Times New Roman" w:hAnsi="Times New Roman" w:eastAsia="宋体" w:cs="Times New Roman"/>
                <w:sz w:val="21"/>
                <w:szCs w:val="21"/>
                <w:vertAlign w:val="baseline"/>
                <w:lang w:val="en-US" w:eastAsia="zh-CN"/>
              </w:rPr>
              <w:t xml:space="preserve">  </w:t>
            </w:r>
          </w:p>
        </w:tc>
      </w:tr>
      <w:tr w14:paraId="10DFF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00" w:type="pct"/>
            <w:vMerge w:val="continue"/>
            <w:tcBorders>
              <w:tl2br w:val="nil"/>
              <w:tr2bl w:val="nil"/>
            </w:tcBorders>
            <w:noWrap w:val="0"/>
            <w:vAlign w:val="center"/>
          </w:tcPr>
          <w:p w14:paraId="44C64961">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882" w:type="pct"/>
            <w:vMerge w:val="continue"/>
            <w:tcBorders>
              <w:tl2br w:val="nil"/>
              <w:tr2bl w:val="nil"/>
            </w:tcBorders>
            <w:noWrap w:val="0"/>
            <w:vAlign w:val="center"/>
          </w:tcPr>
          <w:p w14:paraId="48426A14">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755" w:type="pct"/>
            <w:tcBorders>
              <w:tl2br w:val="nil"/>
              <w:tr2bl w:val="nil"/>
            </w:tcBorders>
            <w:noWrap w:val="0"/>
            <w:vAlign w:val="center"/>
          </w:tcPr>
          <w:p w14:paraId="08B4002E">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均值</w:t>
            </w:r>
          </w:p>
        </w:tc>
        <w:tc>
          <w:tcPr>
            <w:tcW w:w="826" w:type="pct"/>
            <w:tcBorders>
              <w:tl2br w:val="nil"/>
              <w:tr2bl w:val="nil"/>
            </w:tcBorders>
            <w:noWrap w:val="0"/>
            <w:vAlign w:val="center"/>
          </w:tcPr>
          <w:p w14:paraId="2A7FFA87">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fldChar w:fldCharType="begin"/>
            </w:r>
            <w:r>
              <w:rPr>
                <w:rFonts w:hint="default" w:ascii="Times New Roman" w:hAnsi="Times New Roman" w:eastAsia="宋体" w:cs="Times New Roman"/>
                <w:sz w:val="21"/>
                <w:szCs w:val="21"/>
                <w:vertAlign w:val="baseline"/>
                <w:lang w:val="en-US" w:eastAsia="zh-CN"/>
              </w:rPr>
              <w:instrText xml:space="preserve"> = average(D15:D17) \* MERGEFORMAT </w:instrText>
            </w:r>
            <w:r>
              <w:rPr>
                <w:rFonts w:hint="default" w:ascii="Times New Roman" w:hAnsi="Times New Roman" w:eastAsia="宋体" w:cs="Times New Roman"/>
                <w:sz w:val="21"/>
                <w:szCs w:val="21"/>
                <w:vertAlign w:val="baseline"/>
                <w:lang w:val="en-US" w:eastAsia="zh-CN"/>
              </w:rPr>
              <w:fldChar w:fldCharType="separate"/>
            </w:r>
            <w:r>
              <w:rPr>
                <w:rFonts w:hint="default" w:ascii="Times New Roman" w:hAnsi="Times New Roman" w:eastAsia="宋体" w:cs="Times New Roman"/>
                <w:sz w:val="21"/>
                <w:szCs w:val="21"/>
                <w:vertAlign w:val="baseline"/>
                <w:lang w:val="en-US" w:eastAsia="zh-CN"/>
              </w:rPr>
              <w:t>1.6</w:t>
            </w:r>
            <w:r>
              <w:rPr>
                <w:rFonts w:hint="eastAsia" w:ascii="Times New Roman" w:hAnsi="Times New Roman" w:eastAsia="宋体" w:cs="Times New Roman"/>
                <w:sz w:val="21"/>
                <w:szCs w:val="21"/>
                <w:vertAlign w:val="baseline"/>
                <w:lang w:val="en-US" w:eastAsia="zh-CN"/>
              </w:rPr>
              <w:t>6</w:t>
            </w:r>
            <w:r>
              <w:rPr>
                <w:rFonts w:hint="default" w:ascii="Times New Roman" w:hAnsi="Times New Roman" w:eastAsia="宋体" w:cs="Times New Roman"/>
                <w:sz w:val="21"/>
                <w:szCs w:val="21"/>
                <w:vertAlign w:val="baseline"/>
                <w:lang w:val="en-US" w:eastAsia="zh-CN"/>
              </w:rPr>
              <w:fldChar w:fldCharType="end"/>
            </w:r>
            <w:r>
              <w:rPr>
                <w:rFonts w:hint="default" w:ascii="Times New Roman" w:hAnsi="Times New Roman" w:eastAsia="宋体" w:cs="Times New Roman"/>
                <w:i w:val="0"/>
                <w:iCs w:val="0"/>
                <w:color w:val="auto"/>
                <w:kern w:val="0"/>
                <w:sz w:val="21"/>
                <w:szCs w:val="21"/>
                <w:u w:val="none"/>
                <w:lang w:val="en-US" w:eastAsia="zh-CN" w:bidi="ar"/>
              </w:rPr>
              <w:t>×10</w:t>
            </w:r>
            <w:r>
              <w:rPr>
                <w:rFonts w:hint="default" w:ascii="Times New Roman" w:hAnsi="Times New Roman" w:eastAsia="宋体" w:cs="Times New Roman"/>
                <w:i w:val="0"/>
                <w:iCs w:val="0"/>
                <w:color w:val="auto"/>
                <w:kern w:val="0"/>
                <w:sz w:val="21"/>
                <w:szCs w:val="21"/>
                <w:u w:val="none"/>
                <w:vertAlign w:val="superscript"/>
                <w:lang w:val="en-US" w:eastAsia="zh-CN" w:bidi="ar"/>
              </w:rPr>
              <w:t>3</w:t>
            </w:r>
          </w:p>
        </w:tc>
        <w:tc>
          <w:tcPr>
            <w:tcW w:w="861" w:type="pct"/>
            <w:tcBorders>
              <w:tl2br w:val="nil"/>
              <w:tr2bl w:val="nil"/>
            </w:tcBorders>
            <w:noWrap w:val="0"/>
            <w:vAlign w:val="center"/>
          </w:tcPr>
          <w:p w14:paraId="18E22295">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fldChar w:fldCharType="begin"/>
            </w:r>
            <w:r>
              <w:rPr>
                <w:rFonts w:hint="default" w:ascii="Times New Roman" w:hAnsi="Times New Roman" w:eastAsia="宋体" w:cs="Times New Roman"/>
                <w:sz w:val="21"/>
                <w:szCs w:val="21"/>
                <w:vertAlign w:val="baseline"/>
                <w:lang w:val="en-US" w:eastAsia="zh-CN"/>
              </w:rPr>
              <w:instrText xml:space="preserve"> = average(E15:E17) \* MERGEFORMAT </w:instrText>
            </w:r>
            <w:r>
              <w:rPr>
                <w:rFonts w:hint="default" w:ascii="Times New Roman" w:hAnsi="Times New Roman" w:eastAsia="宋体" w:cs="Times New Roman"/>
                <w:sz w:val="21"/>
                <w:szCs w:val="21"/>
                <w:vertAlign w:val="baseline"/>
                <w:lang w:val="en-US" w:eastAsia="zh-CN"/>
              </w:rPr>
              <w:fldChar w:fldCharType="separate"/>
            </w:r>
            <w:r>
              <w:rPr>
                <w:rFonts w:hint="default" w:ascii="Times New Roman" w:hAnsi="Times New Roman" w:eastAsia="宋体" w:cs="Times New Roman"/>
                <w:sz w:val="21"/>
                <w:szCs w:val="21"/>
                <w:vertAlign w:val="baseline"/>
                <w:lang w:val="en-US" w:eastAsia="zh-CN"/>
              </w:rPr>
              <w:t>2.2</w:t>
            </w:r>
            <w:r>
              <w:rPr>
                <w:rFonts w:hint="default" w:ascii="Times New Roman" w:hAnsi="Times New Roman" w:eastAsia="宋体" w:cs="Times New Roman"/>
                <w:sz w:val="21"/>
                <w:szCs w:val="21"/>
                <w:vertAlign w:val="baseline"/>
                <w:lang w:val="en-US" w:eastAsia="zh-CN"/>
              </w:rPr>
              <w:fldChar w:fldCharType="end"/>
            </w:r>
            <w:r>
              <w:rPr>
                <w:rFonts w:hint="eastAsia" w:ascii="Times New Roman" w:hAnsi="Times New Roman" w:eastAsia="宋体" w:cs="Times New Roman"/>
                <w:sz w:val="21"/>
                <w:szCs w:val="21"/>
                <w:vertAlign w:val="baseline"/>
                <w:lang w:val="en-US" w:eastAsia="zh-CN"/>
              </w:rPr>
              <w:t>0</w:t>
            </w:r>
          </w:p>
        </w:tc>
        <w:tc>
          <w:tcPr>
            <w:tcW w:w="1689" w:type="dxa"/>
            <w:tcBorders>
              <w:tl2br w:val="nil"/>
              <w:tr2bl w:val="nil"/>
            </w:tcBorders>
            <w:noWrap w:val="0"/>
            <w:vAlign w:val="center"/>
          </w:tcPr>
          <w:p w14:paraId="26442374">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3.65</w:t>
            </w:r>
            <w:r>
              <w:rPr>
                <w:rFonts w:hint="default" w:ascii="Times New Roman" w:hAnsi="Times New Roman" w:eastAsia="宋体" w:cs="Times New Roman"/>
                <w:i w:val="0"/>
                <w:iCs w:val="0"/>
                <w:color w:val="auto"/>
                <w:kern w:val="0"/>
                <w:sz w:val="21"/>
                <w:szCs w:val="21"/>
                <w:u w:val="none"/>
                <w:lang w:val="en-US" w:eastAsia="zh-CN" w:bidi="ar"/>
              </w:rPr>
              <w:t>×10</w:t>
            </w:r>
            <w:r>
              <w:rPr>
                <w:rFonts w:hint="eastAsia" w:ascii="Times New Roman" w:hAnsi="Times New Roman" w:eastAsia="宋体" w:cs="Times New Roman"/>
                <w:i w:val="0"/>
                <w:iCs w:val="0"/>
                <w:color w:val="auto"/>
                <w:kern w:val="0"/>
                <w:sz w:val="21"/>
                <w:szCs w:val="21"/>
                <w:u w:val="none"/>
                <w:vertAlign w:val="superscript"/>
                <w:lang w:val="en-US" w:eastAsia="zh-CN" w:bidi="ar"/>
              </w:rPr>
              <w:t>-3</w:t>
            </w:r>
            <w:r>
              <w:rPr>
                <w:rFonts w:hint="eastAsia" w:ascii="Times New Roman" w:hAnsi="Times New Roman" w:eastAsia="宋体" w:cs="Times New Roman"/>
                <w:sz w:val="21"/>
                <w:szCs w:val="21"/>
                <w:vertAlign w:val="baseline"/>
                <w:lang w:val="en-US" w:eastAsia="zh-CN"/>
              </w:rPr>
              <w:t xml:space="preserve">  </w:t>
            </w:r>
          </w:p>
        </w:tc>
      </w:tr>
      <w:tr w14:paraId="6FDBD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00" w:type="pct"/>
            <w:vMerge w:val="restart"/>
            <w:tcBorders>
              <w:tl2br w:val="nil"/>
              <w:tr2bl w:val="nil"/>
            </w:tcBorders>
            <w:noWrap w:val="0"/>
            <w:vAlign w:val="center"/>
          </w:tcPr>
          <w:p w14:paraId="2803AFE9">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2026.05.07</w:t>
            </w:r>
          </w:p>
        </w:tc>
        <w:tc>
          <w:tcPr>
            <w:tcW w:w="882" w:type="pct"/>
            <w:vMerge w:val="restart"/>
            <w:tcBorders>
              <w:tl2br w:val="nil"/>
              <w:tr2bl w:val="nil"/>
            </w:tcBorders>
            <w:noWrap w:val="0"/>
            <w:vAlign w:val="center"/>
          </w:tcPr>
          <w:p w14:paraId="4A78AACC">
            <w:pPr>
              <w:adjustRightInd/>
              <w:snapToGrid/>
              <w:spacing w:line="240" w:lineRule="auto"/>
              <w:ind w:firstLine="0" w:firstLineChars="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DA004</w:t>
            </w:r>
          </w:p>
          <w:p w14:paraId="06B5E56A">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lang w:val="en-US" w:eastAsia="zh-CN"/>
              </w:rPr>
              <w:t xml:space="preserve"> 2#钢带镀镍线废气处理设施</w:t>
            </w:r>
            <w:r>
              <w:rPr>
                <w:rFonts w:hint="default" w:ascii="Times New Roman" w:hAnsi="Times New Roman" w:eastAsia="宋体" w:cs="Times New Roman"/>
                <w:sz w:val="21"/>
                <w:szCs w:val="21"/>
                <w:lang w:val="en-US" w:eastAsia="zh-CN"/>
              </w:rPr>
              <w:t>进口</w:t>
            </w:r>
            <w:r>
              <w:rPr>
                <w:rFonts w:hint="eastAsia" w:ascii="Times New Roman" w:hAnsi="Times New Roman" w:eastAsia="宋体" w:cs="Times New Roman"/>
                <w:sz w:val="21"/>
                <w:szCs w:val="21"/>
                <w:lang w:val="en-US" w:eastAsia="zh-CN"/>
              </w:rPr>
              <w:t>（现有钢帽废气处理设施）</w:t>
            </w:r>
          </w:p>
        </w:tc>
        <w:tc>
          <w:tcPr>
            <w:tcW w:w="755" w:type="pct"/>
            <w:tcBorders>
              <w:tl2br w:val="nil"/>
              <w:tr2bl w:val="nil"/>
            </w:tcBorders>
            <w:noWrap w:val="0"/>
            <w:vAlign w:val="center"/>
          </w:tcPr>
          <w:p w14:paraId="66AA8D05">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w:t>
            </w:r>
          </w:p>
        </w:tc>
        <w:tc>
          <w:tcPr>
            <w:tcW w:w="826" w:type="pct"/>
            <w:tcBorders>
              <w:tl2br w:val="nil"/>
              <w:tr2bl w:val="nil"/>
            </w:tcBorders>
            <w:noWrap w:val="0"/>
            <w:vAlign w:val="center"/>
          </w:tcPr>
          <w:p w14:paraId="556B4F1C">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876 </w:t>
            </w:r>
          </w:p>
        </w:tc>
        <w:tc>
          <w:tcPr>
            <w:tcW w:w="861" w:type="pct"/>
            <w:tcBorders>
              <w:tl2br w:val="nil"/>
              <w:tr2bl w:val="nil"/>
            </w:tcBorders>
            <w:noWrap w:val="0"/>
            <w:vAlign w:val="center"/>
          </w:tcPr>
          <w:p w14:paraId="435C634F">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29.2</w:t>
            </w:r>
          </w:p>
        </w:tc>
        <w:tc>
          <w:tcPr>
            <w:tcW w:w="1689" w:type="dxa"/>
            <w:tcBorders>
              <w:tl2br w:val="nil"/>
              <w:tr2bl w:val="nil"/>
            </w:tcBorders>
            <w:noWrap w:val="0"/>
            <w:vAlign w:val="center"/>
          </w:tcPr>
          <w:p w14:paraId="500C57BE">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0.0256 </w:t>
            </w:r>
          </w:p>
        </w:tc>
      </w:tr>
      <w:tr w14:paraId="12768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00" w:type="pct"/>
            <w:vMerge w:val="continue"/>
            <w:tcBorders>
              <w:tl2br w:val="nil"/>
              <w:tr2bl w:val="nil"/>
            </w:tcBorders>
            <w:noWrap w:val="0"/>
            <w:vAlign w:val="center"/>
          </w:tcPr>
          <w:p w14:paraId="1208ED98">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882" w:type="pct"/>
            <w:vMerge w:val="continue"/>
            <w:tcBorders>
              <w:tl2br w:val="nil"/>
              <w:tr2bl w:val="nil"/>
            </w:tcBorders>
            <w:noWrap w:val="0"/>
            <w:vAlign w:val="center"/>
          </w:tcPr>
          <w:p w14:paraId="471EAD54">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755" w:type="pct"/>
            <w:tcBorders>
              <w:tl2br w:val="nil"/>
              <w:tr2bl w:val="nil"/>
            </w:tcBorders>
            <w:noWrap w:val="0"/>
            <w:vAlign w:val="center"/>
          </w:tcPr>
          <w:p w14:paraId="4D83C4BF">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w:t>
            </w:r>
          </w:p>
        </w:tc>
        <w:tc>
          <w:tcPr>
            <w:tcW w:w="826" w:type="pct"/>
            <w:tcBorders>
              <w:tl2br w:val="nil"/>
              <w:tr2bl w:val="nil"/>
            </w:tcBorders>
            <w:noWrap w:val="0"/>
            <w:vAlign w:val="center"/>
          </w:tcPr>
          <w:p w14:paraId="1E44FE96">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889 </w:t>
            </w:r>
          </w:p>
        </w:tc>
        <w:tc>
          <w:tcPr>
            <w:tcW w:w="861" w:type="pct"/>
            <w:tcBorders>
              <w:tl2br w:val="nil"/>
              <w:tr2bl w:val="nil"/>
            </w:tcBorders>
            <w:noWrap w:val="0"/>
            <w:vAlign w:val="center"/>
          </w:tcPr>
          <w:p w14:paraId="487F1E6A">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28.4</w:t>
            </w:r>
          </w:p>
        </w:tc>
        <w:tc>
          <w:tcPr>
            <w:tcW w:w="1689" w:type="dxa"/>
            <w:tcBorders>
              <w:tl2br w:val="nil"/>
              <w:tr2bl w:val="nil"/>
            </w:tcBorders>
            <w:noWrap w:val="0"/>
            <w:vAlign w:val="center"/>
          </w:tcPr>
          <w:p w14:paraId="5625CB66">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0.0252</w:t>
            </w:r>
          </w:p>
        </w:tc>
      </w:tr>
      <w:tr w14:paraId="41C90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00" w:type="pct"/>
            <w:vMerge w:val="continue"/>
            <w:tcBorders>
              <w:tl2br w:val="nil"/>
              <w:tr2bl w:val="nil"/>
            </w:tcBorders>
            <w:noWrap w:val="0"/>
            <w:vAlign w:val="center"/>
          </w:tcPr>
          <w:p w14:paraId="72AAAA8B">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882" w:type="pct"/>
            <w:vMerge w:val="continue"/>
            <w:tcBorders>
              <w:tl2br w:val="nil"/>
              <w:tr2bl w:val="nil"/>
            </w:tcBorders>
            <w:noWrap w:val="0"/>
            <w:vAlign w:val="center"/>
          </w:tcPr>
          <w:p w14:paraId="10433C9D">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755" w:type="pct"/>
            <w:tcBorders>
              <w:tl2br w:val="nil"/>
              <w:tr2bl w:val="nil"/>
            </w:tcBorders>
            <w:noWrap w:val="0"/>
            <w:vAlign w:val="center"/>
          </w:tcPr>
          <w:p w14:paraId="7F931539">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3</w:t>
            </w:r>
          </w:p>
        </w:tc>
        <w:tc>
          <w:tcPr>
            <w:tcW w:w="826" w:type="pct"/>
            <w:tcBorders>
              <w:tl2br w:val="nil"/>
              <w:tr2bl w:val="nil"/>
            </w:tcBorders>
            <w:noWrap w:val="0"/>
            <w:vAlign w:val="center"/>
          </w:tcPr>
          <w:p w14:paraId="2F757185">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878 </w:t>
            </w:r>
          </w:p>
        </w:tc>
        <w:tc>
          <w:tcPr>
            <w:tcW w:w="861" w:type="pct"/>
            <w:tcBorders>
              <w:tl2br w:val="nil"/>
              <w:tr2bl w:val="nil"/>
            </w:tcBorders>
            <w:noWrap w:val="0"/>
            <w:vAlign w:val="center"/>
          </w:tcPr>
          <w:p w14:paraId="04876A39">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27.9</w:t>
            </w:r>
          </w:p>
        </w:tc>
        <w:tc>
          <w:tcPr>
            <w:tcW w:w="1689" w:type="dxa"/>
            <w:tcBorders>
              <w:tl2br w:val="nil"/>
              <w:tr2bl w:val="nil"/>
            </w:tcBorders>
            <w:noWrap w:val="0"/>
            <w:vAlign w:val="center"/>
          </w:tcPr>
          <w:p w14:paraId="6A1FD2C7">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0.0245 </w:t>
            </w:r>
          </w:p>
        </w:tc>
      </w:tr>
      <w:tr w14:paraId="5EAE4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00" w:type="pct"/>
            <w:vMerge w:val="continue"/>
            <w:tcBorders>
              <w:tl2br w:val="nil"/>
              <w:tr2bl w:val="nil"/>
            </w:tcBorders>
            <w:noWrap w:val="0"/>
            <w:vAlign w:val="center"/>
          </w:tcPr>
          <w:p w14:paraId="58CA0F90">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882" w:type="pct"/>
            <w:vMerge w:val="continue"/>
            <w:tcBorders>
              <w:tl2br w:val="nil"/>
              <w:tr2bl w:val="nil"/>
            </w:tcBorders>
            <w:noWrap w:val="0"/>
            <w:vAlign w:val="center"/>
          </w:tcPr>
          <w:p w14:paraId="2A5241C9">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755" w:type="pct"/>
            <w:tcBorders>
              <w:tl2br w:val="nil"/>
              <w:tr2bl w:val="nil"/>
            </w:tcBorders>
            <w:noWrap w:val="0"/>
            <w:vAlign w:val="center"/>
          </w:tcPr>
          <w:p w14:paraId="6008C1F8">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均值</w:t>
            </w:r>
          </w:p>
        </w:tc>
        <w:tc>
          <w:tcPr>
            <w:tcW w:w="826" w:type="pct"/>
            <w:tcBorders>
              <w:tl2br w:val="nil"/>
              <w:tr2bl w:val="nil"/>
            </w:tcBorders>
            <w:noWrap w:val="0"/>
            <w:vAlign w:val="center"/>
          </w:tcPr>
          <w:p w14:paraId="0B422BD2">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fldChar w:fldCharType="begin"/>
            </w:r>
            <w:r>
              <w:rPr>
                <w:rFonts w:hint="default" w:ascii="Times New Roman" w:hAnsi="Times New Roman" w:eastAsia="宋体" w:cs="Times New Roman"/>
                <w:sz w:val="21"/>
                <w:szCs w:val="21"/>
                <w:vertAlign w:val="baseline"/>
                <w:lang w:val="en-US" w:eastAsia="zh-CN"/>
              </w:rPr>
              <w:instrText xml:space="preserve"> = average(D19:D21) \* MERGEFORMAT </w:instrText>
            </w:r>
            <w:r>
              <w:rPr>
                <w:rFonts w:hint="default" w:ascii="Times New Roman" w:hAnsi="Times New Roman" w:eastAsia="宋体" w:cs="Times New Roman"/>
                <w:sz w:val="21"/>
                <w:szCs w:val="21"/>
                <w:vertAlign w:val="baseline"/>
                <w:lang w:val="en-US" w:eastAsia="zh-CN"/>
              </w:rPr>
              <w:fldChar w:fldCharType="separate"/>
            </w:r>
            <w:r>
              <w:rPr>
                <w:rFonts w:hint="default" w:ascii="Times New Roman" w:hAnsi="Times New Roman" w:eastAsia="宋体" w:cs="Times New Roman"/>
                <w:sz w:val="21"/>
                <w:szCs w:val="21"/>
                <w:vertAlign w:val="baseline"/>
                <w:lang w:val="en-US" w:eastAsia="zh-CN"/>
              </w:rPr>
              <w:t>881</w:t>
            </w:r>
            <w:r>
              <w:rPr>
                <w:rFonts w:hint="default" w:ascii="Times New Roman" w:hAnsi="Times New Roman" w:eastAsia="宋体" w:cs="Times New Roman"/>
                <w:sz w:val="21"/>
                <w:szCs w:val="21"/>
                <w:vertAlign w:val="baseline"/>
                <w:lang w:val="en-US" w:eastAsia="zh-CN"/>
              </w:rPr>
              <w:fldChar w:fldCharType="end"/>
            </w:r>
          </w:p>
        </w:tc>
        <w:tc>
          <w:tcPr>
            <w:tcW w:w="861" w:type="pct"/>
            <w:tcBorders>
              <w:tl2br w:val="nil"/>
              <w:tr2bl w:val="nil"/>
            </w:tcBorders>
            <w:noWrap w:val="0"/>
            <w:vAlign w:val="center"/>
          </w:tcPr>
          <w:p w14:paraId="1F91F220">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fldChar w:fldCharType="begin"/>
            </w:r>
            <w:r>
              <w:rPr>
                <w:rFonts w:hint="default" w:ascii="Times New Roman" w:hAnsi="Times New Roman" w:eastAsia="宋体" w:cs="Times New Roman"/>
                <w:sz w:val="21"/>
                <w:szCs w:val="21"/>
                <w:vertAlign w:val="baseline"/>
                <w:lang w:val="en-US" w:eastAsia="zh-CN"/>
              </w:rPr>
              <w:instrText xml:space="preserve"> = average(E19:E21) \* MERGEFORMAT </w:instrText>
            </w:r>
            <w:r>
              <w:rPr>
                <w:rFonts w:hint="default" w:ascii="Times New Roman" w:hAnsi="Times New Roman" w:eastAsia="宋体" w:cs="Times New Roman"/>
                <w:sz w:val="21"/>
                <w:szCs w:val="21"/>
                <w:vertAlign w:val="baseline"/>
                <w:lang w:val="en-US" w:eastAsia="zh-CN"/>
              </w:rPr>
              <w:fldChar w:fldCharType="separate"/>
            </w:r>
            <w:r>
              <w:rPr>
                <w:rFonts w:hint="default" w:ascii="Times New Roman" w:hAnsi="Times New Roman" w:eastAsia="宋体" w:cs="Times New Roman"/>
                <w:sz w:val="21"/>
                <w:szCs w:val="21"/>
                <w:vertAlign w:val="baseline"/>
                <w:lang w:val="en-US" w:eastAsia="zh-CN"/>
              </w:rPr>
              <w:t>28.5</w:t>
            </w:r>
            <w:r>
              <w:rPr>
                <w:rFonts w:hint="default" w:ascii="Times New Roman" w:hAnsi="Times New Roman" w:eastAsia="宋体" w:cs="Times New Roman"/>
                <w:sz w:val="21"/>
                <w:szCs w:val="21"/>
                <w:vertAlign w:val="baseline"/>
                <w:lang w:val="en-US" w:eastAsia="zh-CN"/>
              </w:rPr>
              <w:fldChar w:fldCharType="end"/>
            </w:r>
          </w:p>
        </w:tc>
        <w:tc>
          <w:tcPr>
            <w:tcW w:w="1689" w:type="dxa"/>
            <w:tcBorders>
              <w:tl2br w:val="nil"/>
              <w:tr2bl w:val="nil"/>
            </w:tcBorders>
            <w:noWrap w:val="0"/>
            <w:vAlign w:val="center"/>
          </w:tcPr>
          <w:p w14:paraId="089ADDD7">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0.0251 </w:t>
            </w:r>
          </w:p>
        </w:tc>
      </w:tr>
      <w:tr w14:paraId="40F26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00" w:type="pct"/>
            <w:vMerge w:val="continue"/>
            <w:tcBorders>
              <w:tl2br w:val="nil"/>
              <w:tr2bl w:val="nil"/>
            </w:tcBorders>
            <w:noWrap w:val="0"/>
            <w:vAlign w:val="center"/>
          </w:tcPr>
          <w:p w14:paraId="040F0EB3">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882" w:type="pct"/>
            <w:vMerge w:val="restart"/>
            <w:tcBorders>
              <w:tl2br w:val="nil"/>
              <w:tr2bl w:val="nil"/>
            </w:tcBorders>
            <w:noWrap w:val="0"/>
            <w:vAlign w:val="center"/>
          </w:tcPr>
          <w:p w14:paraId="27A3F625">
            <w:pPr>
              <w:adjustRightInd/>
              <w:snapToGrid/>
              <w:spacing w:line="240" w:lineRule="auto"/>
              <w:ind w:firstLine="0" w:firstLineChars="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DA004</w:t>
            </w:r>
          </w:p>
          <w:p w14:paraId="63C231CA">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lang w:val="en-US" w:eastAsia="zh-CN"/>
              </w:rPr>
              <w:t xml:space="preserve"> 2#钢带镀镍线废气处理设施</w:t>
            </w:r>
            <w:r>
              <w:rPr>
                <w:rFonts w:hint="default" w:ascii="Times New Roman" w:hAnsi="Times New Roman" w:eastAsia="宋体" w:cs="Times New Roman"/>
                <w:sz w:val="21"/>
                <w:szCs w:val="21"/>
                <w:lang w:val="en-US" w:eastAsia="zh-CN"/>
              </w:rPr>
              <w:t>出口</w:t>
            </w:r>
            <w:r>
              <w:rPr>
                <w:rFonts w:hint="eastAsia" w:ascii="Times New Roman" w:hAnsi="Times New Roman" w:eastAsia="宋体" w:cs="Times New Roman"/>
                <w:sz w:val="21"/>
                <w:szCs w:val="21"/>
                <w:lang w:val="en-US" w:eastAsia="zh-CN"/>
              </w:rPr>
              <w:t>（现有钢帽废气处理设施）</w:t>
            </w:r>
          </w:p>
        </w:tc>
        <w:tc>
          <w:tcPr>
            <w:tcW w:w="755" w:type="pct"/>
            <w:tcBorders>
              <w:tl2br w:val="nil"/>
              <w:tr2bl w:val="nil"/>
            </w:tcBorders>
            <w:noWrap w:val="0"/>
            <w:vAlign w:val="center"/>
          </w:tcPr>
          <w:p w14:paraId="10E48DA1">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w:t>
            </w:r>
          </w:p>
        </w:tc>
        <w:tc>
          <w:tcPr>
            <w:tcW w:w="826" w:type="pct"/>
            <w:tcBorders>
              <w:tl2br w:val="nil"/>
              <w:tr2bl w:val="nil"/>
            </w:tcBorders>
            <w:noWrap w:val="0"/>
            <w:vAlign w:val="center"/>
          </w:tcPr>
          <w:p w14:paraId="3E9471FD">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941 </w:t>
            </w:r>
          </w:p>
        </w:tc>
        <w:tc>
          <w:tcPr>
            <w:tcW w:w="861" w:type="pct"/>
            <w:tcBorders>
              <w:tl2br w:val="nil"/>
              <w:tr2bl w:val="nil"/>
            </w:tcBorders>
            <w:noWrap w:val="0"/>
            <w:vAlign w:val="center"/>
          </w:tcPr>
          <w:p w14:paraId="76460767">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2.43</w:t>
            </w:r>
          </w:p>
        </w:tc>
        <w:tc>
          <w:tcPr>
            <w:tcW w:w="1689" w:type="dxa"/>
            <w:tcBorders>
              <w:tl2br w:val="nil"/>
              <w:tr2bl w:val="nil"/>
            </w:tcBorders>
            <w:noWrap w:val="0"/>
            <w:vAlign w:val="center"/>
          </w:tcPr>
          <w:p w14:paraId="7FC48DEB">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2.29</w:t>
            </w:r>
            <w:r>
              <w:rPr>
                <w:rFonts w:hint="default" w:ascii="Times New Roman" w:hAnsi="Times New Roman" w:eastAsia="宋体" w:cs="Times New Roman"/>
                <w:i w:val="0"/>
                <w:iCs w:val="0"/>
                <w:color w:val="auto"/>
                <w:kern w:val="0"/>
                <w:sz w:val="21"/>
                <w:szCs w:val="21"/>
                <w:u w:val="none"/>
                <w:lang w:val="en-US" w:eastAsia="zh-CN" w:bidi="ar"/>
              </w:rPr>
              <w:t>×10</w:t>
            </w:r>
            <w:r>
              <w:rPr>
                <w:rFonts w:hint="eastAsia" w:ascii="Times New Roman" w:hAnsi="Times New Roman" w:eastAsia="宋体" w:cs="Times New Roman"/>
                <w:i w:val="0"/>
                <w:iCs w:val="0"/>
                <w:color w:val="auto"/>
                <w:kern w:val="0"/>
                <w:sz w:val="21"/>
                <w:szCs w:val="21"/>
                <w:u w:val="none"/>
                <w:vertAlign w:val="superscript"/>
                <w:lang w:val="en-US" w:eastAsia="zh-CN" w:bidi="ar"/>
              </w:rPr>
              <w:t>-3</w:t>
            </w:r>
            <w:r>
              <w:rPr>
                <w:rFonts w:hint="eastAsia" w:ascii="Times New Roman" w:hAnsi="Times New Roman" w:eastAsia="宋体" w:cs="Times New Roman"/>
                <w:sz w:val="21"/>
                <w:szCs w:val="21"/>
                <w:vertAlign w:val="baseline"/>
                <w:lang w:val="en-US" w:eastAsia="zh-CN"/>
              </w:rPr>
              <w:t xml:space="preserve"> </w:t>
            </w:r>
          </w:p>
        </w:tc>
      </w:tr>
      <w:tr w14:paraId="5C1AF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00" w:type="pct"/>
            <w:vMerge w:val="continue"/>
            <w:tcBorders>
              <w:tl2br w:val="nil"/>
              <w:tr2bl w:val="nil"/>
            </w:tcBorders>
            <w:noWrap w:val="0"/>
            <w:vAlign w:val="center"/>
          </w:tcPr>
          <w:p w14:paraId="3B62EFE3">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882" w:type="pct"/>
            <w:vMerge w:val="continue"/>
            <w:tcBorders>
              <w:tl2br w:val="nil"/>
              <w:tr2bl w:val="nil"/>
            </w:tcBorders>
            <w:noWrap w:val="0"/>
            <w:vAlign w:val="center"/>
          </w:tcPr>
          <w:p w14:paraId="611281B9">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755" w:type="pct"/>
            <w:tcBorders>
              <w:tl2br w:val="nil"/>
              <w:tr2bl w:val="nil"/>
            </w:tcBorders>
            <w:noWrap w:val="0"/>
            <w:vAlign w:val="center"/>
          </w:tcPr>
          <w:p w14:paraId="61B1924D">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w:t>
            </w:r>
          </w:p>
        </w:tc>
        <w:tc>
          <w:tcPr>
            <w:tcW w:w="826" w:type="pct"/>
            <w:tcBorders>
              <w:tl2br w:val="nil"/>
              <w:tr2bl w:val="nil"/>
            </w:tcBorders>
            <w:noWrap w:val="0"/>
            <w:vAlign w:val="center"/>
          </w:tcPr>
          <w:p w14:paraId="01CA1986">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963 </w:t>
            </w:r>
          </w:p>
        </w:tc>
        <w:tc>
          <w:tcPr>
            <w:tcW w:w="861" w:type="pct"/>
            <w:tcBorders>
              <w:tl2br w:val="nil"/>
              <w:tr2bl w:val="nil"/>
            </w:tcBorders>
            <w:noWrap w:val="0"/>
            <w:vAlign w:val="center"/>
          </w:tcPr>
          <w:p w14:paraId="00FA9E1C">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2.67</w:t>
            </w:r>
          </w:p>
        </w:tc>
        <w:tc>
          <w:tcPr>
            <w:tcW w:w="1689" w:type="dxa"/>
            <w:tcBorders>
              <w:tl2br w:val="nil"/>
              <w:tr2bl w:val="nil"/>
            </w:tcBorders>
            <w:noWrap w:val="0"/>
            <w:vAlign w:val="center"/>
          </w:tcPr>
          <w:p w14:paraId="02C583C4">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2.57</w:t>
            </w:r>
            <w:r>
              <w:rPr>
                <w:rFonts w:hint="default" w:ascii="Times New Roman" w:hAnsi="Times New Roman" w:eastAsia="宋体" w:cs="Times New Roman"/>
                <w:i w:val="0"/>
                <w:iCs w:val="0"/>
                <w:color w:val="auto"/>
                <w:kern w:val="0"/>
                <w:sz w:val="21"/>
                <w:szCs w:val="21"/>
                <w:u w:val="none"/>
                <w:lang w:val="en-US" w:eastAsia="zh-CN" w:bidi="ar"/>
              </w:rPr>
              <w:t>×10</w:t>
            </w:r>
            <w:r>
              <w:rPr>
                <w:rFonts w:hint="eastAsia" w:ascii="Times New Roman" w:hAnsi="Times New Roman" w:eastAsia="宋体" w:cs="Times New Roman"/>
                <w:i w:val="0"/>
                <w:iCs w:val="0"/>
                <w:color w:val="auto"/>
                <w:kern w:val="0"/>
                <w:sz w:val="21"/>
                <w:szCs w:val="21"/>
                <w:u w:val="none"/>
                <w:vertAlign w:val="superscript"/>
                <w:lang w:val="en-US" w:eastAsia="zh-CN" w:bidi="ar"/>
              </w:rPr>
              <w:t>-3</w:t>
            </w:r>
            <w:r>
              <w:rPr>
                <w:rFonts w:hint="eastAsia" w:ascii="Times New Roman" w:hAnsi="Times New Roman" w:eastAsia="宋体" w:cs="Times New Roman"/>
                <w:sz w:val="21"/>
                <w:szCs w:val="21"/>
                <w:vertAlign w:val="baseline"/>
                <w:lang w:val="en-US" w:eastAsia="zh-CN"/>
              </w:rPr>
              <w:t xml:space="preserve"> </w:t>
            </w:r>
          </w:p>
        </w:tc>
      </w:tr>
      <w:tr w14:paraId="6A86E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00" w:type="pct"/>
            <w:vMerge w:val="continue"/>
            <w:tcBorders>
              <w:tl2br w:val="nil"/>
              <w:tr2bl w:val="nil"/>
            </w:tcBorders>
            <w:noWrap w:val="0"/>
            <w:vAlign w:val="center"/>
          </w:tcPr>
          <w:p w14:paraId="08870EB1">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882" w:type="pct"/>
            <w:vMerge w:val="continue"/>
            <w:tcBorders>
              <w:tl2br w:val="nil"/>
              <w:tr2bl w:val="nil"/>
            </w:tcBorders>
            <w:noWrap w:val="0"/>
            <w:vAlign w:val="center"/>
          </w:tcPr>
          <w:p w14:paraId="10F7CC9A">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755" w:type="pct"/>
            <w:tcBorders>
              <w:tl2br w:val="nil"/>
              <w:tr2bl w:val="nil"/>
            </w:tcBorders>
            <w:noWrap w:val="0"/>
            <w:vAlign w:val="center"/>
          </w:tcPr>
          <w:p w14:paraId="3ABF6F88">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3</w:t>
            </w:r>
          </w:p>
        </w:tc>
        <w:tc>
          <w:tcPr>
            <w:tcW w:w="826" w:type="pct"/>
            <w:tcBorders>
              <w:tl2br w:val="nil"/>
              <w:tr2bl w:val="nil"/>
            </w:tcBorders>
            <w:noWrap w:val="0"/>
            <w:vAlign w:val="center"/>
          </w:tcPr>
          <w:p w14:paraId="551E9B57">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909 </w:t>
            </w:r>
          </w:p>
        </w:tc>
        <w:tc>
          <w:tcPr>
            <w:tcW w:w="861" w:type="pct"/>
            <w:tcBorders>
              <w:tl2br w:val="nil"/>
              <w:tr2bl w:val="nil"/>
            </w:tcBorders>
            <w:noWrap w:val="0"/>
            <w:vAlign w:val="center"/>
          </w:tcPr>
          <w:p w14:paraId="59A280DC">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2.38</w:t>
            </w:r>
          </w:p>
        </w:tc>
        <w:tc>
          <w:tcPr>
            <w:tcW w:w="1689" w:type="dxa"/>
            <w:tcBorders>
              <w:tl2br w:val="nil"/>
              <w:tr2bl w:val="nil"/>
            </w:tcBorders>
            <w:noWrap w:val="0"/>
            <w:vAlign w:val="center"/>
          </w:tcPr>
          <w:p w14:paraId="606CA585">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2.16</w:t>
            </w:r>
            <w:r>
              <w:rPr>
                <w:rFonts w:hint="default" w:ascii="Times New Roman" w:hAnsi="Times New Roman" w:eastAsia="宋体" w:cs="Times New Roman"/>
                <w:i w:val="0"/>
                <w:iCs w:val="0"/>
                <w:color w:val="auto"/>
                <w:kern w:val="0"/>
                <w:sz w:val="21"/>
                <w:szCs w:val="21"/>
                <w:u w:val="none"/>
                <w:lang w:val="en-US" w:eastAsia="zh-CN" w:bidi="ar"/>
              </w:rPr>
              <w:t>×10</w:t>
            </w:r>
            <w:r>
              <w:rPr>
                <w:rFonts w:hint="eastAsia" w:ascii="Times New Roman" w:hAnsi="Times New Roman" w:eastAsia="宋体" w:cs="Times New Roman"/>
                <w:i w:val="0"/>
                <w:iCs w:val="0"/>
                <w:color w:val="auto"/>
                <w:kern w:val="0"/>
                <w:sz w:val="21"/>
                <w:szCs w:val="21"/>
                <w:u w:val="none"/>
                <w:vertAlign w:val="superscript"/>
                <w:lang w:val="en-US" w:eastAsia="zh-CN" w:bidi="ar"/>
              </w:rPr>
              <w:t>-3</w:t>
            </w:r>
            <w:r>
              <w:rPr>
                <w:rFonts w:hint="eastAsia" w:ascii="Times New Roman" w:hAnsi="Times New Roman" w:eastAsia="宋体" w:cs="Times New Roman"/>
                <w:sz w:val="21"/>
                <w:szCs w:val="21"/>
                <w:vertAlign w:val="baseline"/>
                <w:lang w:val="en-US" w:eastAsia="zh-CN"/>
              </w:rPr>
              <w:t xml:space="preserve"> </w:t>
            </w:r>
          </w:p>
        </w:tc>
      </w:tr>
      <w:tr w14:paraId="51354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00" w:type="pct"/>
            <w:vMerge w:val="continue"/>
            <w:tcBorders>
              <w:tl2br w:val="nil"/>
              <w:tr2bl w:val="nil"/>
            </w:tcBorders>
            <w:noWrap w:val="0"/>
            <w:vAlign w:val="center"/>
          </w:tcPr>
          <w:p w14:paraId="29029B3A">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882" w:type="pct"/>
            <w:vMerge w:val="continue"/>
            <w:tcBorders>
              <w:tl2br w:val="nil"/>
              <w:tr2bl w:val="nil"/>
            </w:tcBorders>
            <w:noWrap w:val="0"/>
            <w:vAlign w:val="center"/>
          </w:tcPr>
          <w:p w14:paraId="50BDC8A4">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755" w:type="pct"/>
            <w:tcBorders>
              <w:tl2br w:val="nil"/>
              <w:tr2bl w:val="nil"/>
            </w:tcBorders>
            <w:noWrap w:val="0"/>
            <w:vAlign w:val="center"/>
          </w:tcPr>
          <w:p w14:paraId="200D8F76">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均值</w:t>
            </w:r>
          </w:p>
        </w:tc>
        <w:tc>
          <w:tcPr>
            <w:tcW w:w="826" w:type="pct"/>
            <w:tcBorders>
              <w:tl2br w:val="nil"/>
              <w:tr2bl w:val="nil"/>
            </w:tcBorders>
            <w:noWrap w:val="0"/>
            <w:vAlign w:val="center"/>
          </w:tcPr>
          <w:p w14:paraId="1FCD9824">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fldChar w:fldCharType="begin"/>
            </w:r>
            <w:r>
              <w:rPr>
                <w:rFonts w:hint="default" w:ascii="Times New Roman" w:hAnsi="Times New Roman" w:eastAsia="宋体" w:cs="Times New Roman"/>
                <w:sz w:val="21"/>
                <w:szCs w:val="21"/>
                <w:vertAlign w:val="baseline"/>
                <w:lang w:val="en-US" w:eastAsia="zh-CN"/>
              </w:rPr>
              <w:instrText xml:space="preserve"> = average(D23:D25) \* MERGEFORMAT </w:instrText>
            </w:r>
            <w:r>
              <w:rPr>
                <w:rFonts w:hint="default" w:ascii="Times New Roman" w:hAnsi="Times New Roman" w:eastAsia="宋体" w:cs="Times New Roman"/>
                <w:sz w:val="21"/>
                <w:szCs w:val="21"/>
                <w:vertAlign w:val="baseline"/>
                <w:lang w:val="en-US" w:eastAsia="zh-CN"/>
              </w:rPr>
              <w:fldChar w:fldCharType="separate"/>
            </w:r>
            <w:r>
              <w:rPr>
                <w:rFonts w:hint="default" w:ascii="Times New Roman" w:hAnsi="Times New Roman" w:eastAsia="宋体" w:cs="Times New Roman"/>
                <w:sz w:val="21"/>
                <w:szCs w:val="21"/>
                <w:vertAlign w:val="baseline"/>
                <w:lang w:val="en-US" w:eastAsia="zh-CN"/>
              </w:rPr>
              <w:t>93</w:t>
            </w:r>
            <w:r>
              <w:rPr>
                <w:rFonts w:hint="eastAsia" w:ascii="Times New Roman" w:hAnsi="Times New Roman" w:eastAsia="宋体" w:cs="Times New Roman"/>
                <w:sz w:val="21"/>
                <w:szCs w:val="21"/>
                <w:vertAlign w:val="baseline"/>
                <w:lang w:val="en-US" w:eastAsia="zh-CN"/>
              </w:rPr>
              <w:t>8</w:t>
            </w:r>
            <w:r>
              <w:rPr>
                <w:rFonts w:hint="default" w:ascii="Times New Roman" w:hAnsi="Times New Roman" w:eastAsia="宋体" w:cs="Times New Roman"/>
                <w:sz w:val="21"/>
                <w:szCs w:val="21"/>
                <w:vertAlign w:val="baseline"/>
                <w:lang w:val="en-US" w:eastAsia="zh-CN"/>
              </w:rPr>
              <w:fldChar w:fldCharType="end"/>
            </w:r>
          </w:p>
        </w:tc>
        <w:tc>
          <w:tcPr>
            <w:tcW w:w="861" w:type="pct"/>
            <w:tcBorders>
              <w:tl2br w:val="nil"/>
              <w:tr2bl w:val="nil"/>
            </w:tcBorders>
            <w:noWrap w:val="0"/>
            <w:vAlign w:val="center"/>
          </w:tcPr>
          <w:p w14:paraId="1EEBCDC3">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fldChar w:fldCharType="begin"/>
            </w:r>
            <w:r>
              <w:rPr>
                <w:rFonts w:hint="default" w:ascii="Times New Roman" w:hAnsi="Times New Roman" w:eastAsia="宋体" w:cs="Times New Roman"/>
                <w:sz w:val="21"/>
                <w:szCs w:val="21"/>
                <w:vertAlign w:val="baseline"/>
                <w:lang w:val="en-US" w:eastAsia="zh-CN"/>
              </w:rPr>
              <w:instrText xml:space="preserve"> = average(E23:E25) \* MERGEFORMAT </w:instrText>
            </w:r>
            <w:r>
              <w:rPr>
                <w:rFonts w:hint="default" w:ascii="Times New Roman" w:hAnsi="Times New Roman" w:eastAsia="宋体" w:cs="Times New Roman"/>
                <w:sz w:val="21"/>
                <w:szCs w:val="21"/>
                <w:vertAlign w:val="baseline"/>
                <w:lang w:val="en-US" w:eastAsia="zh-CN"/>
              </w:rPr>
              <w:fldChar w:fldCharType="separate"/>
            </w:r>
            <w:r>
              <w:rPr>
                <w:rFonts w:hint="default" w:ascii="Times New Roman" w:hAnsi="Times New Roman" w:eastAsia="宋体" w:cs="Times New Roman"/>
                <w:sz w:val="21"/>
                <w:szCs w:val="21"/>
                <w:vertAlign w:val="baseline"/>
                <w:lang w:val="en-US" w:eastAsia="zh-CN"/>
              </w:rPr>
              <w:t>2.49</w:t>
            </w:r>
            <w:r>
              <w:rPr>
                <w:rFonts w:hint="default" w:ascii="Times New Roman" w:hAnsi="Times New Roman" w:eastAsia="宋体" w:cs="Times New Roman"/>
                <w:sz w:val="21"/>
                <w:szCs w:val="21"/>
                <w:vertAlign w:val="baseline"/>
                <w:lang w:val="en-US" w:eastAsia="zh-CN"/>
              </w:rPr>
              <w:fldChar w:fldCharType="end"/>
            </w:r>
          </w:p>
        </w:tc>
        <w:tc>
          <w:tcPr>
            <w:tcW w:w="1689" w:type="dxa"/>
            <w:tcBorders>
              <w:tl2br w:val="nil"/>
              <w:tr2bl w:val="nil"/>
            </w:tcBorders>
            <w:noWrap w:val="0"/>
            <w:vAlign w:val="center"/>
          </w:tcPr>
          <w:p w14:paraId="7276C227">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2.34</w:t>
            </w:r>
            <w:r>
              <w:rPr>
                <w:rFonts w:hint="default" w:ascii="Times New Roman" w:hAnsi="Times New Roman" w:eastAsia="宋体" w:cs="Times New Roman"/>
                <w:i w:val="0"/>
                <w:iCs w:val="0"/>
                <w:color w:val="auto"/>
                <w:kern w:val="0"/>
                <w:sz w:val="21"/>
                <w:szCs w:val="21"/>
                <w:u w:val="none"/>
                <w:lang w:val="en-US" w:eastAsia="zh-CN" w:bidi="ar"/>
              </w:rPr>
              <w:t>×10</w:t>
            </w:r>
            <w:r>
              <w:rPr>
                <w:rFonts w:hint="eastAsia" w:ascii="Times New Roman" w:hAnsi="Times New Roman" w:eastAsia="宋体" w:cs="Times New Roman"/>
                <w:i w:val="0"/>
                <w:iCs w:val="0"/>
                <w:color w:val="auto"/>
                <w:kern w:val="0"/>
                <w:sz w:val="21"/>
                <w:szCs w:val="21"/>
                <w:u w:val="none"/>
                <w:vertAlign w:val="superscript"/>
                <w:lang w:val="en-US" w:eastAsia="zh-CN" w:bidi="ar"/>
              </w:rPr>
              <w:t>-3</w:t>
            </w:r>
            <w:r>
              <w:rPr>
                <w:rFonts w:hint="eastAsia" w:ascii="Times New Roman" w:hAnsi="Times New Roman" w:eastAsia="宋体" w:cs="Times New Roman"/>
                <w:sz w:val="21"/>
                <w:szCs w:val="21"/>
                <w:vertAlign w:val="baseline"/>
                <w:lang w:val="en-US" w:eastAsia="zh-CN"/>
              </w:rPr>
              <w:t xml:space="preserve"> </w:t>
            </w:r>
          </w:p>
        </w:tc>
      </w:tr>
      <w:tr w14:paraId="0A278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00" w:type="pct"/>
            <w:vMerge w:val="restart"/>
            <w:tcBorders>
              <w:tl2br w:val="nil"/>
              <w:tr2bl w:val="nil"/>
            </w:tcBorders>
            <w:noWrap w:val="0"/>
            <w:vAlign w:val="center"/>
          </w:tcPr>
          <w:p w14:paraId="59DC812E">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2026.05.30</w:t>
            </w:r>
          </w:p>
        </w:tc>
        <w:tc>
          <w:tcPr>
            <w:tcW w:w="882" w:type="pct"/>
            <w:vMerge w:val="restart"/>
            <w:tcBorders>
              <w:tl2br w:val="nil"/>
              <w:tr2bl w:val="nil"/>
            </w:tcBorders>
            <w:noWrap w:val="0"/>
            <w:vAlign w:val="center"/>
          </w:tcPr>
          <w:p w14:paraId="266B1CD5">
            <w:pPr>
              <w:adjustRightInd/>
              <w:snapToGrid/>
              <w:spacing w:line="240" w:lineRule="auto"/>
              <w:ind w:firstLine="0" w:firstLineChars="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DA004</w:t>
            </w:r>
          </w:p>
          <w:p w14:paraId="2E793B2A">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lang w:val="en-US" w:eastAsia="zh-CN"/>
              </w:rPr>
              <w:t xml:space="preserve"> 2#钢带镀镍线废气处理设施</w:t>
            </w:r>
            <w:r>
              <w:rPr>
                <w:rFonts w:hint="default" w:ascii="Times New Roman" w:hAnsi="Times New Roman" w:eastAsia="宋体" w:cs="Times New Roman"/>
                <w:sz w:val="21"/>
                <w:szCs w:val="21"/>
                <w:lang w:val="en-US" w:eastAsia="zh-CN"/>
              </w:rPr>
              <w:t>进口</w:t>
            </w:r>
            <w:r>
              <w:rPr>
                <w:rFonts w:hint="eastAsia" w:ascii="Times New Roman" w:hAnsi="Times New Roman" w:eastAsia="宋体" w:cs="Times New Roman"/>
                <w:sz w:val="21"/>
                <w:szCs w:val="21"/>
                <w:lang w:val="en-US" w:eastAsia="zh-CN"/>
              </w:rPr>
              <w:t>（现有钢帽废气处理设施）</w:t>
            </w:r>
          </w:p>
        </w:tc>
        <w:tc>
          <w:tcPr>
            <w:tcW w:w="755" w:type="pct"/>
            <w:tcBorders>
              <w:tl2br w:val="nil"/>
              <w:tr2bl w:val="nil"/>
            </w:tcBorders>
            <w:noWrap w:val="0"/>
            <w:vAlign w:val="center"/>
          </w:tcPr>
          <w:p w14:paraId="15B433E2">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w:t>
            </w:r>
          </w:p>
        </w:tc>
        <w:tc>
          <w:tcPr>
            <w:tcW w:w="826" w:type="pct"/>
            <w:tcBorders>
              <w:tl2br w:val="nil"/>
              <w:tr2bl w:val="nil"/>
            </w:tcBorders>
            <w:noWrap w:val="0"/>
            <w:vAlign w:val="center"/>
          </w:tcPr>
          <w:p w14:paraId="00AF53E1">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901 </w:t>
            </w:r>
          </w:p>
        </w:tc>
        <w:tc>
          <w:tcPr>
            <w:tcW w:w="861" w:type="pct"/>
            <w:tcBorders>
              <w:tl2br w:val="nil"/>
              <w:tr2bl w:val="nil"/>
            </w:tcBorders>
            <w:noWrap w:val="0"/>
            <w:vAlign w:val="center"/>
          </w:tcPr>
          <w:p w14:paraId="61BD5AC7">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26.2</w:t>
            </w:r>
          </w:p>
        </w:tc>
        <w:tc>
          <w:tcPr>
            <w:tcW w:w="1689" w:type="dxa"/>
            <w:tcBorders>
              <w:tl2br w:val="nil"/>
              <w:tr2bl w:val="nil"/>
            </w:tcBorders>
            <w:noWrap w:val="0"/>
            <w:vAlign w:val="center"/>
          </w:tcPr>
          <w:p w14:paraId="21A31A09">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0.0236 </w:t>
            </w:r>
          </w:p>
        </w:tc>
      </w:tr>
      <w:tr w14:paraId="1D979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00" w:type="pct"/>
            <w:vMerge w:val="continue"/>
            <w:tcBorders>
              <w:tl2br w:val="nil"/>
              <w:tr2bl w:val="nil"/>
            </w:tcBorders>
            <w:noWrap w:val="0"/>
            <w:vAlign w:val="center"/>
          </w:tcPr>
          <w:p w14:paraId="48BC06F4">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882" w:type="pct"/>
            <w:vMerge w:val="continue"/>
            <w:tcBorders>
              <w:tl2br w:val="nil"/>
              <w:tr2bl w:val="nil"/>
            </w:tcBorders>
            <w:noWrap w:val="0"/>
            <w:vAlign w:val="center"/>
          </w:tcPr>
          <w:p w14:paraId="49E086A0">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755" w:type="pct"/>
            <w:tcBorders>
              <w:tl2br w:val="nil"/>
              <w:tr2bl w:val="nil"/>
            </w:tcBorders>
            <w:noWrap w:val="0"/>
            <w:vAlign w:val="center"/>
          </w:tcPr>
          <w:p w14:paraId="19CA1BB0">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w:t>
            </w:r>
          </w:p>
        </w:tc>
        <w:tc>
          <w:tcPr>
            <w:tcW w:w="826" w:type="pct"/>
            <w:tcBorders>
              <w:tl2br w:val="nil"/>
              <w:tr2bl w:val="nil"/>
            </w:tcBorders>
            <w:noWrap w:val="0"/>
            <w:vAlign w:val="center"/>
          </w:tcPr>
          <w:p w14:paraId="393A619D">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886 </w:t>
            </w:r>
          </w:p>
        </w:tc>
        <w:tc>
          <w:tcPr>
            <w:tcW w:w="861" w:type="pct"/>
            <w:tcBorders>
              <w:tl2br w:val="nil"/>
              <w:tr2bl w:val="nil"/>
            </w:tcBorders>
            <w:noWrap w:val="0"/>
            <w:vAlign w:val="center"/>
          </w:tcPr>
          <w:p w14:paraId="137128BE">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24.8</w:t>
            </w:r>
          </w:p>
        </w:tc>
        <w:tc>
          <w:tcPr>
            <w:tcW w:w="1689" w:type="dxa"/>
            <w:tcBorders>
              <w:tl2br w:val="nil"/>
              <w:tr2bl w:val="nil"/>
            </w:tcBorders>
            <w:noWrap w:val="0"/>
            <w:vAlign w:val="center"/>
          </w:tcPr>
          <w:p w14:paraId="7BC71647">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0.0220 </w:t>
            </w:r>
          </w:p>
        </w:tc>
      </w:tr>
      <w:tr w14:paraId="1FAAA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00" w:type="pct"/>
            <w:vMerge w:val="continue"/>
            <w:tcBorders>
              <w:tl2br w:val="nil"/>
              <w:tr2bl w:val="nil"/>
            </w:tcBorders>
            <w:noWrap w:val="0"/>
            <w:vAlign w:val="center"/>
          </w:tcPr>
          <w:p w14:paraId="618480B1">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882" w:type="pct"/>
            <w:vMerge w:val="continue"/>
            <w:tcBorders>
              <w:tl2br w:val="nil"/>
              <w:tr2bl w:val="nil"/>
            </w:tcBorders>
            <w:noWrap w:val="0"/>
            <w:vAlign w:val="center"/>
          </w:tcPr>
          <w:p w14:paraId="38493198">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755" w:type="pct"/>
            <w:tcBorders>
              <w:tl2br w:val="nil"/>
              <w:tr2bl w:val="nil"/>
            </w:tcBorders>
            <w:noWrap w:val="0"/>
            <w:vAlign w:val="center"/>
          </w:tcPr>
          <w:p w14:paraId="0D6971D5">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3</w:t>
            </w:r>
          </w:p>
        </w:tc>
        <w:tc>
          <w:tcPr>
            <w:tcW w:w="826" w:type="pct"/>
            <w:tcBorders>
              <w:tl2br w:val="nil"/>
              <w:tr2bl w:val="nil"/>
            </w:tcBorders>
            <w:noWrap w:val="0"/>
            <w:vAlign w:val="center"/>
          </w:tcPr>
          <w:p w14:paraId="043179BD">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942 </w:t>
            </w:r>
          </w:p>
        </w:tc>
        <w:tc>
          <w:tcPr>
            <w:tcW w:w="861" w:type="pct"/>
            <w:tcBorders>
              <w:tl2br w:val="nil"/>
              <w:tr2bl w:val="nil"/>
            </w:tcBorders>
            <w:noWrap w:val="0"/>
            <w:vAlign w:val="center"/>
          </w:tcPr>
          <w:p w14:paraId="6AFAD2F0">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25.7</w:t>
            </w:r>
          </w:p>
        </w:tc>
        <w:tc>
          <w:tcPr>
            <w:tcW w:w="1689" w:type="dxa"/>
            <w:tcBorders>
              <w:tl2br w:val="nil"/>
              <w:tr2bl w:val="nil"/>
            </w:tcBorders>
            <w:noWrap w:val="0"/>
            <w:vAlign w:val="center"/>
          </w:tcPr>
          <w:p w14:paraId="1CC352F8">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0.0242 </w:t>
            </w:r>
          </w:p>
        </w:tc>
      </w:tr>
      <w:tr w14:paraId="56BA5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00" w:type="pct"/>
            <w:vMerge w:val="continue"/>
            <w:tcBorders>
              <w:tl2br w:val="nil"/>
              <w:tr2bl w:val="nil"/>
            </w:tcBorders>
            <w:noWrap w:val="0"/>
            <w:vAlign w:val="center"/>
          </w:tcPr>
          <w:p w14:paraId="7C5B6014">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882" w:type="pct"/>
            <w:vMerge w:val="continue"/>
            <w:tcBorders>
              <w:tl2br w:val="nil"/>
              <w:tr2bl w:val="nil"/>
            </w:tcBorders>
            <w:noWrap w:val="0"/>
            <w:vAlign w:val="center"/>
          </w:tcPr>
          <w:p w14:paraId="57DBA980">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755" w:type="pct"/>
            <w:tcBorders>
              <w:tl2br w:val="nil"/>
              <w:tr2bl w:val="nil"/>
            </w:tcBorders>
            <w:noWrap w:val="0"/>
            <w:vAlign w:val="center"/>
          </w:tcPr>
          <w:p w14:paraId="2D33DA76">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均值</w:t>
            </w:r>
          </w:p>
        </w:tc>
        <w:tc>
          <w:tcPr>
            <w:tcW w:w="826" w:type="pct"/>
            <w:tcBorders>
              <w:tl2br w:val="nil"/>
              <w:tr2bl w:val="nil"/>
            </w:tcBorders>
            <w:noWrap w:val="0"/>
            <w:vAlign w:val="center"/>
          </w:tcPr>
          <w:p w14:paraId="2370A336">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fldChar w:fldCharType="begin"/>
            </w:r>
            <w:r>
              <w:rPr>
                <w:rFonts w:hint="default" w:ascii="Times New Roman" w:hAnsi="Times New Roman" w:eastAsia="宋体" w:cs="Times New Roman"/>
                <w:sz w:val="21"/>
                <w:szCs w:val="21"/>
                <w:vertAlign w:val="baseline"/>
                <w:lang w:val="en-US" w:eastAsia="zh-CN"/>
              </w:rPr>
              <w:instrText xml:space="preserve"> = average(D27:D29) \* MERGEFORMAT </w:instrText>
            </w:r>
            <w:r>
              <w:rPr>
                <w:rFonts w:hint="default" w:ascii="Times New Roman" w:hAnsi="Times New Roman" w:eastAsia="宋体" w:cs="Times New Roman"/>
                <w:sz w:val="21"/>
                <w:szCs w:val="21"/>
                <w:vertAlign w:val="baseline"/>
                <w:lang w:val="en-US" w:eastAsia="zh-CN"/>
              </w:rPr>
              <w:fldChar w:fldCharType="separate"/>
            </w:r>
            <w:r>
              <w:rPr>
                <w:rFonts w:hint="default" w:ascii="Times New Roman" w:hAnsi="Times New Roman" w:eastAsia="宋体" w:cs="Times New Roman"/>
                <w:sz w:val="21"/>
                <w:szCs w:val="21"/>
                <w:vertAlign w:val="baseline"/>
                <w:lang w:val="en-US" w:eastAsia="zh-CN"/>
              </w:rPr>
              <w:t>9</w:t>
            </w:r>
            <w:r>
              <w:rPr>
                <w:rFonts w:hint="eastAsia" w:ascii="Times New Roman" w:hAnsi="Times New Roman" w:eastAsia="宋体" w:cs="Times New Roman"/>
                <w:sz w:val="21"/>
                <w:szCs w:val="21"/>
                <w:vertAlign w:val="baseline"/>
                <w:lang w:val="en-US" w:eastAsia="zh-CN"/>
              </w:rPr>
              <w:t>1</w:t>
            </w:r>
            <w:r>
              <w:rPr>
                <w:rFonts w:hint="default" w:ascii="Times New Roman" w:hAnsi="Times New Roman" w:eastAsia="宋体" w:cs="Times New Roman"/>
                <w:sz w:val="21"/>
                <w:szCs w:val="21"/>
                <w:vertAlign w:val="baseline"/>
                <w:lang w:val="en-US" w:eastAsia="zh-CN"/>
              </w:rPr>
              <w:fldChar w:fldCharType="end"/>
            </w:r>
            <w:r>
              <w:rPr>
                <w:rFonts w:hint="eastAsia" w:ascii="Times New Roman" w:hAnsi="Times New Roman" w:eastAsia="宋体" w:cs="Times New Roman"/>
                <w:sz w:val="21"/>
                <w:szCs w:val="21"/>
                <w:vertAlign w:val="baseline"/>
                <w:lang w:val="en-US" w:eastAsia="zh-CN"/>
              </w:rPr>
              <w:t>0</w:t>
            </w:r>
          </w:p>
        </w:tc>
        <w:tc>
          <w:tcPr>
            <w:tcW w:w="861" w:type="pct"/>
            <w:tcBorders>
              <w:tl2br w:val="nil"/>
              <w:tr2bl w:val="nil"/>
            </w:tcBorders>
            <w:noWrap w:val="0"/>
            <w:vAlign w:val="center"/>
          </w:tcPr>
          <w:p w14:paraId="12DBE62B">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fldChar w:fldCharType="begin"/>
            </w:r>
            <w:r>
              <w:rPr>
                <w:rFonts w:hint="default" w:ascii="Times New Roman" w:hAnsi="Times New Roman" w:eastAsia="宋体" w:cs="Times New Roman"/>
                <w:sz w:val="21"/>
                <w:szCs w:val="21"/>
                <w:vertAlign w:val="baseline"/>
                <w:lang w:val="en-US" w:eastAsia="zh-CN"/>
              </w:rPr>
              <w:instrText xml:space="preserve"> = average(E27:E29) \* MERGEFORMAT </w:instrText>
            </w:r>
            <w:r>
              <w:rPr>
                <w:rFonts w:hint="default" w:ascii="Times New Roman" w:hAnsi="Times New Roman" w:eastAsia="宋体" w:cs="Times New Roman"/>
                <w:sz w:val="21"/>
                <w:szCs w:val="21"/>
                <w:vertAlign w:val="baseline"/>
                <w:lang w:val="en-US" w:eastAsia="zh-CN"/>
              </w:rPr>
              <w:fldChar w:fldCharType="separate"/>
            </w:r>
            <w:r>
              <w:rPr>
                <w:rFonts w:hint="default" w:ascii="Times New Roman" w:hAnsi="Times New Roman" w:eastAsia="宋体" w:cs="Times New Roman"/>
                <w:sz w:val="21"/>
                <w:szCs w:val="21"/>
                <w:vertAlign w:val="baseline"/>
                <w:lang w:val="en-US" w:eastAsia="zh-CN"/>
              </w:rPr>
              <w:t>25.</w:t>
            </w:r>
            <w:r>
              <w:rPr>
                <w:rFonts w:hint="eastAsia" w:ascii="Times New Roman" w:hAnsi="Times New Roman" w:eastAsia="宋体" w:cs="Times New Roman"/>
                <w:sz w:val="21"/>
                <w:szCs w:val="21"/>
                <w:vertAlign w:val="baseline"/>
                <w:lang w:val="en-US" w:eastAsia="zh-CN"/>
              </w:rPr>
              <w:t>6</w:t>
            </w:r>
            <w:r>
              <w:rPr>
                <w:rFonts w:hint="default" w:ascii="Times New Roman" w:hAnsi="Times New Roman" w:eastAsia="宋体" w:cs="Times New Roman"/>
                <w:sz w:val="21"/>
                <w:szCs w:val="21"/>
                <w:vertAlign w:val="baseline"/>
                <w:lang w:val="en-US" w:eastAsia="zh-CN"/>
              </w:rPr>
              <w:fldChar w:fldCharType="end"/>
            </w:r>
          </w:p>
        </w:tc>
        <w:tc>
          <w:tcPr>
            <w:tcW w:w="1689" w:type="dxa"/>
            <w:tcBorders>
              <w:tl2br w:val="nil"/>
              <w:tr2bl w:val="nil"/>
            </w:tcBorders>
            <w:noWrap w:val="0"/>
            <w:vAlign w:val="center"/>
          </w:tcPr>
          <w:p w14:paraId="14A397B9">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0.0233</w:t>
            </w:r>
          </w:p>
        </w:tc>
      </w:tr>
      <w:tr w14:paraId="37719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00" w:type="pct"/>
            <w:vMerge w:val="continue"/>
            <w:tcBorders>
              <w:tl2br w:val="nil"/>
              <w:tr2bl w:val="nil"/>
            </w:tcBorders>
            <w:noWrap w:val="0"/>
            <w:vAlign w:val="center"/>
          </w:tcPr>
          <w:p w14:paraId="05FD1C4D">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882" w:type="pct"/>
            <w:vMerge w:val="restart"/>
            <w:tcBorders>
              <w:tl2br w:val="nil"/>
              <w:tr2bl w:val="nil"/>
            </w:tcBorders>
            <w:noWrap w:val="0"/>
            <w:vAlign w:val="center"/>
          </w:tcPr>
          <w:p w14:paraId="184C7E54">
            <w:pPr>
              <w:adjustRightInd/>
              <w:snapToGrid/>
              <w:spacing w:line="240" w:lineRule="auto"/>
              <w:ind w:firstLine="0" w:firstLineChars="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DA004</w:t>
            </w:r>
          </w:p>
          <w:p w14:paraId="5D0A9BE4">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lang w:val="en-US" w:eastAsia="zh-CN"/>
              </w:rPr>
              <w:t xml:space="preserve"> 2#钢带镀镍线废气处理设施</w:t>
            </w:r>
            <w:r>
              <w:rPr>
                <w:rFonts w:hint="default" w:ascii="Times New Roman" w:hAnsi="Times New Roman" w:eastAsia="宋体" w:cs="Times New Roman"/>
                <w:sz w:val="21"/>
                <w:szCs w:val="21"/>
                <w:lang w:val="en-US" w:eastAsia="zh-CN"/>
              </w:rPr>
              <w:t>出口</w:t>
            </w:r>
            <w:r>
              <w:rPr>
                <w:rFonts w:hint="eastAsia" w:ascii="Times New Roman" w:hAnsi="Times New Roman" w:eastAsia="宋体" w:cs="Times New Roman"/>
                <w:sz w:val="21"/>
                <w:szCs w:val="21"/>
                <w:lang w:val="en-US" w:eastAsia="zh-CN"/>
              </w:rPr>
              <w:t>（现有钢帽废气处理设施）</w:t>
            </w:r>
          </w:p>
        </w:tc>
        <w:tc>
          <w:tcPr>
            <w:tcW w:w="755" w:type="pct"/>
            <w:tcBorders>
              <w:tl2br w:val="nil"/>
              <w:tr2bl w:val="nil"/>
            </w:tcBorders>
            <w:noWrap w:val="0"/>
            <w:vAlign w:val="center"/>
          </w:tcPr>
          <w:p w14:paraId="391200E8">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w:t>
            </w:r>
          </w:p>
        </w:tc>
        <w:tc>
          <w:tcPr>
            <w:tcW w:w="826" w:type="pct"/>
            <w:tcBorders>
              <w:tl2br w:val="nil"/>
              <w:tr2bl w:val="nil"/>
            </w:tcBorders>
            <w:noWrap w:val="0"/>
            <w:vAlign w:val="center"/>
          </w:tcPr>
          <w:p w14:paraId="3AE3EB88">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989 </w:t>
            </w:r>
          </w:p>
        </w:tc>
        <w:tc>
          <w:tcPr>
            <w:tcW w:w="861" w:type="pct"/>
            <w:tcBorders>
              <w:tl2br w:val="nil"/>
              <w:tr2bl w:val="nil"/>
            </w:tcBorders>
            <w:noWrap w:val="0"/>
            <w:vAlign w:val="center"/>
          </w:tcPr>
          <w:p w14:paraId="4884B9FF">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2.36</w:t>
            </w:r>
          </w:p>
        </w:tc>
        <w:tc>
          <w:tcPr>
            <w:tcW w:w="1689" w:type="dxa"/>
            <w:tcBorders>
              <w:tl2br w:val="nil"/>
              <w:tr2bl w:val="nil"/>
            </w:tcBorders>
            <w:noWrap w:val="0"/>
            <w:vAlign w:val="center"/>
          </w:tcPr>
          <w:p w14:paraId="79B55637">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2.33</w:t>
            </w:r>
            <w:r>
              <w:rPr>
                <w:rFonts w:hint="default" w:ascii="Times New Roman" w:hAnsi="Times New Roman" w:eastAsia="宋体" w:cs="Times New Roman"/>
                <w:i w:val="0"/>
                <w:iCs w:val="0"/>
                <w:color w:val="auto"/>
                <w:kern w:val="0"/>
                <w:sz w:val="21"/>
                <w:szCs w:val="21"/>
                <w:u w:val="none"/>
                <w:lang w:val="en-US" w:eastAsia="zh-CN" w:bidi="ar"/>
              </w:rPr>
              <w:t>×10</w:t>
            </w:r>
            <w:r>
              <w:rPr>
                <w:rFonts w:hint="eastAsia" w:ascii="Times New Roman" w:hAnsi="Times New Roman" w:eastAsia="宋体" w:cs="Times New Roman"/>
                <w:i w:val="0"/>
                <w:iCs w:val="0"/>
                <w:color w:val="auto"/>
                <w:kern w:val="0"/>
                <w:sz w:val="21"/>
                <w:szCs w:val="21"/>
                <w:u w:val="none"/>
                <w:vertAlign w:val="superscript"/>
                <w:lang w:val="en-US" w:eastAsia="zh-CN" w:bidi="ar"/>
              </w:rPr>
              <w:t>-3</w:t>
            </w:r>
            <w:r>
              <w:rPr>
                <w:rFonts w:hint="eastAsia" w:ascii="Times New Roman" w:hAnsi="Times New Roman" w:eastAsia="宋体" w:cs="Times New Roman"/>
                <w:sz w:val="21"/>
                <w:szCs w:val="21"/>
                <w:vertAlign w:val="baseline"/>
                <w:lang w:val="en-US" w:eastAsia="zh-CN"/>
              </w:rPr>
              <w:t xml:space="preserve"> </w:t>
            </w:r>
          </w:p>
        </w:tc>
      </w:tr>
      <w:tr w14:paraId="70B0B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00" w:type="pct"/>
            <w:vMerge w:val="continue"/>
            <w:tcBorders>
              <w:tl2br w:val="nil"/>
              <w:tr2bl w:val="nil"/>
            </w:tcBorders>
            <w:noWrap w:val="0"/>
            <w:vAlign w:val="center"/>
          </w:tcPr>
          <w:p w14:paraId="638A1B3B">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882" w:type="pct"/>
            <w:vMerge w:val="continue"/>
            <w:tcBorders>
              <w:tl2br w:val="nil"/>
              <w:tr2bl w:val="nil"/>
            </w:tcBorders>
            <w:noWrap w:val="0"/>
            <w:vAlign w:val="center"/>
          </w:tcPr>
          <w:p w14:paraId="16840567">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755" w:type="pct"/>
            <w:tcBorders>
              <w:tl2br w:val="nil"/>
              <w:tr2bl w:val="nil"/>
            </w:tcBorders>
            <w:noWrap w:val="0"/>
            <w:vAlign w:val="center"/>
          </w:tcPr>
          <w:p w14:paraId="6E70E075">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w:t>
            </w:r>
          </w:p>
        </w:tc>
        <w:tc>
          <w:tcPr>
            <w:tcW w:w="826" w:type="pct"/>
            <w:tcBorders>
              <w:tl2br w:val="nil"/>
              <w:tr2bl w:val="nil"/>
            </w:tcBorders>
            <w:noWrap w:val="0"/>
            <w:vAlign w:val="center"/>
          </w:tcPr>
          <w:p w14:paraId="7E518E19">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946 </w:t>
            </w:r>
          </w:p>
        </w:tc>
        <w:tc>
          <w:tcPr>
            <w:tcW w:w="861" w:type="pct"/>
            <w:tcBorders>
              <w:tl2br w:val="nil"/>
              <w:tr2bl w:val="nil"/>
            </w:tcBorders>
            <w:noWrap w:val="0"/>
            <w:vAlign w:val="center"/>
          </w:tcPr>
          <w:p w14:paraId="081E5331">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2.15</w:t>
            </w:r>
          </w:p>
        </w:tc>
        <w:tc>
          <w:tcPr>
            <w:tcW w:w="1689" w:type="dxa"/>
            <w:tcBorders>
              <w:tl2br w:val="nil"/>
              <w:tr2bl w:val="nil"/>
            </w:tcBorders>
            <w:noWrap w:val="0"/>
            <w:vAlign w:val="center"/>
          </w:tcPr>
          <w:p w14:paraId="26E50CDF">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2.03</w:t>
            </w:r>
            <w:r>
              <w:rPr>
                <w:rFonts w:hint="default" w:ascii="Times New Roman" w:hAnsi="Times New Roman" w:eastAsia="宋体" w:cs="Times New Roman"/>
                <w:i w:val="0"/>
                <w:iCs w:val="0"/>
                <w:color w:val="auto"/>
                <w:kern w:val="0"/>
                <w:sz w:val="21"/>
                <w:szCs w:val="21"/>
                <w:u w:val="none"/>
                <w:lang w:val="en-US" w:eastAsia="zh-CN" w:bidi="ar"/>
              </w:rPr>
              <w:t>×10</w:t>
            </w:r>
            <w:r>
              <w:rPr>
                <w:rFonts w:hint="eastAsia" w:ascii="Times New Roman" w:hAnsi="Times New Roman" w:eastAsia="宋体" w:cs="Times New Roman"/>
                <w:i w:val="0"/>
                <w:iCs w:val="0"/>
                <w:color w:val="auto"/>
                <w:kern w:val="0"/>
                <w:sz w:val="21"/>
                <w:szCs w:val="21"/>
                <w:u w:val="none"/>
                <w:vertAlign w:val="superscript"/>
                <w:lang w:val="en-US" w:eastAsia="zh-CN" w:bidi="ar"/>
              </w:rPr>
              <w:t>-3</w:t>
            </w:r>
            <w:r>
              <w:rPr>
                <w:rFonts w:hint="eastAsia" w:ascii="Times New Roman" w:hAnsi="Times New Roman" w:eastAsia="宋体" w:cs="Times New Roman"/>
                <w:sz w:val="21"/>
                <w:szCs w:val="21"/>
                <w:vertAlign w:val="baseline"/>
                <w:lang w:val="en-US" w:eastAsia="zh-CN"/>
              </w:rPr>
              <w:t xml:space="preserve"> </w:t>
            </w:r>
          </w:p>
        </w:tc>
      </w:tr>
      <w:tr w14:paraId="38A26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00" w:type="pct"/>
            <w:vMerge w:val="continue"/>
            <w:tcBorders>
              <w:tl2br w:val="nil"/>
              <w:tr2bl w:val="nil"/>
            </w:tcBorders>
            <w:noWrap w:val="0"/>
            <w:vAlign w:val="center"/>
          </w:tcPr>
          <w:p w14:paraId="29DD8515">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882" w:type="pct"/>
            <w:vMerge w:val="continue"/>
            <w:tcBorders>
              <w:tl2br w:val="nil"/>
              <w:tr2bl w:val="nil"/>
            </w:tcBorders>
            <w:noWrap w:val="0"/>
            <w:vAlign w:val="center"/>
          </w:tcPr>
          <w:p w14:paraId="6A397CD0">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755" w:type="pct"/>
            <w:tcBorders>
              <w:tl2br w:val="nil"/>
              <w:tr2bl w:val="nil"/>
            </w:tcBorders>
            <w:noWrap w:val="0"/>
            <w:vAlign w:val="center"/>
          </w:tcPr>
          <w:p w14:paraId="5CBE3DC1">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3</w:t>
            </w:r>
          </w:p>
        </w:tc>
        <w:tc>
          <w:tcPr>
            <w:tcW w:w="826" w:type="pct"/>
            <w:tcBorders>
              <w:tl2br w:val="nil"/>
              <w:tr2bl w:val="nil"/>
            </w:tcBorders>
            <w:noWrap w:val="0"/>
            <w:vAlign w:val="center"/>
          </w:tcPr>
          <w:p w14:paraId="0043F9BA">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991 </w:t>
            </w:r>
          </w:p>
        </w:tc>
        <w:tc>
          <w:tcPr>
            <w:tcW w:w="861" w:type="pct"/>
            <w:tcBorders>
              <w:tl2br w:val="nil"/>
              <w:tr2bl w:val="nil"/>
            </w:tcBorders>
            <w:noWrap w:val="0"/>
            <w:vAlign w:val="center"/>
          </w:tcPr>
          <w:p w14:paraId="7C9113E8">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2.29</w:t>
            </w:r>
          </w:p>
        </w:tc>
        <w:tc>
          <w:tcPr>
            <w:tcW w:w="1689" w:type="dxa"/>
            <w:tcBorders>
              <w:tl2br w:val="nil"/>
              <w:tr2bl w:val="nil"/>
            </w:tcBorders>
            <w:noWrap w:val="0"/>
            <w:vAlign w:val="center"/>
          </w:tcPr>
          <w:p w14:paraId="49B3DF95">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2.27</w:t>
            </w:r>
            <w:r>
              <w:rPr>
                <w:rFonts w:hint="default" w:ascii="Times New Roman" w:hAnsi="Times New Roman" w:eastAsia="宋体" w:cs="Times New Roman"/>
                <w:i w:val="0"/>
                <w:iCs w:val="0"/>
                <w:color w:val="auto"/>
                <w:kern w:val="0"/>
                <w:sz w:val="21"/>
                <w:szCs w:val="21"/>
                <w:u w:val="none"/>
                <w:lang w:val="en-US" w:eastAsia="zh-CN" w:bidi="ar"/>
              </w:rPr>
              <w:t>×10</w:t>
            </w:r>
            <w:r>
              <w:rPr>
                <w:rFonts w:hint="eastAsia" w:ascii="Times New Roman" w:hAnsi="Times New Roman" w:eastAsia="宋体" w:cs="Times New Roman"/>
                <w:i w:val="0"/>
                <w:iCs w:val="0"/>
                <w:color w:val="auto"/>
                <w:kern w:val="0"/>
                <w:sz w:val="21"/>
                <w:szCs w:val="21"/>
                <w:u w:val="none"/>
                <w:vertAlign w:val="superscript"/>
                <w:lang w:val="en-US" w:eastAsia="zh-CN" w:bidi="ar"/>
              </w:rPr>
              <w:t>-3</w:t>
            </w:r>
            <w:r>
              <w:rPr>
                <w:rFonts w:hint="eastAsia" w:ascii="Times New Roman" w:hAnsi="Times New Roman" w:eastAsia="宋体" w:cs="Times New Roman"/>
                <w:sz w:val="21"/>
                <w:szCs w:val="21"/>
                <w:vertAlign w:val="baseline"/>
                <w:lang w:val="en-US" w:eastAsia="zh-CN"/>
              </w:rPr>
              <w:t xml:space="preserve"> </w:t>
            </w:r>
          </w:p>
        </w:tc>
      </w:tr>
      <w:tr w14:paraId="3471A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00" w:type="pct"/>
            <w:vMerge w:val="continue"/>
            <w:tcBorders>
              <w:tl2br w:val="nil"/>
              <w:tr2bl w:val="nil"/>
            </w:tcBorders>
            <w:noWrap w:val="0"/>
            <w:vAlign w:val="center"/>
          </w:tcPr>
          <w:p w14:paraId="2CFCECE3">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882" w:type="pct"/>
            <w:vMerge w:val="continue"/>
            <w:tcBorders>
              <w:tl2br w:val="nil"/>
              <w:tr2bl w:val="nil"/>
            </w:tcBorders>
            <w:noWrap w:val="0"/>
            <w:vAlign w:val="center"/>
          </w:tcPr>
          <w:p w14:paraId="34237CD4">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755" w:type="pct"/>
            <w:tcBorders>
              <w:tl2br w:val="nil"/>
              <w:tr2bl w:val="nil"/>
            </w:tcBorders>
            <w:noWrap w:val="0"/>
            <w:vAlign w:val="center"/>
          </w:tcPr>
          <w:p w14:paraId="328BB17A">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均值</w:t>
            </w:r>
          </w:p>
        </w:tc>
        <w:tc>
          <w:tcPr>
            <w:tcW w:w="826" w:type="pct"/>
            <w:tcBorders>
              <w:tl2br w:val="nil"/>
              <w:tr2bl w:val="nil"/>
            </w:tcBorders>
            <w:noWrap w:val="0"/>
            <w:vAlign w:val="center"/>
          </w:tcPr>
          <w:p w14:paraId="04EB2EAB">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fldChar w:fldCharType="begin"/>
            </w:r>
            <w:r>
              <w:rPr>
                <w:rFonts w:hint="default" w:ascii="Times New Roman" w:hAnsi="Times New Roman" w:eastAsia="宋体" w:cs="Times New Roman"/>
                <w:sz w:val="21"/>
                <w:szCs w:val="21"/>
                <w:vertAlign w:val="baseline"/>
                <w:lang w:val="en-US" w:eastAsia="zh-CN"/>
              </w:rPr>
              <w:instrText xml:space="preserve"> = average(D31:D33) \* MERGEFORMAT </w:instrText>
            </w:r>
            <w:r>
              <w:rPr>
                <w:rFonts w:hint="default" w:ascii="Times New Roman" w:hAnsi="Times New Roman" w:eastAsia="宋体" w:cs="Times New Roman"/>
                <w:sz w:val="21"/>
                <w:szCs w:val="21"/>
                <w:vertAlign w:val="baseline"/>
                <w:lang w:val="en-US" w:eastAsia="zh-CN"/>
              </w:rPr>
              <w:fldChar w:fldCharType="separate"/>
            </w:r>
            <w:r>
              <w:rPr>
                <w:rFonts w:hint="default" w:ascii="Times New Roman" w:hAnsi="Times New Roman" w:eastAsia="宋体" w:cs="Times New Roman"/>
                <w:sz w:val="21"/>
                <w:szCs w:val="21"/>
                <w:vertAlign w:val="baseline"/>
                <w:lang w:val="en-US" w:eastAsia="zh-CN"/>
              </w:rPr>
              <w:t>975</w:t>
            </w:r>
            <w:r>
              <w:rPr>
                <w:rFonts w:hint="default" w:ascii="Times New Roman" w:hAnsi="Times New Roman" w:eastAsia="宋体" w:cs="Times New Roman"/>
                <w:sz w:val="21"/>
                <w:szCs w:val="21"/>
                <w:vertAlign w:val="baseline"/>
                <w:lang w:val="en-US" w:eastAsia="zh-CN"/>
              </w:rPr>
              <w:fldChar w:fldCharType="end"/>
            </w:r>
          </w:p>
        </w:tc>
        <w:tc>
          <w:tcPr>
            <w:tcW w:w="861" w:type="pct"/>
            <w:tcBorders>
              <w:tl2br w:val="nil"/>
              <w:tr2bl w:val="nil"/>
            </w:tcBorders>
            <w:noWrap w:val="0"/>
            <w:vAlign w:val="center"/>
          </w:tcPr>
          <w:p w14:paraId="709C903C">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fldChar w:fldCharType="begin"/>
            </w:r>
            <w:r>
              <w:rPr>
                <w:rFonts w:hint="default" w:ascii="Times New Roman" w:hAnsi="Times New Roman" w:eastAsia="宋体" w:cs="Times New Roman"/>
                <w:sz w:val="21"/>
                <w:szCs w:val="21"/>
                <w:vertAlign w:val="baseline"/>
                <w:lang w:val="en-US" w:eastAsia="zh-CN"/>
              </w:rPr>
              <w:instrText xml:space="preserve"> = average(E31:E33) \* MERGEFORMAT </w:instrText>
            </w:r>
            <w:r>
              <w:rPr>
                <w:rFonts w:hint="default" w:ascii="Times New Roman" w:hAnsi="Times New Roman" w:eastAsia="宋体" w:cs="Times New Roman"/>
                <w:sz w:val="21"/>
                <w:szCs w:val="21"/>
                <w:vertAlign w:val="baseline"/>
                <w:lang w:val="en-US" w:eastAsia="zh-CN"/>
              </w:rPr>
              <w:fldChar w:fldCharType="separate"/>
            </w:r>
            <w:r>
              <w:rPr>
                <w:rFonts w:hint="default" w:ascii="Times New Roman" w:hAnsi="Times New Roman" w:eastAsia="宋体" w:cs="Times New Roman"/>
                <w:sz w:val="21"/>
                <w:szCs w:val="21"/>
                <w:vertAlign w:val="baseline"/>
                <w:lang w:val="en-US" w:eastAsia="zh-CN"/>
              </w:rPr>
              <w:t>2.27</w:t>
            </w:r>
            <w:r>
              <w:rPr>
                <w:rFonts w:hint="default" w:ascii="Times New Roman" w:hAnsi="Times New Roman" w:eastAsia="宋体" w:cs="Times New Roman"/>
                <w:sz w:val="21"/>
                <w:szCs w:val="21"/>
                <w:vertAlign w:val="baseline"/>
                <w:lang w:val="en-US" w:eastAsia="zh-CN"/>
              </w:rPr>
              <w:fldChar w:fldCharType="end"/>
            </w:r>
          </w:p>
        </w:tc>
        <w:tc>
          <w:tcPr>
            <w:tcW w:w="1689" w:type="dxa"/>
            <w:tcBorders>
              <w:tl2br w:val="nil"/>
              <w:tr2bl w:val="nil"/>
            </w:tcBorders>
            <w:noWrap w:val="0"/>
            <w:vAlign w:val="center"/>
          </w:tcPr>
          <w:p w14:paraId="7FB9CE4D">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2.21</w:t>
            </w:r>
            <w:r>
              <w:rPr>
                <w:rFonts w:hint="default" w:ascii="Times New Roman" w:hAnsi="Times New Roman" w:eastAsia="宋体" w:cs="Times New Roman"/>
                <w:i w:val="0"/>
                <w:iCs w:val="0"/>
                <w:color w:val="auto"/>
                <w:kern w:val="0"/>
                <w:sz w:val="21"/>
                <w:szCs w:val="21"/>
                <w:u w:val="none"/>
                <w:lang w:val="en-US" w:eastAsia="zh-CN" w:bidi="ar"/>
              </w:rPr>
              <w:t>×10</w:t>
            </w:r>
            <w:r>
              <w:rPr>
                <w:rFonts w:hint="eastAsia" w:ascii="Times New Roman" w:hAnsi="Times New Roman" w:eastAsia="宋体" w:cs="Times New Roman"/>
                <w:i w:val="0"/>
                <w:iCs w:val="0"/>
                <w:color w:val="auto"/>
                <w:kern w:val="0"/>
                <w:sz w:val="21"/>
                <w:szCs w:val="21"/>
                <w:u w:val="none"/>
                <w:vertAlign w:val="superscript"/>
                <w:lang w:val="en-US" w:eastAsia="zh-CN" w:bidi="ar"/>
              </w:rPr>
              <w:t>-3</w:t>
            </w:r>
          </w:p>
        </w:tc>
      </w:tr>
      <w:tr w14:paraId="03D29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00" w:type="pct"/>
            <w:vMerge w:val="restart"/>
            <w:tcBorders>
              <w:tl2br w:val="nil"/>
              <w:tr2bl w:val="nil"/>
            </w:tcBorders>
            <w:noWrap w:val="0"/>
            <w:vAlign w:val="center"/>
          </w:tcPr>
          <w:p w14:paraId="356A50FD">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2026.05.07</w:t>
            </w:r>
          </w:p>
        </w:tc>
        <w:tc>
          <w:tcPr>
            <w:tcW w:w="882" w:type="pct"/>
            <w:vMerge w:val="restart"/>
            <w:tcBorders>
              <w:tl2br w:val="nil"/>
              <w:tr2bl w:val="nil"/>
            </w:tcBorders>
            <w:noWrap w:val="0"/>
            <w:vAlign w:val="center"/>
          </w:tcPr>
          <w:p w14:paraId="40AA7F26">
            <w:pPr>
              <w:adjustRightInd/>
              <w:snapToGrid/>
              <w:spacing w:line="240" w:lineRule="auto"/>
              <w:ind w:firstLine="0" w:firstLineChars="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DA005 </w:t>
            </w:r>
          </w:p>
          <w:p w14:paraId="5D2114B4">
            <w:pPr>
              <w:adjustRightInd/>
              <w:snapToGrid/>
              <w:spacing w:line="240" w:lineRule="auto"/>
              <w:ind w:firstLine="0" w:firstLineChars="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3#钢带镀镍线</w:t>
            </w:r>
          </w:p>
          <w:p w14:paraId="1983043E">
            <w:pPr>
              <w:adjustRightInd/>
              <w:snapToGrid/>
              <w:spacing w:line="240" w:lineRule="auto"/>
              <w:ind w:firstLine="0" w:firstLineChars="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废气处理设施</w:t>
            </w:r>
          </w:p>
          <w:p w14:paraId="62B4D183">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lang w:val="en-US" w:eastAsia="zh-CN"/>
              </w:rPr>
              <w:t>进口</w:t>
            </w:r>
          </w:p>
        </w:tc>
        <w:tc>
          <w:tcPr>
            <w:tcW w:w="755" w:type="pct"/>
            <w:tcBorders>
              <w:tl2br w:val="nil"/>
              <w:tr2bl w:val="nil"/>
            </w:tcBorders>
            <w:noWrap w:val="0"/>
            <w:vAlign w:val="center"/>
          </w:tcPr>
          <w:p w14:paraId="720CEFEB">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w:t>
            </w:r>
          </w:p>
        </w:tc>
        <w:tc>
          <w:tcPr>
            <w:tcW w:w="826" w:type="pct"/>
            <w:tcBorders>
              <w:tl2br w:val="nil"/>
              <w:tr2bl w:val="nil"/>
            </w:tcBorders>
            <w:noWrap w:val="0"/>
            <w:vAlign w:val="center"/>
          </w:tcPr>
          <w:p w14:paraId="653BA1EA">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5.64 </w:t>
            </w:r>
            <w:r>
              <w:rPr>
                <w:rFonts w:hint="default" w:ascii="Times New Roman" w:hAnsi="Times New Roman" w:eastAsia="宋体" w:cs="Times New Roman"/>
                <w:i w:val="0"/>
                <w:iCs w:val="0"/>
                <w:color w:val="auto"/>
                <w:kern w:val="0"/>
                <w:sz w:val="21"/>
                <w:szCs w:val="21"/>
                <w:u w:val="none"/>
                <w:lang w:val="en-US" w:eastAsia="zh-CN" w:bidi="ar"/>
              </w:rPr>
              <w:t>×10</w:t>
            </w:r>
            <w:r>
              <w:rPr>
                <w:rFonts w:hint="default" w:ascii="Times New Roman" w:hAnsi="Times New Roman" w:eastAsia="宋体" w:cs="Times New Roman"/>
                <w:i w:val="0"/>
                <w:iCs w:val="0"/>
                <w:color w:val="auto"/>
                <w:kern w:val="0"/>
                <w:sz w:val="21"/>
                <w:szCs w:val="21"/>
                <w:u w:val="none"/>
                <w:vertAlign w:val="superscript"/>
                <w:lang w:val="en-US" w:eastAsia="zh-CN" w:bidi="ar"/>
              </w:rPr>
              <w:t>3</w:t>
            </w:r>
            <w:r>
              <w:rPr>
                <w:rFonts w:hint="eastAsia" w:ascii="Times New Roman" w:hAnsi="Times New Roman" w:eastAsia="宋体" w:cs="Times New Roman"/>
                <w:sz w:val="21"/>
                <w:szCs w:val="21"/>
                <w:vertAlign w:val="baseline"/>
                <w:lang w:val="en-US" w:eastAsia="zh-CN"/>
              </w:rPr>
              <w:t xml:space="preserve"> </w:t>
            </w:r>
          </w:p>
        </w:tc>
        <w:tc>
          <w:tcPr>
            <w:tcW w:w="861" w:type="pct"/>
            <w:tcBorders>
              <w:tl2br w:val="nil"/>
              <w:tr2bl w:val="nil"/>
            </w:tcBorders>
            <w:noWrap w:val="0"/>
            <w:vAlign w:val="center"/>
          </w:tcPr>
          <w:p w14:paraId="6CAB4A95">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18.4</w:t>
            </w:r>
          </w:p>
        </w:tc>
        <w:tc>
          <w:tcPr>
            <w:tcW w:w="1689" w:type="dxa"/>
            <w:tcBorders>
              <w:tl2br w:val="nil"/>
              <w:tr2bl w:val="nil"/>
            </w:tcBorders>
            <w:noWrap w:val="0"/>
            <w:vAlign w:val="center"/>
          </w:tcPr>
          <w:p w14:paraId="035D0677">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0.104 </w:t>
            </w:r>
          </w:p>
        </w:tc>
      </w:tr>
      <w:tr w14:paraId="4EAE2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00" w:type="pct"/>
            <w:vMerge w:val="continue"/>
            <w:tcBorders>
              <w:tl2br w:val="nil"/>
              <w:tr2bl w:val="nil"/>
            </w:tcBorders>
            <w:noWrap w:val="0"/>
            <w:vAlign w:val="center"/>
          </w:tcPr>
          <w:p w14:paraId="10D9C209">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882" w:type="pct"/>
            <w:vMerge w:val="continue"/>
            <w:tcBorders>
              <w:tl2br w:val="nil"/>
              <w:tr2bl w:val="nil"/>
            </w:tcBorders>
            <w:noWrap w:val="0"/>
            <w:vAlign w:val="center"/>
          </w:tcPr>
          <w:p w14:paraId="4B54292B">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755" w:type="pct"/>
            <w:tcBorders>
              <w:tl2br w:val="nil"/>
              <w:tr2bl w:val="nil"/>
            </w:tcBorders>
            <w:noWrap w:val="0"/>
            <w:vAlign w:val="center"/>
          </w:tcPr>
          <w:p w14:paraId="7DA4AAB3">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w:t>
            </w:r>
          </w:p>
        </w:tc>
        <w:tc>
          <w:tcPr>
            <w:tcW w:w="826" w:type="pct"/>
            <w:tcBorders>
              <w:tl2br w:val="nil"/>
              <w:tr2bl w:val="nil"/>
            </w:tcBorders>
            <w:noWrap w:val="0"/>
            <w:vAlign w:val="center"/>
          </w:tcPr>
          <w:p w14:paraId="6542F6B1">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5.91</w:t>
            </w:r>
            <w:r>
              <w:rPr>
                <w:rFonts w:hint="default" w:ascii="Times New Roman" w:hAnsi="Times New Roman" w:eastAsia="宋体" w:cs="Times New Roman"/>
                <w:i w:val="0"/>
                <w:iCs w:val="0"/>
                <w:color w:val="auto"/>
                <w:kern w:val="0"/>
                <w:sz w:val="21"/>
                <w:szCs w:val="21"/>
                <w:u w:val="none"/>
                <w:lang w:val="en-US" w:eastAsia="zh-CN" w:bidi="ar"/>
              </w:rPr>
              <w:t>×10</w:t>
            </w:r>
            <w:r>
              <w:rPr>
                <w:rFonts w:hint="default" w:ascii="Times New Roman" w:hAnsi="Times New Roman" w:eastAsia="宋体" w:cs="Times New Roman"/>
                <w:i w:val="0"/>
                <w:iCs w:val="0"/>
                <w:color w:val="auto"/>
                <w:kern w:val="0"/>
                <w:sz w:val="21"/>
                <w:szCs w:val="21"/>
                <w:u w:val="none"/>
                <w:vertAlign w:val="superscript"/>
                <w:lang w:val="en-US" w:eastAsia="zh-CN" w:bidi="ar"/>
              </w:rPr>
              <w:t>3</w:t>
            </w:r>
            <w:r>
              <w:rPr>
                <w:rFonts w:hint="eastAsia" w:ascii="Times New Roman" w:hAnsi="Times New Roman" w:eastAsia="宋体" w:cs="Times New Roman"/>
                <w:sz w:val="21"/>
                <w:szCs w:val="21"/>
                <w:vertAlign w:val="baseline"/>
                <w:lang w:val="en-US" w:eastAsia="zh-CN"/>
              </w:rPr>
              <w:t xml:space="preserve">  </w:t>
            </w:r>
          </w:p>
        </w:tc>
        <w:tc>
          <w:tcPr>
            <w:tcW w:w="861" w:type="pct"/>
            <w:tcBorders>
              <w:tl2br w:val="nil"/>
              <w:tr2bl w:val="nil"/>
            </w:tcBorders>
            <w:noWrap w:val="0"/>
            <w:vAlign w:val="center"/>
          </w:tcPr>
          <w:p w14:paraId="50472896">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16.3</w:t>
            </w:r>
          </w:p>
        </w:tc>
        <w:tc>
          <w:tcPr>
            <w:tcW w:w="1689" w:type="dxa"/>
            <w:tcBorders>
              <w:tl2br w:val="nil"/>
              <w:tr2bl w:val="nil"/>
            </w:tcBorders>
            <w:noWrap w:val="0"/>
            <w:vAlign w:val="center"/>
          </w:tcPr>
          <w:p w14:paraId="34041A26">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0.0963 </w:t>
            </w:r>
          </w:p>
        </w:tc>
      </w:tr>
      <w:tr w14:paraId="624DA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00" w:type="pct"/>
            <w:vMerge w:val="continue"/>
            <w:tcBorders>
              <w:tl2br w:val="nil"/>
              <w:tr2bl w:val="nil"/>
            </w:tcBorders>
            <w:noWrap w:val="0"/>
            <w:vAlign w:val="center"/>
          </w:tcPr>
          <w:p w14:paraId="65EB64EB">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882" w:type="pct"/>
            <w:vMerge w:val="continue"/>
            <w:tcBorders>
              <w:tl2br w:val="nil"/>
              <w:tr2bl w:val="nil"/>
            </w:tcBorders>
            <w:noWrap w:val="0"/>
            <w:vAlign w:val="center"/>
          </w:tcPr>
          <w:p w14:paraId="14630425">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755" w:type="pct"/>
            <w:tcBorders>
              <w:tl2br w:val="nil"/>
              <w:tr2bl w:val="nil"/>
            </w:tcBorders>
            <w:noWrap w:val="0"/>
            <w:vAlign w:val="center"/>
          </w:tcPr>
          <w:p w14:paraId="51CA7486">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3</w:t>
            </w:r>
          </w:p>
        </w:tc>
        <w:tc>
          <w:tcPr>
            <w:tcW w:w="826" w:type="pct"/>
            <w:tcBorders>
              <w:tl2br w:val="nil"/>
              <w:tr2bl w:val="nil"/>
            </w:tcBorders>
            <w:noWrap w:val="0"/>
            <w:vAlign w:val="center"/>
          </w:tcPr>
          <w:p w14:paraId="5935C7A9">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5.84</w:t>
            </w:r>
            <w:r>
              <w:rPr>
                <w:rFonts w:hint="default" w:ascii="Times New Roman" w:hAnsi="Times New Roman" w:eastAsia="宋体" w:cs="Times New Roman"/>
                <w:i w:val="0"/>
                <w:iCs w:val="0"/>
                <w:color w:val="auto"/>
                <w:kern w:val="0"/>
                <w:sz w:val="21"/>
                <w:szCs w:val="21"/>
                <w:u w:val="none"/>
                <w:lang w:val="en-US" w:eastAsia="zh-CN" w:bidi="ar"/>
              </w:rPr>
              <w:t>×10</w:t>
            </w:r>
            <w:r>
              <w:rPr>
                <w:rFonts w:hint="default" w:ascii="Times New Roman" w:hAnsi="Times New Roman" w:eastAsia="宋体" w:cs="Times New Roman"/>
                <w:i w:val="0"/>
                <w:iCs w:val="0"/>
                <w:color w:val="auto"/>
                <w:kern w:val="0"/>
                <w:sz w:val="21"/>
                <w:szCs w:val="21"/>
                <w:u w:val="none"/>
                <w:vertAlign w:val="superscript"/>
                <w:lang w:val="en-US" w:eastAsia="zh-CN" w:bidi="ar"/>
              </w:rPr>
              <w:t>3</w:t>
            </w:r>
            <w:r>
              <w:rPr>
                <w:rFonts w:hint="eastAsia" w:ascii="Times New Roman" w:hAnsi="Times New Roman" w:eastAsia="宋体" w:cs="Times New Roman"/>
                <w:sz w:val="21"/>
                <w:szCs w:val="21"/>
                <w:vertAlign w:val="baseline"/>
                <w:lang w:val="en-US" w:eastAsia="zh-CN"/>
              </w:rPr>
              <w:t xml:space="preserve"> </w:t>
            </w:r>
          </w:p>
        </w:tc>
        <w:tc>
          <w:tcPr>
            <w:tcW w:w="861" w:type="pct"/>
            <w:tcBorders>
              <w:tl2br w:val="nil"/>
              <w:tr2bl w:val="nil"/>
            </w:tcBorders>
            <w:noWrap w:val="0"/>
            <w:vAlign w:val="center"/>
          </w:tcPr>
          <w:p w14:paraId="7EBAAE43">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17.1</w:t>
            </w:r>
          </w:p>
        </w:tc>
        <w:tc>
          <w:tcPr>
            <w:tcW w:w="1689" w:type="dxa"/>
            <w:tcBorders>
              <w:tl2br w:val="nil"/>
              <w:tr2bl w:val="nil"/>
            </w:tcBorders>
            <w:noWrap w:val="0"/>
            <w:vAlign w:val="center"/>
          </w:tcPr>
          <w:p w14:paraId="264EEBF5">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0.0999 </w:t>
            </w:r>
          </w:p>
        </w:tc>
      </w:tr>
      <w:tr w14:paraId="7A8AF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00" w:type="pct"/>
            <w:vMerge w:val="continue"/>
            <w:tcBorders>
              <w:tl2br w:val="nil"/>
              <w:tr2bl w:val="nil"/>
            </w:tcBorders>
            <w:noWrap w:val="0"/>
            <w:vAlign w:val="center"/>
          </w:tcPr>
          <w:p w14:paraId="785229AB">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882" w:type="pct"/>
            <w:vMerge w:val="continue"/>
            <w:tcBorders>
              <w:tl2br w:val="nil"/>
              <w:tr2bl w:val="nil"/>
            </w:tcBorders>
            <w:noWrap w:val="0"/>
            <w:vAlign w:val="center"/>
          </w:tcPr>
          <w:p w14:paraId="149C8F39">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755" w:type="pct"/>
            <w:tcBorders>
              <w:tl2br w:val="nil"/>
              <w:tr2bl w:val="nil"/>
            </w:tcBorders>
            <w:noWrap w:val="0"/>
            <w:vAlign w:val="center"/>
          </w:tcPr>
          <w:p w14:paraId="2B2C8D86">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均值</w:t>
            </w:r>
          </w:p>
        </w:tc>
        <w:tc>
          <w:tcPr>
            <w:tcW w:w="826" w:type="pct"/>
            <w:tcBorders>
              <w:tl2br w:val="nil"/>
              <w:tr2bl w:val="nil"/>
            </w:tcBorders>
            <w:noWrap w:val="0"/>
            <w:vAlign w:val="center"/>
          </w:tcPr>
          <w:p w14:paraId="3F7FD5D3">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fldChar w:fldCharType="begin"/>
            </w:r>
            <w:r>
              <w:rPr>
                <w:rFonts w:hint="default" w:ascii="Times New Roman" w:hAnsi="Times New Roman" w:eastAsia="宋体" w:cs="Times New Roman"/>
                <w:sz w:val="21"/>
                <w:szCs w:val="21"/>
                <w:vertAlign w:val="baseline"/>
                <w:lang w:val="en-US" w:eastAsia="zh-CN"/>
              </w:rPr>
              <w:instrText xml:space="preserve"> = average(D35:D37) \* MERGEFORMAT </w:instrText>
            </w:r>
            <w:r>
              <w:rPr>
                <w:rFonts w:hint="default" w:ascii="Times New Roman" w:hAnsi="Times New Roman" w:eastAsia="宋体" w:cs="Times New Roman"/>
                <w:sz w:val="21"/>
                <w:szCs w:val="21"/>
                <w:vertAlign w:val="baseline"/>
                <w:lang w:val="en-US" w:eastAsia="zh-CN"/>
              </w:rPr>
              <w:fldChar w:fldCharType="separate"/>
            </w:r>
            <w:r>
              <w:rPr>
                <w:rFonts w:hint="default" w:ascii="Times New Roman" w:hAnsi="Times New Roman" w:eastAsia="宋体" w:cs="Times New Roman"/>
                <w:sz w:val="21"/>
                <w:szCs w:val="21"/>
                <w:vertAlign w:val="baseline"/>
                <w:lang w:val="en-US" w:eastAsia="zh-CN"/>
              </w:rPr>
              <w:t>5.</w:t>
            </w:r>
            <w:r>
              <w:rPr>
                <w:rFonts w:hint="eastAsia" w:ascii="Times New Roman" w:hAnsi="Times New Roman" w:eastAsia="宋体" w:cs="Times New Roman"/>
                <w:sz w:val="21"/>
                <w:szCs w:val="21"/>
                <w:vertAlign w:val="baseline"/>
                <w:lang w:val="en-US" w:eastAsia="zh-CN"/>
              </w:rPr>
              <w:t>8</w:t>
            </w:r>
            <w:r>
              <w:rPr>
                <w:rFonts w:hint="default" w:ascii="Times New Roman" w:hAnsi="Times New Roman" w:eastAsia="宋体" w:cs="Times New Roman"/>
                <w:sz w:val="21"/>
                <w:szCs w:val="21"/>
                <w:vertAlign w:val="baseline"/>
                <w:lang w:val="en-US" w:eastAsia="zh-CN"/>
              </w:rPr>
              <w:fldChar w:fldCharType="end"/>
            </w:r>
            <w:r>
              <w:rPr>
                <w:rFonts w:hint="eastAsia" w:ascii="Times New Roman" w:hAnsi="Times New Roman" w:eastAsia="宋体" w:cs="Times New Roman"/>
                <w:sz w:val="21"/>
                <w:szCs w:val="21"/>
                <w:vertAlign w:val="baseline"/>
                <w:lang w:val="en-US" w:eastAsia="zh-CN"/>
              </w:rPr>
              <w:t>0</w:t>
            </w:r>
            <w:r>
              <w:rPr>
                <w:rFonts w:hint="default" w:ascii="Times New Roman" w:hAnsi="Times New Roman" w:eastAsia="宋体" w:cs="Times New Roman"/>
                <w:i w:val="0"/>
                <w:iCs w:val="0"/>
                <w:color w:val="auto"/>
                <w:kern w:val="0"/>
                <w:sz w:val="21"/>
                <w:szCs w:val="21"/>
                <w:u w:val="none"/>
                <w:lang w:val="en-US" w:eastAsia="zh-CN" w:bidi="ar"/>
              </w:rPr>
              <w:t>×10</w:t>
            </w:r>
            <w:r>
              <w:rPr>
                <w:rFonts w:hint="default" w:ascii="Times New Roman" w:hAnsi="Times New Roman" w:eastAsia="宋体" w:cs="Times New Roman"/>
                <w:i w:val="0"/>
                <w:iCs w:val="0"/>
                <w:color w:val="auto"/>
                <w:kern w:val="0"/>
                <w:sz w:val="21"/>
                <w:szCs w:val="21"/>
                <w:u w:val="none"/>
                <w:vertAlign w:val="superscript"/>
                <w:lang w:val="en-US" w:eastAsia="zh-CN" w:bidi="ar"/>
              </w:rPr>
              <w:t>3</w:t>
            </w:r>
            <w:r>
              <w:rPr>
                <w:rFonts w:hint="eastAsia" w:ascii="Times New Roman" w:hAnsi="Times New Roman" w:eastAsia="宋体" w:cs="Times New Roman"/>
                <w:sz w:val="21"/>
                <w:szCs w:val="21"/>
                <w:vertAlign w:val="baseline"/>
                <w:lang w:val="en-US" w:eastAsia="zh-CN"/>
              </w:rPr>
              <w:t xml:space="preserve"> </w:t>
            </w:r>
          </w:p>
        </w:tc>
        <w:tc>
          <w:tcPr>
            <w:tcW w:w="861" w:type="pct"/>
            <w:tcBorders>
              <w:tl2br w:val="nil"/>
              <w:tr2bl w:val="nil"/>
            </w:tcBorders>
            <w:noWrap w:val="0"/>
            <w:vAlign w:val="center"/>
          </w:tcPr>
          <w:p w14:paraId="7C461234">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fldChar w:fldCharType="begin"/>
            </w:r>
            <w:r>
              <w:rPr>
                <w:rFonts w:hint="default" w:ascii="Times New Roman" w:hAnsi="Times New Roman" w:eastAsia="宋体" w:cs="Times New Roman"/>
                <w:sz w:val="21"/>
                <w:szCs w:val="21"/>
                <w:vertAlign w:val="baseline"/>
                <w:lang w:val="en-US" w:eastAsia="zh-CN"/>
              </w:rPr>
              <w:instrText xml:space="preserve"> = average(E35:E37) \* MERGEFORMAT </w:instrText>
            </w:r>
            <w:r>
              <w:rPr>
                <w:rFonts w:hint="default" w:ascii="Times New Roman" w:hAnsi="Times New Roman" w:eastAsia="宋体" w:cs="Times New Roman"/>
                <w:sz w:val="21"/>
                <w:szCs w:val="21"/>
                <w:vertAlign w:val="baseline"/>
                <w:lang w:val="en-US" w:eastAsia="zh-CN"/>
              </w:rPr>
              <w:fldChar w:fldCharType="separate"/>
            </w:r>
            <w:r>
              <w:rPr>
                <w:rFonts w:hint="default" w:ascii="Times New Roman" w:hAnsi="Times New Roman" w:eastAsia="宋体" w:cs="Times New Roman"/>
                <w:sz w:val="21"/>
                <w:szCs w:val="21"/>
                <w:vertAlign w:val="baseline"/>
                <w:lang w:val="en-US" w:eastAsia="zh-CN"/>
              </w:rPr>
              <w:t>17.</w:t>
            </w:r>
            <w:r>
              <w:rPr>
                <w:rFonts w:hint="eastAsia" w:ascii="Times New Roman" w:hAnsi="Times New Roman" w:eastAsia="宋体" w:cs="Times New Roman"/>
                <w:sz w:val="21"/>
                <w:szCs w:val="21"/>
                <w:vertAlign w:val="baseline"/>
                <w:lang w:val="en-US" w:eastAsia="zh-CN"/>
              </w:rPr>
              <w:t>3</w:t>
            </w:r>
            <w:r>
              <w:rPr>
                <w:rFonts w:hint="default" w:ascii="Times New Roman" w:hAnsi="Times New Roman" w:eastAsia="宋体" w:cs="Times New Roman"/>
                <w:sz w:val="21"/>
                <w:szCs w:val="21"/>
                <w:vertAlign w:val="baseline"/>
                <w:lang w:val="en-US" w:eastAsia="zh-CN"/>
              </w:rPr>
              <w:fldChar w:fldCharType="end"/>
            </w:r>
          </w:p>
        </w:tc>
        <w:tc>
          <w:tcPr>
            <w:tcW w:w="1689" w:type="dxa"/>
            <w:tcBorders>
              <w:tl2br w:val="nil"/>
              <w:tr2bl w:val="nil"/>
            </w:tcBorders>
            <w:noWrap w:val="0"/>
            <w:vAlign w:val="center"/>
          </w:tcPr>
          <w:p w14:paraId="700CED36">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0.100 </w:t>
            </w:r>
          </w:p>
        </w:tc>
      </w:tr>
      <w:tr w14:paraId="5A84D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00" w:type="pct"/>
            <w:vMerge w:val="continue"/>
            <w:tcBorders>
              <w:tl2br w:val="nil"/>
              <w:tr2bl w:val="nil"/>
            </w:tcBorders>
            <w:noWrap w:val="0"/>
            <w:vAlign w:val="center"/>
          </w:tcPr>
          <w:p w14:paraId="45D03AC3">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882" w:type="pct"/>
            <w:vMerge w:val="restart"/>
            <w:tcBorders>
              <w:tl2br w:val="nil"/>
              <w:tr2bl w:val="nil"/>
            </w:tcBorders>
            <w:noWrap w:val="0"/>
            <w:vAlign w:val="center"/>
          </w:tcPr>
          <w:p w14:paraId="69C36D42">
            <w:pPr>
              <w:adjustRightInd/>
              <w:snapToGrid/>
              <w:spacing w:line="240" w:lineRule="auto"/>
              <w:ind w:firstLine="0" w:firstLineChars="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DA005 </w:t>
            </w:r>
          </w:p>
          <w:p w14:paraId="0B2022FF">
            <w:pPr>
              <w:adjustRightInd/>
              <w:snapToGrid/>
              <w:spacing w:line="240" w:lineRule="auto"/>
              <w:ind w:firstLine="0" w:firstLineChars="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3#钢带镀镍线</w:t>
            </w:r>
          </w:p>
          <w:p w14:paraId="60691167">
            <w:pPr>
              <w:adjustRightInd/>
              <w:snapToGrid/>
              <w:spacing w:line="240" w:lineRule="auto"/>
              <w:ind w:firstLine="0" w:firstLineChars="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废气处理设施</w:t>
            </w:r>
          </w:p>
          <w:p w14:paraId="4A7BE93F">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lang w:val="en-US" w:eastAsia="zh-CN"/>
              </w:rPr>
              <w:t>出口</w:t>
            </w:r>
          </w:p>
        </w:tc>
        <w:tc>
          <w:tcPr>
            <w:tcW w:w="755" w:type="pct"/>
            <w:tcBorders>
              <w:tl2br w:val="nil"/>
              <w:tr2bl w:val="nil"/>
            </w:tcBorders>
            <w:noWrap w:val="0"/>
            <w:vAlign w:val="center"/>
          </w:tcPr>
          <w:p w14:paraId="43486EA8">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w:t>
            </w:r>
          </w:p>
        </w:tc>
        <w:tc>
          <w:tcPr>
            <w:tcW w:w="826" w:type="pct"/>
            <w:tcBorders>
              <w:tl2br w:val="nil"/>
              <w:tr2bl w:val="nil"/>
            </w:tcBorders>
            <w:noWrap w:val="0"/>
            <w:vAlign w:val="center"/>
          </w:tcPr>
          <w:p w14:paraId="77A72639">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6.02</w:t>
            </w:r>
            <w:r>
              <w:rPr>
                <w:rFonts w:hint="default" w:ascii="Times New Roman" w:hAnsi="Times New Roman" w:eastAsia="宋体" w:cs="Times New Roman"/>
                <w:i w:val="0"/>
                <w:iCs w:val="0"/>
                <w:color w:val="auto"/>
                <w:kern w:val="0"/>
                <w:sz w:val="21"/>
                <w:szCs w:val="21"/>
                <w:u w:val="none"/>
                <w:lang w:val="en-US" w:eastAsia="zh-CN" w:bidi="ar"/>
              </w:rPr>
              <w:t>×10</w:t>
            </w:r>
            <w:r>
              <w:rPr>
                <w:rFonts w:hint="default" w:ascii="Times New Roman" w:hAnsi="Times New Roman" w:eastAsia="宋体" w:cs="Times New Roman"/>
                <w:i w:val="0"/>
                <w:iCs w:val="0"/>
                <w:color w:val="auto"/>
                <w:kern w:val="0"/>
                <w:sz w:val="21"/>
                <w:szCs w:val="21"/>
                <w:u w:val="none"/>
                <w:vertAlign w:val="superscript"/>
                <w:lang w:val="en-US" w:eastAsia="zh-CN" w:bidi="ar"/>
              </w:rPr>
              <w:t>3</w:t>
            </w:r>
            <w:r>
              <w:rPr>
                <w:rFonts w:hint="eastAsia" w:ascii="Times New Roman" w:hAnsi="Times New Roman" w:eastAsia="宋体" w:cs="Times New Roman"/>
                <w:sz w:val="21"/>
                <w:szCs w:val="21"/>
                <w:vertAlign w:val="baseline"/>
                <w:lang w:val="en-US" w:eastAsia="zh-CN"/>
              </w:rPr>
              <w:t xml:space="preserve"> </w:t>
            </w:r>
          </w:p>
        </w:tc>
        <w:tc>
          <w:tcPr>
            <w:tcW w:w="861" w:type="pct"/>
            <w:tcBorders>
              <w:tl2br w:val="nil"/>
              <w:tr2bl w:val="nil"/>
            </w:tcBorders>
            <w:noWrap w:val="0"/>
            <w:vAlign w:val="center"/>
          </w:tcPr>
          <w:p w14:paraId="536B7206">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1.38</w:t>
            </w:r>
          </w:p>
        </w:tc>
        <w:tc>
          <w:tcPr>
            <w:tcW w:w="1689" w:type="dxa"/>
            <w:tcBorders>
              <w:tl2br w:val="nil"/>
              <w:tr2bl w:val="nil"/>
            </w:tcBorders>
            <w:noWrap w:val="0"/>
            <w:vAlign w:val="center"/>
          </w:tcPr>
          <w:p w14:paraId="4EF661DC">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8.31</w:t>
            </w:r>
            <w:r>
              <w:rPr>
                <w:rFonts w:hint="default" w:ascii="Times New Roman" w:hAnsi="Times New Roman" w:eastAsia="宋体" w:cs="Times New Roman"/>
                <w:i w:val="0"/>
                <w:iCs w:val="0"/>
                <w:color w:val="auto"/>
                <w:kern w:val="0"/>
                <w:sz w:val="21"/>
                <w:szCs w:val="21"/>
                <w:u w:val="none"/>
                <w:lang w:val="en-US" w:eastAsia="zh-CN" w:bidi="ar"/>
              </w:rPr>
              <w:t>×10</w:t>
            </w:r>
            <w:r>
              <w:rPr>
                <w:rFonts w:hint="eastAsia" w:ascii="Times New Roman" w:hAnsi="Times New Roman" w:eastAsia="宋体" w:cs="Times New Roman"/>
                <w:i w:val="0"/>
                <w:iCs w:val="0"/>
                <w:color w:val="auto"/>
                <w:kern w:val="0"/>
                <w:sz w:val="21"/>
                <w:szCs w:val="21"/>
                <w:u w:val="none"/>
                <w:vertAlign w:val="superscript"/>
                <w:lang w:val="en-US" w:eastAsia="zh-CN" w:bidi="ar"/>
              </w:rPr>
              <w:t>-3</w:t>
            </w:r>
          </w:p>
        </w:tc>
      </w:tr>
      <w:tr w14:paraId="31CDE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00" w:type="pct"/>
            <w:vMerge w:val="continue"/>
            <w:tcBorders>
              <w:tl2br w:val="nil"/>
              <w:tr2bl w:val="nil"/>
            </w:tcBorders>
            <w:noWrap w:val="0"/>
            <w:vAlign w:val="center"/>
          </w:tcPr>
          <w:p w14:paraId="3ED906D4">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882" w:type="pct"/>
            <w:vMerge w:val="continue"/>
            <w:tcBorders>
              <w:tl2br w:val="nil"/>
              <w:tr2bl w:val="nil"/>
            </w:tcBorders>
            <w:noWrap w:val="0"/>
            <w:vAlign w:val="center"/>
          </w:tcPr>
          <w:p w14:paraId="0689AF7A">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755" w:type="pct"/>
            <w:tcBorders>
              <w:tl2br w:val="nil"/>
              <w:tr2bl w:val="nil"/>
            </w:tcBorders>
            <w:noWrap w:val="0"/>
            <w:vAlign w:val="center"/>
          </w:tcPr>
          <w:p w14:paraId="4550F975">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w:t>
            </w:r>
          </w:p>
        </w:tc>
        <w:tc>
          <w:tcPr>
            <w:tcW w:w="826" w:type="pct"/>
            <w:tcBorders>
              <w:tl2br w:val="nil"/>
              <w:tr2bl w:val="nil"/>
            </w:tcBorders>
            <w:noWrap w:val="0"/>
            <w:vAlign w:val="center"/>
          </w:tcPr>
          <w:p w14:paraId="4D0BDE27">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6.34</w:t>
            </w:r>
            <w:r>
              <w:rPr>
                <w:rFonts w:hint="default" w:ascii="Times New Roman" w:hAnsi="Times New Roman" w:eastAsia="宋体" w:cs="Times New Roman"/>
                <w:i w:val="0"/>
                <w:iCs w:val="0"/>
                <w:color w:val="auto"/>
                <w:kern w:val="0"/>
                <w:sz w:val="21"/>
                <w:szCs w:val="21"/>
                <w:u w:val="none"/>
                <w:lang w:val="en-US" w:eastAsia="zh-CN" w:bidi="ar"/>
              </w:rPr>
              <w:t>×10</w:t>
            </w:r>
            <w:r>
              <w:rPr>
                <w:rFonts w:hint="default" w:ascii="Times New Roman" w:hAnsi="Times New Roman" w:eastAsia="宋体" w:cs="Times New Roman"/>
                <w:i w:val="0"/>
                <w:iCs w:val="0"/>
                <w:color w:val="auto"/>
                <w:kern w:val="0"/>
                <w:sz w:val="21"/>
                <w:szCs w:val="21"/>
                <w:u w:val="none"/>
                <w:vertAlign w:val="superscript"/>
                <w:lang w:val="en-US" w:eastAsia="zh-CN" w:bidi="ar"/>
              </w:rPr>
              <w:t>3</w:t>
            </w:r>
            <w:r>
              <w:rPr>
                <w:rFonts w:hint="eastAsia" w:ascii="Times New Roman" w:hAnsi="Times New Roman" w:eastAsia="宋体" w:cs="Times New Roman"/>
                <w:sz w:val="21"/>
                <w:szCs w:val="21"/>
                <w:vertAlign w:val="baseline"/>
                <w:lang w:val="en-US" w:eastAsia="zh-CN"/>
              </w:rPr>
              <w:t xml:space="preserve"> </w:t>
            </w:r>
          </w:p>
        </w:tc>
        <w:tc>
          <w:tcPr>
            <w:tcW w:w="861" w:type="pct"/>
            <w:tcBorders>
              <w:tl2br w:val="nil"/>
              <w:tr2bl w:val="nil"/>
            </w:tcBorders>
            <w:noWrap w:val="0"/>
            <w:vAlign w:val="center"/>
          </w:tcPr>
          <w:p w14:paraId="676EB956">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1.51</w:t>
            </w:r>
          </w:p>
        </w:tc>
        <w:tc>
          <w:tcPr>
            <w:tcW w:w="1689" w:type="dxa"/>
            <w:tcBorders>
              <w:tl2br w:val="nil"/>
              <w:tr2bl w:val="nil"/>
            </w:tcBorders>
            <w:noWrap w:val="0"/>
            <w:vAlign w:val="center"/>
          </w:tcPr>
          <w:p w14:paraId="7243B0BA">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9.57</w:t>
            </w:r>
            <w:r>
              <w:rPr>
                <w:rFonts w:hint="default" w:ascii="Times New Roman" w:hAnsi="Times New Roman" w:eastAsia="宋体" w:cs="Times New Roman"/>
                <w:i w:val="0"/>
                <w:iCs w:val="0"/>
                <w:color w:val="auto"/>
                <w:kern w:val="0"/>
                <w:sz w:val="21"/>
                <w:szCs w:val="21"/>
                <w:u w:val="none"/>
                <w:lang w:val="en-US" w:eastAsia="zh-CN" w:bidi="ar"/>
              </w:rPr>
              <w:t>×10</w:t>
            </w:r>
            <w:r>
              <w:rPr>
                <w:rFonts w:hint="eastAsia" w:ascii="Times New Roman" w:hAnsi="Times New Roman" w:eastAsia="宋体" w:cs="Times New Roman"/>
                <w:i w:val="0"/>
                <w:iCs w:val="0"/>
                <w:color w:val="auto"/>
                <w:kern w:val="0"/>
                <w:sz w:val="21"/>
                <w:szCs w:val="21"/>
                <w:u w:val="none"/>
                <w:vertAlign w:val="superscript"/>
                <w:lang w:val="en-US" w:eastAsia="zh-CN" w:bidi="ar"/>
              </w:rPr>
              <w:t>-3</w:t>
            </w:r>
          </w:p>
        </w:tc>
      </w:tr>
      <w:tr w14:paraId="4A11D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00" w:type="pct"/>
            <w:vMerge w:val="continue"/>
            <w:tcBorders>
              <w:tl2br w:val="nil"/>
              <w:tr2bl w:val="nil"/>
            </w:tcBorders>
            <w:noWrap w:val="0"/>
            <w:vAlign w:val="center"/>
          </w:tcPr>
          <w:p w14:paraId="451CCFC7">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882" w:type="pct"/>
            <w:vMerge w:val="continue"/>
            <w:tcBorders>
              <w:tl2br w:val="nil"/>
              <w:tr2bl w:val="nil"/>
            </w:tcBorders>
            <w:noWrap w:val="0"/>
            <w:vAlign w:val="center"/>
          </w:tcPr>
          <w:p w14:paraId="113CC6D8">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755" w:type="pct"/>
            <w:tcBorders>
              <w:tl2br w:val="nil"/>
              <w:tr2bl w:val="nil"/>
            </w:tcBorders>
            <w:noWrap w:val="0"/>
            <w:vAlign w:val="center"/>
          </w:tcPr>
          <w:p w14:paraId="3F045384">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3</w:t>
            </w:r>
          </w:p>
        </w:tc>
        <w:tc>
          <w:tcPr>
            <w:tcW w:w="826" w:type="pct"/>
            <w:tcBorders>
              <w:tl2br w:val="nil"/>
              <w:tr2bl w:val="nil"/>
            </w:tcBorders>
            <w:noWrap w:val="0"/>
            <w:vAlign w:val="center"/>
          </w:tcPr>
          <w:p w14:paraId="68248749">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6.16</w:t>
            </w:r>
            <w:r>
              <w:rPr>
                <w:rFonts w:hint="default" w:ascii="Times New Roman" w:hAnsi="Times New Roman" w:eastAsia="宋体" w:cs="Times New Roman"/>
                <w:i w:val="0"/>
                <w:iCs w:val="0"/>
                <w:color w:val="auto"/>
                <w:kern w:val="0"/>
                <w:sz w:val="21"/>
                <w:szCs w:val="21"/>
                <w:u w:val="none"/>
                <w:lang w:val="en-US" w:eastAsia="zh-CN" w:bidi="ar"/>
              </w:rPr>
              <w:t>×10</w:t>
            </w:r>
            <w:r>
              <w:rPr>
                <w:rFonts w:hint="default" w:ascii="Times New Roman" w:hAnsi="Times New Roman" w:eastAsia="宋体" w:cs="Times New Roman"/>
                <w:i w:val="0"/>
                <w:iCs w:val="0"/>
                <w:color w:val="auto"/>
                <w:kern w:val="0"/>
                <w:sz w:val="21"/>
                <w:szCs w:val="21"/>
                <w:u w:val="none"/>
                <w:vertAlign w:val="superscript"/>
                <w:lang w:val="en-US" w:eastAsia="zh-CN" w:bidi="ar"/>
              </w:rPr>
              <w:t>3</w:t>
            </w:r>
            <w:r>
              <w:rPr>
                <w:rFonts w:hint="eastAsia" w:ascii="Times New Roman" w:hAnsi="Times New Roman" w:eastAsia="宋体" w:cs="Times New Roman"/>
                <w:sz w:val="21"/>
                <w:szCs w:val="21"/>
                <w:vertAlign w:val="baseline"/>
                <w:lang w:val="en-US" w:eastAsia="zh-CN"/>
              </w:rPr>
              <w:t xml:space="preserve"> </w:t>
            </w:r>
          </w:p>
        </w:tc>
        <w:tc>
          <w:tcPr>
            <w:tcW w:w="861" w:type="pct"/>
            <w:tcBorders>
              <w:tl2br w:val="nil"/>
              <w:tr2bl w:val="nil"/>
            </w:tcBorders>
            <w:noWrap w:val="0"/>
            <w:vAlign w:val="center"/>
          </w:tcPr>
          <w:p w14:paraId="39AA0F18">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1.46</w:t>
            </w:r>
          </w:p>
        </w:tc>
        <w:tc>
          <w:tcPr>
            <w:tcW w:w="1689" w:type="dxa"/>
            <w:tcBorders>
              <w:tl2br w:val="nil"/>
              <w:tr2bl w:val="nil"/>
            </w:tcBorders>
            <w:noWrap w:val="0"/>
            <w:vAlign w:val="center"/>
          </w:tcPr>
          <w:p w14:paraId="79C07D16">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8.99</w:t>
            </w:r>
            <w:r>
              <w:rPr>
                <w:rFonts w:hint="default" w:ascii="Times New Roman" w:hAnsi="Times New Roman" w:eastAsia="宋体" w:cs="Times New Roman"/>
                <w:i w:val="0"/>
                <w:iCs w:val="0"/>
                <w:color w:val="auto"/>
                <w:kern w:val="0"/>
                <w:sz w:val="21"/>
                <w:szCs w:val="21"/>
                <w:u w:val="none"/>
                <w:lang w:val="en-US" w:eastAsia="zh-CN" w:bidi="ar"/>
              </w:rPr>
              <w:t>×10</w:t>
            </w:r>
            <w:r>
              <w:rPr>
                <w:rFonts w:hint="eastAsia" w:ascii="Times New Roman" w:hAnsi="Times New Roman" w:eastAsia="宋体" w:cs="Times New Roman"/>
                <w:i w:val="0"/>
                <w:iCs w:val="0"/>
                <w:color w:val="auto"/>
                <w:kern w:val="0"/>
                <w:sz w:val="21"/>
                <w:szCs w:val="21"/>
                <w:u w:val="none"/>
                <w:vertAlign w:val="superscript"/>
                <w:lang w:val="en-US" w:eastAsia="zh-CN" w:bidi="ar"/>
              </w:rPr>
              <w:t>-3</w:t>
            </w:r>
          </w:p>
        </w:tc>
      </w:tr>
      <w:tr w14:paraId="79C76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00" w:type="pct"/>
            <w:vMerge w:val="continue"/>
            <w:tcBorders>
              <w:tl2br w:val="nil"/>
              <w:tr2bl w:val="nil"/>
            </w:tcBorders>
            <w:noWrap w:val="0"/>
            <w:vAlign w:val="center"/>
          </w:tcPr>
          <w:p w14:paraId="50E69BCD">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882" w:type="pct"/>
            <w:vMerge w:val="continue"/>
            <w:tcBorders>
              <w:tl2br w:val="nil"/>
              <w:tr2bl w:val="nil"/>
            </w:tcBorders>
            <w:noWrap w:val="0"/>
            <w:vAlign w:val="center"/>
          </w:tcPr>
          <w:p w14:paraId="23559CD8">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755" w:type="pct"/>
            <w:tcBorders>
              <w:tl2br w:val="nil"/>
              <w:tr2bl w:val="nil"/>
            </w:tcBorders>
            <w:noWrap w:val="0"/>
            <w:vAlign w:val="center"/>
          </w:tcPr>
          <w:p w14:paraId="69ADD5EF">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均值</w:t>
            </w:r>
          </w:p>
        </w:tc>
        <w:tc>
          <w:tcPr>
            <w:tcW w:w="826" w:type="pct"/>
            <w:tcBorders>
              <w:tl2br w:val="nil"/>
              <w:tr2bl w:val="nil"/>
            </w:tcBorders>
            <w:noWrap w:val="0"/>
            <w:vAlign w:val="center"/>
          </w:tcPr>
          <w:p w14:paraId="4008DBA3">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fldChar w:fldCharType="begin"/>
            </w:r>
            <w:r>
              <w:rPr>
                <w:rFonts w:hint="default" w:ascii="Times New Roman" w:hAnsi="Times New Roman" w:eastAsia="宋体" w:cs="Times New Roman"/>
                <w:sz w:val="21"/>
                <w:szCs w:val="21"/>
                <w:vertAlign w:val="baseline"/>
                <w:lang w:val="en-US" w:eastAsia="zh-CN"/>
              </w:rPr>
              <w:instrText xml:space="preserve"> = average(D39:D41) \* MERGEFORMAT </w:instrText>
            </w:r>
            <w:r>
              <w:rPr>
                <w:rFonts w:hint="default" w:ascii="Times New Roman" w:hAnsi="Times New Roman" w:eastAsia="宋体" w:cs="Times New Roman"/>
                <w:sz w:val="21"/>
                <w:szCs w:val="21"/>
                <w:vertAlign w:val="baseline"/>
                <w:lang w:val="en-US" w:eastAsia="zh-CN"/>
              </w:rPr>
              <w:fldChar w:fldCharType="separate"/>
            </w:r>
            <w:r>
              <w:rPr>
                <w:rFonts w:hint="default" w:ascii="Times New Roman" w:hAnsi="Times New Roman" w:eastAsia="宋体" w:cs="Times New Roman"/>
                <w:sz w:val="21"/>
                <w:szCs w:val="21"/>
                <w:vertAlign w:val="baseline"/>
                <w:lang w:val="en-US" w:eastAsia="zh-CN"/>
              </w:rPr>
              <w:t>6.17</w:t>
            </w:r>
            <w:r>
              <w:rPr>
                <w:rFonts w:hint="default" w:ascii="Times New Roman" w:hAnsi="Times New Roman" w:eastAsia="宋体" w:cs="Times New Roman"/>
                <w:sz w:val="21"/>
                <w:szCs w:val="21"/>
                <w:vertAlign w:val="baseline"/>
                <w:lang w:val="en-US" w:eastAsia="zh-CN"/>
              </w:rPr>
              <w:fldChar w:fldCharType="end"/>
            </w:r>
            <w:r>
              <w:rPr>
                <w:rFonts w:hint="default" w:ascii="Times New Roman" w:hAnsi="Times New Roman" w:eastAsia="宋体" w:cs="Times New Roman"/>
                <w:i w:val="0"/>
                <w:iCs w:val="0"/>
                <w:color w:val="auto"/>
                <w:kern w:val="0"/>
                <w:sz w:val="21"/>
                <w:szCs w:val="21"/>
                <w:u w:val="none"/>
                <w:lang w:val="en-US" w:eastAsia="zh-CN" w:bidi="ar"/>
              </w:rPr>
              <w:t>×10</w:t>
            </w:r>
            <w:r>
              <w:rPr>
                <w:rFonts w:hint="default" w:ascii="Times New Roman" w:hAnsi="Times New Roman" w:eastAsia="宋体" w:cs="Times New Roman"/>
                <w:i w:val="0"/>
                <w:iCs w:val="0"/>
                <w:color w:val="auto"/>
                <w:kern w:val="0"/>
                <w:sz w:val="21"/>
                <w:szCs w:val="21"/>
                <w:u w:val="none"/>
                <w:vertAlign w:val="superscript"/>
                <w:lang w:val="en-US" w:eastAsia="zh-CN" w:bidi="ar"/>
              </w:rPr>
              <w:t>3</w:t>
            </w:r>
          </w:p>
        </w:tc>
        <w:tc>
          <w:tcPr>
            <w:tcW w:w="861" w:type="pct"/>
            <w:tcBorders>
              <w:tl2br w:val="nil"/>
              <w:tr2bl w:val="nil"/>
            </w:tcBorders>
            <w:noWrap w:val="0"/>
            <w:vAlign w:val="center"/>
          </w:tcPr>
          <w:p w14:paraId="50BE09E1">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fldChar w:fldCharType="begin"/>
            </w:r>
            <w:r>
              <w:rPr>
                <w:rFonts w:hint="default" w:ascii="Times New Roman" w:hAnsi="Times New Roman" w:eastAsia="宋体" w:cs="Times New Roman"/>
                <w:sz w:val="21"/>
                <w:szCs w:val="21"/>
                <w:vertAlign w:val="baseline"/>
                <w:lang w:val="en-US" w:eastAsia="zh-CN"/>
              </w:rPr>
              <w:instrText xml:space="preserve"> = average(E39:E41) \* MERGEFORMAT </w:instrText>
            </w:r>
            <w:r>
              <w:rPr>
                <w:rFonts w:hint="default" w:ascii="Times New Roman" w:hAnsi="Times New Roman" w:eastAsia="宋体" w:cs="Times New Roman"/>
                <w:sz w:val="21"/>
                <w:szCs w:val="21"/>
                <w:vertAlign w:val="baseline"/>
                <w:lang w:val="en-US" w:eastAsia="zh-CN"/>
              </w:rPr>
              <w:fldChar w:fldCharType="separate"/>
            </w:r>
            <w:r>
              <w:rPr>
                <w:rFonts w:hint="default" w:ascii="Times New Roman" w:hAnsi="Times New Roman" w:eastAsia="宋体" w:cs="Times New Roman"/>
                <w:sz w:val="21"/>
                <w:szCs w:val="21"/>
                <w:vertAlign w:val="baseline"/>
                <w:lang w:val="en-US" w:eastAsia="zh-CN"/>
              </w:rPr>
              <w:t>1.45</w:t>
            </w:r>
            <w:r>
              <w:rPr>
                <w:rFonts w:hint="default" w:ascii="Times New Roman" w:hAnsi="Times New Roman" w:eastAsia="宋体" w:cs="Times New Roman"/>
                <w:sz w:val="21"/>
                <w:szCs w:val="21"/>
                <w:vertAlign w:val="baseline"/>
                <w:lang w:val="en-US" w:eastAsia="zh-CN"/>
              </w:rPr>
              <w:fldChar w:fldCharType="end"/>
            </w:r>
          </w:p>
        </w:tc>
        <w:tc>
          <w:tcPr>
            <w:tcW w:w="1689" w:type="dxa"/>
            <w:tcBorders>
              <w:tl2br w:val="nil"/>
              <w:tr2bl w:val="nil"/>
            </w:tcBorders>
            <w:noWrap w:val="0"/>
            <w:vAlign w:val="center"/>
          </w:tcPr>
          <w:p w14:paraId="2D29D4E4">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8.95</w:t>
            </w:r>
            <w:r>
              <w:rPr>
                <w:rFonts w:hint="default" w:ascii="Times New Roman" w:hAnsi="Times New Roman" w:eastAsia="宋体" w:cs="Times New Roman"/>
                <w:i w:val="0"/>
                <w:iCs w:val="0"/>
                <w:color w:val="auto"/>
                <w:kern w:val="0"/>
                <w:sz w:val="21"/>
                <w:szCs w:val="21"/>
                <w:u w:val="none"/>
                <w:lang w:val="en-US" w:eastAsia="zh-CN" w:bidi="ar"/>
              </w:rPr>
              <w:t>×10</w:t>
            </w:r>
            <w:r>
              <w:rPr>
                <w:rFonts w:hint="eastAsia" w:ascii="Times New Roman" w:hAnsi="Times New Roman" w:eastAsia="宋体" w:cs="Times New Roman"/>
                <w:i w:val="0"/>
                <w:iCs w:val="0"/>
                <w:color w:val="auto"/>
                <w:kern w:val="0"/>
                <w:sz w:val="21"/>
                <w:szCs w:val="21"/>
                <w:u w:val="none"/>
                <w:vertAlign w:val="superscript"/>
                <w:lang w:val="en-US" w:eastAsia="zh-CN" w:bidi="ar"/>
              </w:rPr>
              <w:t>-3</w:t>
            </w:r>
          </w:p>
        </w:tc>
      </w:tr>
      <w:tr w14:paraId="0141A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00" w:type="pct"/>
            <w:vMerge w:val="restart"/>
            <w:tcBorders>
              <w:tl2br w:val="nil"/>
              <w:tr2bl w:val="nil"/>
            </w:tcBorders>
            <w:noWrap w:val="0"/>
            <w:vAlign w:val="center"/>
          </w:tcPr>
          <w:p w14:paraId="51B62F17">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2026.05.31</w:t>
            </w:r>
          </w:p>
        </w:tc>
        <w:tc>
          <w:tcPr>
            <w:tcW w:w="882" w:type="pct"/>
            <w:vMerge w:val="restart"/>
            <w:tcBorders>
              <w:tl2br w:val="nil"/>
              <w:tr2bl w:val="nil"/>
            </w:tcBorders>
            <w:noWrap w:val="0"/>
            <w:vAlign w:val="center"/>
          </w:tcPr>
          <w:p w14:paraId="0025DDC2">
            <w:pPr>
              <w:adjustRightInd/>
              <w:snapToGrid/>
              <w:spacing w:line="240" w:lineRule="auto"/>
              <w:ind w:firstLine="0" w:firstLineChars="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DA005 </w:t>
            </w:r>
          </w:p>
          <w:p w14:paraId="01CF1A4B">
            <w:pPr>
              <w:adjustRightInd/>
              <w:snapToGrid/>
              <w:spacing w:line="240" w:lineRule="auto"/>
              <w:ind w:firstLine="0" w:firstLineChars="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3#钢带镀镍线</w:t>
            </w:r>
          </w:p>
          <w:p w14:paraId="3547FBCB">
            <w:pPr>
              <w:adjustRightInd/>
              <w:snapToGrid/>
              <w:spacing w:line="240" w:lineRule="auto"/>
              <w:ind w:firstLine="0" w:firstLineChars="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废气处理设施</w:t>
            </w:r>
          </w:p>
          <w:p w14:paraId="1472BD29">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lang w:val="en-US" w:eastAsia="zh-CN"/>
              </w:rPr>
              <w:t>进口</w:t>
            </w:r>
          </w:p>
        </w:tc>
        <w:tc>
          <w:tcPr>
            <w:tcW w:w="755" w:type="pct"/>
            <w:tcBorders>
              <w:tl2br w:val="nil"/>
              <w:tr2bl w:val="nil"/>
            </w:tcBorders>
            <w:noWrap w:val="0"/>
            <w:vAlign w:val="center"/>
          </w:tcPr>
          <w:p w14:paraId="1E8BBF92">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w:t>
            </w:r>
          </w:p>
        </w:tc>
        <w:tc>
          <w:tcPr>
            <w:tcW w:w="826" w:type="pct"/>
            <w:tcBorders>
              <w:tl2br w:val="nil"/>
              <w:tr2bl w:val="nil"/>
            </w:tcBorders>
            <w:noWrap w:val="0"/>
            <w:vAlign w:val="center"/>
          </w:tcPr>
          <w:p w14:paraId="4AC8CD11">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5.92</w:t>
            </w:r>
            <w:r>
              <w:rPr>
                <w:rFonts w:hint="default" w:ascii="Times New Roman" w:hAnsi="Times New Roman" w:eastAsia="宋体" w:cs="Times New Roman"/>
                <w:i w:val="0"/>
                <w:iCs w:val="0"/>
                <w:color w:val="auto"/>
                <w:kern w:val="0"/>
                <w:sz w:val="21"/>
                <w:szCs w:val="21"/>
                <w:u w:val="none"/>
                <w:lang w:val="en-US" w:eastAsia="zh-CN" w:bidi="ar"/>
              </w:rPr>
              <w:t>×10</w:t>
            </w:r>
            <w:r>
              <w:rPr>
                <w:rFonts w:hint="default" w:ascii="Times New Roman" w:hAnsi="Times New Roman" w:eastAsia="宋体" w:cs="Times New Roman"/>
                <w:i w:val="0"/>
                <w:iCs w:val="0"/>
                <w:color w:val="auto"/>
                <w:kern w:val="0"/>
                <w:sz w:val="21"/>
                <w:szCs w:val="21"/>
                <w:u w:val="none"/>
                <w:vertAlign w:val="superscript"/>
                <w:lang w:val="en-US" w:eastAsia="zh-CN" w:bidi="ar"/>
              </w:rPr>
              <w:t>3</w:t>
            </w:r>
            <w:r>
              <w:rPr>
                <w:rFonts w:hint="eastAsia" w:ascii="Times New Roman" w:hAnsi="Times New Roman" w:eastAsia="宋体" w:cs="Times New Roman"/>
                <w:sz w:val="21"/>
                <w:szCs w:val="21"/>
                <w:vertAlign w:val="baseline"/>
                <w:lang w:val="en-US" w:eastAsia="zh-CN"/>
              </w:rPr>
              <w:t xml:space="preserve"> </w:t>
            </w:r>
          </w:p>
        </w:tc>
        <w:tc>
          <w:tcPr>
            <w:tcW w:w="861" w:type="pct"/>
            <w:tcBorders>
              <w:tl2br w:val="nil"/>
              <w:tr2bl w:val="nil"/>
            </w:tcBorders>
            <w:noWrap w:val="0"/>
            <w:vAlign w:val="center"/>
          </w:tcPr>
          <w:p w14:paraId="2FE39566">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17.7</w:t>
            </w:r>
          </w:p>
        </w:tc>
        <w:tc>
          <w:tcPr>
            <w:tcW w:w="1689" w:type="dxa"/>
            <w:tcBorders>
              <w:tl2br w:val="nil"/>
              <w:tr2bl w:val="nil"/>
            </w:tcBorders>
            <w:noWrap w:val="0"/>
            <w:vAlign w:val="center"/>
          </w:tcPr>
          <w:p w14:paraId="2AD372AE">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0.105 </w:t>
            </w:r>
          </w:p>
        </w:tc>
      </w:tr>
      <w:tr w14:paraId="7165D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00" w:type="pct"/>
            <w:vMerge w:val="continue"/>
            <w:tcBorders>
              <w:tl2br w:val="nil"/>
              <w:tr2bl w:val="nil"/>
            </w:tcBorders>
            <w:noWrap w:val="0"/>
            <w:vAlign w:val="center"/>
          </w:tcPr>
          <w:p w14:paraId="582210A9">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882" w:type="pct"/>
            <w:vMerge w:val="continue"/>
            <w:tcBorders>
              <w:tl2br w:val="nil"/>
              <w:tr2bl w:val="nil"/>
            </w:tcBorders>
            <w:noWrap w:val="0"/>
            <w:vAlign w:val="center"/>
          </w:tcPr>
          <w:p w14:paraId="36C438BB">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755" w:type="pct"/>
            <w:tcBorders>
              <w:tl2br w:val="nil"/>
              <w:tr2bl w:val="nil"/>
            </w:tcBorders>
            <w:noWrap w:val="0"/>
            <w:vAlign w:val="center"/>
          </w:tcPr>
          <w:p w14:paraId="60CB5DDD">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w:t>
            </w:r>
          </w:p>
        </w:tc>
        <w:tc>
          <w:tcPr>
            <w:tcW w:w="826" w:type="pct"/>
            <w:tcBorders>
              <w:tl2br w:val="nil"/>
              <w:tr2bl w:val="nil"/>
            </w:tcBorders>
            <w:noWrap w:val="0"/>
            <w:vAlign w:val="center"/>
          </w:tcPr>
          <w:p w14:paraId="6BEAD3EC">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5.89</w:t>
            </w:r>
            <w:r>
              <w:rPr>
                <w:rFonts w:hint="default" w:ascii="Times New Roman" w:hAnsi="Times New Roman" w:eastAsia="宋体" w:cs="Times New Roman"/>
                <w:i w:val="0"/>
                <w:iCs w:val="0"/>
                <w:color w:val="auto"/>
                <w:kern w:val="0"/>
                <w:sz w:val="21"/>
                <w:szCs w:val="21"/>
                <w:u w:val="none"/>
                <w:lang w:val="en-US" w:eastAsia="zh-CN" w:bidi="ar"/>
              </w:rPr>
              <w:t>×10</w:t>
            </w:r>
            <w:r>
              <w:rPr>
                <w:rFonts w:hint="default" w:ascii="Times New Roman" w:hAnsi="Times New Roman" w:eastAsia="宋体" w:cs="Times New Roman"/>
                <w:i w:val="0"/>
                <w:iCs w:val="0"/>
                <w:color w:val="auto"/>
                <w:kern w:val="0"/>
                <w:sz w:val="21"/>
                <w:szCs w:val="21"/>
                <w:u w:val="none"/>
                <w:vertAlign w:val="superscript"/>
                <w:lang w:val="en-US" w:eastAsia="zh-CN" w:bidi="ar"/>
              </w:rPr>
              <w:t>3</w:t>
            </w:r>
          </w:p>
        </w:tc>
        <w:tc>
          <w:tcPr>
            <w:tcW w:w="861" w:type="pct"/>
            <w:tcBorders>
              <w:tl2br w:val="nil"/>
              <w:tr2bl w:val="nil"/>
            </w:tcBorders>
            <w:noWrap w:val="0"/>
            <w:vAlign w:val="center"/>
          </w:tcPr>
          <w:p w14:paraId="3464F679">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17.1</w:t>
            </w:r>
          </w:p>
        </w:tc>
        <w:tc>
          <w:tcPr>
            <w:tcW w:w="1689" w:type="dxa"/>
            <w:tcBorders>
              <w:tl2br w:val="nil"/>
              <w:tr2bl w:val="nil"/>
            </w:tcBorders>
            <w:noWrap w:val="0"/>
            <w:vAlign w:val="center"/>
          </w:tcPr>
          <w:p w14:paraId="05F04A11">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0.101 </w:t>
            </w:r>
          </w:p>
        </w:tc>
      </w:tr>
      <w:tr w14:paraId="2BF53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00" w:type="pct"/>
            <w:vMerge w:val="continue"/>
            <w:tcBorders>
              <w:tl2br w:val="nil"/>
              <w:tr2bl w:val="nil"/>
            </w:tcBorders>
            <w:noWrap w:val="0"/>
            <w:vAlign w:val="center"/>
          </w:tcPr>
          <w:p w14:paraId="3330C4B6">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882" w:type="pct"/>
            <w:vMerge w:val="continue"/>
            <w:tcBorders>
              <w:tl2br w:val="nil"/>
              <w:tr2bl w:val="nil"/>
            </w:tcBorders>
            <w:noWrap w:val="0"/>
            <w:vAlign w:val="center"/>
          </w:tcPr>
          <w:p w14:paraId="6122E1B5">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755" w:type="pct"/>
            <w:tcBorders>
              <w:tl2br w:val="nil"/>
              <w:tr2bl w:val="nil"/>
            </w:tcBorders>
            <w:noWrap w:val="0"/>
            <w:vAlign w:val="center"/>
          </w:tcPr>
          <w:p w14:paraId="298966E4">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3</w:t>
            </w:r>
          </w:p>
        </w:tc>
        <w:tc>
          <w:tcPr>
            <w:tcW w:w="826" w:type="pct"/>
            <w:tcBorders>
              <w:tl2br w:val="nil"/>
              <w:tr2bl w:val="nil"/>
            </w:tcBorders>
            <w:noWrap w:val="0"/>
            <w:vAlign w:val="center"/>
          </w:tcPr>
          <w:p w14:paraId="1D304037">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5.95</w:t>
            </w:r>
            <w:r>
              <w:rPr>
                <w:rFonts w:hint="default" w:ascii="Times New Roman" w:hAnsi="Times New Roman" w:eastAsia="宋体" w:cs="Times New Roman"/>
                <w:i w:val="0"/>
                <w:iCs w:val="0"/>
                <w:color w:val="auto"/>
                <w:kern w:val="0"/>
                <w:sz w:val="21"/>
                <w:szCs w:val="21"/>
                <w:u w:val="none"/>
                <w:lang w:val="en-US" w:eastAsia="zh-CN" w:bidi="ar"/>
              </w:rPr>
              <w:t>×10</w:t>
            </w:r>
            <w:r>
              <w:rPr>
                <w:rFonts w:hint="default" w:ascii="Times New Roman" w:hAnsi="Times New Roman" w:eastAsia="宋体" w:cs="Times New Roman"/>
                <w:i w:val="0"/>
                <w:iCs w:val="0"/>
                <w:color w:val="auto"/>
                <w:kern w:val="0"/>
                <w:sz w:val="21"/>
                <w:szCs w:val="21"/>
                <w:u w:val="none"/>
                <w:vertAlign w:val="superscript"/>
                <w:lang w:val="en-US" w:eastAsia="zh-CN" w:bidi="ar"/>
              </w:rPr>
              <w:t>3</w:t>
            </w:r>
          </w:p>
        </w:tc>
        <w:tc>
          <w:tcPr>
            <w:tcW w:w="861" w:type="pct"/>
            <w:tcBorders>
              <w:tl2br w:val="nil"/>
              <w:tr2bl w:val="nil"/>
            </w:tcBorders>
            <w:noWrap w:val="0"/>
            <w:vAlign w:val="center"/>
          </w:tcPr>
          <w:p w14:paraId="23C719B1">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16.8</w:t>
            </w:r>
          </w:p>
        </w:tc>
        <w:tc>
          <w:tcPr>
            <w:tcW w:w="1689" w:type="dxa"/>
            <w:tcBorders>
              <w:tl2br w:val="nil"/>
              <w:tr2bl w:val="nil"/>
            </w:tcBorders>
            <w:noWrap w:val="0"/>
            <w:vAlign w:val="center"/>
          </w:tcPr>
          <w:p w14:paraId="7849421B">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0.100</w:t>
            </w:r>
          </w:p>
        </w:tc>
      </w:tr>
      <w:tr w14:paraId="7801B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00" w:type="pct"/>
            <w:vMerge w:val="continue"/>
            <w:tcBorders>
              <w:tl2br w:val="nil"/>
              <w:tr2bl w:val="nil"/>
            </w:tcBorders>
            <w:noWrap w:val="0"/>
            <w:vAlign w:val="center"/>
          </w:tcPr>
          <w:p w14:paraId="42D8FD16">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882" w:type="pct"/>
            <w:vMerge w:val="continue"/>
            <w:tcBorders>
              <w:tl2br w:val="nil"/>
              <w:tr2bl w:val="nil"/>
            </w:tcBorders>
            <w:noWrap w:val="0"/>
            <w:vAlign w:val="center"/>
          </w:tcPr>
          <w:p w14:paraId="5EAC9FD4">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755" w:type="pct"/>
            <w:tcBorders>
              <w:tl2br w:val="nil"/>
              <w:tr2bl w:val="nil"/>
            </w:tcBorders>
            <w:noWrap w:val="0"/>
            <w:vAlign w:val="center"/>
          </w:tcPr>
          <w:p w14:paraId="77B1C967">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均值</w:t>
            </w:r>
          </w:p>
        </w:tc>
        <w:tc>
          <w:tcPr>
            <w:tcW w:w="826" w:type="pct"/>
            <w:tcBorders>
              <w:tl2br w:val="nil"/>
              <w:tr2bl w:val="nil"/>
            </w:tcBorders>
            <w:noWrap w:val="0"/>
            <w:vAlign w:val="center"/>
          </w:tcPr>
          <w:p w14:paraId="7446BE80">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fldChar w:fldCharType="begin"/>
            </w:r>
            <w:r>
              <w:rPr>
                <w:rFonts w:hint="default" w:ascii="Times New Roman" w:hAnsi="Times New Roman" w:eastAsia="宋体" w:cs="Times New Roman"/>
                <w:sz w:val="21"/>
                <w:szCs w:val="21"/>
                <w:vertAlign w:val="baseline"/>
                <w:lang w:val="en-US" w:eastAsia="zh-CN"/>
              </w:rPr>
              <w:instrText xml:space="preserve"> = average(D43:D45) \* MERGEFORMAT </w:instrText>
            </w:r>
            <w:r>
              <w:rPr>
                <w:rFonts w:hint="default" w:ascii="Times New Roman" w:hAnsi="Times New Roman" w:eastAsia="宋体" w:cs="Times New Roman"/>
                <w:sz w:val="21"/>
                <w:szCs w:val="21"/>
                <w:vertAlign w:val="baseline"/>
                <w:lang w:val="en-US" w:eastAsia="zh-CN"/>
              </w:rPr>
              <w:fldChar w:fldCharType="separate"/>
            </w:r>
            <w:r>
              <w:rPr>
                <w:rFonts w:hint="default" w:ascii="Times New Roman" w:hAnsi="Times New Roman" w:eastAsia="宋体" w:cs="Times New Roman"/>
                <w:sz w:val="21"/>
                <w:szCs w:val="21"/>
                <w:vertAlign w:val="baseline"/>
                <w:lang w:val="en-US" w:eastAsia="zh-CN"/>
              </w:rPr>
              <w:t>5.92</w:t>
            </w:r>
            <w:r>
              <w:rPr>
                <w:rFonts w:hint="default" w:ascii="Times New Roman" w:hAnsi="Times New Roman" w:eastAsia="宋体" w:cs="Times New Roman"/>
                <w:sz w:val="21"/>
                <w:szCs w:val="21"/>
                <w:vertAlign w:val="baseline"/>
                <w:lang w:val="en-US" w:eastAsia="zh-CN"/>
              </w:rPr>
              <w:fldChar w:fldCharType="end"/>
            </w:r>
            <w:r>
              <w:rPr>
                <w:rFonts w:hint="default" w:ascii="Times New Roman" w:hAnsi="Times New Roman" w:eastAsia="宋体" w:cs="Times New Roman"/>
                <w:i w:val="0"/>
                <w:iCs w:val="0"/>
                <w:color w:val="auto"/>
                <w:kern w:val="0"/>
                <w:sz w:val="21"/>
                <w:szCs w:val="21"/>
                <w:u w:val="none"/>
                <w:lang w:val="en-US" w:eastAsia="zh-CN" w:bidi="ar"/>
              </w:rPr>
              <w:t>×10</w:t>
            </w:r>
            <w:r>
              <w:rPr>
                <w:rFonts w:hint="default" w:ascii="Times New Roman" w:hAnsi="Times New Roman" w:eastAsia="宋体" w:cs="Times New Roman"/>
                <w:i w:val="0"/>
                <w:iCs w:val="0"/>
                <w:color w:val="auto"/>
                <w:kern w:val="0"/>
                <w:sz w:val="21"/>
                <w:szCs w:val="21"/>
                <w:u w:val="none"/>
                <w:vertAlign w:val="superscript"/>
                <w:lang w:val="en-US" w:eastAsia="zh-CN" w:bidi="ar"/>
              </w:rPr>
              <w:t>3</w:t>
            </w:r>
          </w:p>
        </w:tc>
        <w:tc>
          <w:tcPr>
            <w:tcW w:w="861" w:type="pct"/>
            <w:tcBorders>
              <w:tl2br w:val="nil"/>
              <w:tr2bl w:val="nil"/>
            </w:tcBorders>
            <w:noWrap w:val="0"/>
            <w:vAlign w:val="center"/>
          </w:tcPr>
          <w:p w14:paraId="7530A374">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fldChar w:fldCharType="begin"/>
            </w:r>
            <w:r>
              <w:rPr>
                <w:rFonts w:hint="default" w:ascii="Times New Roman" w:hAnsi="Times New Roman" w:eastAsia="宋体" w:cs="Times New Roman"/>
                <w:sz w:val="21"/>
                <w:szCs w:val="21"/>
                <w:vertAlign w:val="baseline"/>
                <w:lang w:val="en-US" w:eastAsia="zh-CN"/>
              </w:rPr>
              <w:instrText xml:space="preserve"> = average(E43:E45) \* MERGEFORMAT </w:instrText>
            </w:r>
            <w:r>
              <w:rPr>
                <w:rFonts w:hint="default" w:ascii="Times New Roman" w:hAnsi="Times New Roman" w:eastAsia="宋体" w:cs="Times New Roman"/>
                <w:sz w:val="21"/>
                <w:szCs w:val="21"/>
                <w:vertAlign w:val="baseline"/>
                <w:lang w:val="en-US" w:eastAsia="zh-CN"/>
              </w:rPr>
              <w:fldChar w:fldCharType="separate"/>
            </w:r>
            <w:r>
              <w:rPr>
                <w:rFonts w:hint="default" w:ascii="Times New Roman" w:hAnsi="Times New Roman" w:eastAsia="宋体" w:cs="Times New Roman"/>
                <w:sz w:val="21"/>
                <w:szCs w:val="21"/>
                <w:vertAlign w:val="baseline"/>
                <w:lang w:val="en-US" w:eastAsia="zh-CN"/>
              </w:rPr>
              <w:t>17.2</w:t>
            </w:r>
            <w:r>
              <w:rPr>
                <w:rFonts w:hint="default" w:ascii="Times New Roman" w:hAnsi="Times New Roman" w:eastAsia="宋体" w:cs="Times New Roman"/>
                <w:sz w:val="21"/>
                <w:szCs w:val="21"/>
                <w:vertAlign w:val="baseline"/>
                <w:lang w:val="en-US" w:eastAsia="zh-CN"/>
              </w:rPr>
              <w:fldChar w:fldCharType="end"/>
            </w:r>
          </w:p>
        </w:tc>
        <w:tc>
          <w:tcPr>
            <w:tcW w:w="1689" w:type="dxa"/>
            <w:tcBorders>
              <w:tl2br w:val="nil"/>
              <w:tr2bl w:val="nil"/>
            </w:tcBorders>
            <w:noWrap w:val="0"/>
            <w:vAlign w:val="center"/>
          </w:tcPr>
          <w:p w14:paraId="74851CA2">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0.102</w:t>
            </w:r>
          </w:p>
        </w:tc>
      </w:tr>
      <w:tr w14:paraId="18D38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00" w:type="pct"/>
            <w:vMerge w:val="continue"/>
            <w:tcBorders>
              <w:tl2br w:val="nil"/>
              <w:tr2bl w:val="nil"/>
            </w:tcBorders>
            <w:noWrap w:val="0"/>
            <w:vAlign w:val="center"/>
          </w:tcPr>
          <w:p w14:paraId="428B8427">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882" w:type="pct"/>
            <w:vMerge w:val="restart"/>
            <w:tcBorders>
              <w:tl2br w:val="nil"/>
              <w:tr2bl w:val="nil"/>
            </w:tcBorders>
            <w:noWrap w:val="0"/>
            <w:vAlign w:val="center"/>
          </w:tcPr>
          <w:p w14:paraId="58FE4B58">
            <w:pPr>
              <w:adjustRightInd/>
              <w:snapToGrid/>
              <w:spacing w:line="240" w:lineRule="auto"/>
              <w:ind w:firstLine="0" w:firstLineChars="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DA005 </w:t>
            </w:r>
          </w:p>
          <w:p w14:paraId="2C98040C">
            <w:pPr>
              <w:adjustRightInd/>
              <w:snapToGrid/>
              <w:spacing w:line="240" w:lineRule="auto"/>
              <w:ind w:firstLine="0" w:firstLineChars="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3#钢带镀镍线</w:t>
            </w:r>
          </w:p>
          <w:p w14:paraId="7DB053B5">
            <w:pPr>
              <w:adjustRightInd/>
              <w:snapToGrid/>
              <w:spacing w:line="240" w:lineRule="auto"/>
              <w:ind w:firstLine="0" w:firstLineChars="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废气处理设施</w:t>
            </w:r>
          </w:p>
          <w:p w14:paraId="263BD8FB">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lang w:val="en-US" w:eastAsia="zh-CN"/>
              </w:rPr>
              <w:t>出口</w:t>
            </w:r>
          </w:p>
        </w:tc>
        <w:tc>
          <w:tcPr>
            <w:tcW w:w="755" w:type="pct"/>
            <w:tcBorders>
              <w:tl2br w:val="nil"/>
              <w:tr2bl w:val="nil"/>
            </w:tcBorders>
            <w:noWrap w:val="0"/>
            <w:vAlign w:val="center"/>
          </w:tcPr>
          <w:p w14:paraId="7FBC647E">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w:t>
            </w:r>
          </w:p>
        </w:tc>
        <w:tc>
          <w:tcPr>
            <w:tcW w:w="826" w:type="pct"/>
            <w:tcBorders>
              <w:tl2br w:val="nil"/>
              <w:tr2bl w:val="nil"/>
            </w:tcBorders>
            <w:noWrap w:val="0"/>
            <w:vAlign w:val="center"/>
          </w:tcPr>
          <w:p w14:paraId="459DE415">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6.17</w:t>
            </w:r>
            <w:r>
              <w:rPr>
                <w:rFonts w:hint="default" w:ascii="Times New Roman" w:hAnsi="Times New Roman" w:eastAsia="宋体" w:cs="Times New Roman"/>
                <w:i w:val="0"/>
                <w:iCs w:val="0"/>
                <w:color w:val="auto"/>
                <w:kern w:val="0"/>
                <w:sz w:val="21"/>
                <w:szCs w:val="21"/>
                <w:u w:val="none"/>
                <w:lang w:val="en-US" w:eastAsia="zh-CN" w:bidi="ar"/>
              </w:rPr>
              <w:t>×10</w:t>
            </w:r>
            <w:r>
              <w:rPr>
                <w:rFonts w:hint="default" w:ascii="Times New Roman" w:hAnsi="Times New Roman" w:eastAsia="宋体" w:cs="Times New Roman"/>
                <w:i w:val="0"/>
                <w:iCs w:val="0"/>
                <w:color w:val="auto"/>
                <w:kern w:val="0"/>
                <w:sz w:val="21"/>
                <w:szCs w:val="21"/>
                <w:u w:val="none"/>
                <w:vertAlign w:val="superscript"/>
                <w:lang w:val="en-US" w:eastAsia="zh-CN" w:bidi="ar"/>
              </w:rPr>
              <w:t>3</w:t>
            </w:r>
            <w:r>
              <w:rPr>
                <w:rFonts w:hint="eastAsia" w:ascii="Times New Roman" w:hAnsi="Times New Roman" w:eastAsia="宋体" w:cs="Times New Roman"/>
                <w:sz w:val="21"/>
                <w:szCs w:val="21"/>
                <w:vertAlign w:val="baseline"/>
                <w:lang w:val="en-US" w:eastAsia="zh-CN"/>
              </w:rPr>
              <w:t xml:space="preserve"> </w:t>
            </w:r>
          </w:p>
        </w:tc>
        <w:tc>
          <w:tcPr>
            <w:tcW w:w="861" w:type="pct"/>
            <w:tcBorders>
              <w:tl2br w:val="nil"/>
              <w:tr2bl w:val="nil"/>
            </w:tcBorders>
            <w:noWrap w:val="0"/>
            <w:vAlign w:val="center"/>
          </w:tcPr>
          <w:p w14:paraId="5AC755E0">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1.61</w:t>
            </w:r>
          </w:p>
        </w:tc>
        <w:tc>
          <w:tcPr>
            <w:tcW w:w="1689" w:type="dxa"/>
            <w:tcBorders>
              <w:tl2br w:val="nil"/>
              <w:tr2bl w:val="nil"/>
            </w:tcBorders>
            <w:noWrap w:val="0"/>
            <w:vAlign w:val="center"/>
          </w:tcPr>
          <w:p w14:paraId="404CD036">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9.93</w:t>
            </w:r>
            <w:r>
              <w:rPr>
                <w:rFonts w:hint="default" w:ascii="Times New Roman" w:hAnsi="Times New Roman" w:eastAsia="宋体" w:cs="Times New Roman"/>
                <w:i w:val="0"/>
                <w:iCs w:val="0"/>
                <w:color w:val="auto"/>
                <w:kern w:val="0"/>
                <w:sz w:val="21"/>
                <w:szCs w:val="21"/>
                <w:u w:val="none"/>
                <w:lang w:val="en-US" w:eastAsia="zh-CN" w:bidi="ar"/>
              </w:rPr>
              <w:t>×10</w:t>
            </w:r>
            <w:r>
              <w:rPr>
                <w:rFonts w:hint="eastAsia" w:ascii="Times New Roman" w:hAnsi="Times New Roman" w:eastAsia="宋体" w:cs="Times New Roman"/>
                <w:i w:val="0"/>
                <w:iCs w:val="0"/>
                <w:color w:val="auto"/>
                <w:kern w:val="0"/>
                <w:sz w:val="21"/>
                <w:szCs w:val="21"/>
                <w:u w:val="none"/>
                <w:vertAlign w:val="superscript"/>
                <w:lang w:val="en-US" w:eastAsia="zh-CN" w:bidi="ar"/>
              </w:rPr>
              <w:t>-3</w:t>
            </w:r>
          </w:p>
        </w:tc>
      </w:tr>
      <w:tr w14:paraId="71A55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00" w:type="pct"/>
            <w:vMerge w:val="continue"/>
            <w:tcBorders>
              <w:tl2br w:val="nil"/>
              <w:tr2bl w:val="nil"/>
            </w:tcBorders>
            <w:noWrap w:val="0"/>
            <w:vAlign w:val="center"/>
          </w:tcPr>
          <w:p w14:paraId="6FFBCAF6">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882" w:type="pct"/>
            <w:vMerge w:val="continue"/>
            <w:tcBorders>
              <w:tl2br w:val="nil"/>
              <w:tr2bl w:val="nil"/>
            </w:tcBorders>
            <w:noWrap w:val="0"/>
            <w:vAlign w:val="center"/>
          </w:tcPr>
          <w:p w14:paraId="6EB24E61">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755" w:type="pct"/>
            <w:tcBorders>
              <w:tl2br w:val="nil"/>
              <w:tr2bl w:val="nil"/>
            </w:tcBorders>
            <w:noWrap w:val="0"/>
            <w:vAlign w:val="center"/>
          </w:tcPr>
          <w:p w14:paraId="54F2B32F">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w:t>
            </w:r>
          </w:p>
        </w:tc>
        <w:tc>
          <w:tcPr>
            <w:tcW w:w="826" w:type="pct"/>
            <w:tcBorders>
              <w:tl2br w:val="nil"/>
              <w:tr2bl w:val="nil"/>
            </w:tcBorders>
            <w:noWrap w:val="0"/>
            <w:vAlign w:val="center"/>
          </w:tcPr>
          <w:p w14:paraId="6C3CF7D8">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6.09</w:t>
            </w:r>
            <w:r>
              <w:rPr>
                <w:rFonts w:hint="default" w:ascii="Times New Roman" w:hAnsi="Times New Roman" w:eastAsia="宋体" w:cs="Times New Roman"/>
                <w:i w:val="0"/>
                <w:iCs w:val="0"/>
                <w:color w:val="auto"/>
                <w:kern w:val="0"/>
                <w:sz w:val="21"/>
                <w:szCs w:val="21"/>
                <w:u w:val="none"/>
                <w:lang w:val="en-US" w:eastAsia="zh-CN" w:bidi="ar"/>
              </w:rPr>
              <w:t>×10</w:t>
            </w:r>
            <w:r>
              <w:rPr>
                <w:rFonts w:hint="default" w:ascii="Times New Roman" w:hAnsi="Times New Roman" w:eastAsia="宋体" w:cs="Times New Roman"/>
                <w:i w:val="0"/>
                <w:iCs w:val="0"/>
                <w:color w:val="auto"/>
                <w:kern w:val="0"/>
                <w:sz w:val="21"/>
                <w:szCs w:val="21"/>
                <w:u w:val="none"/>
                <w:vertAlign w:val="superscript"/>
                <w:lang w:val="en-US" w:eastAsia="zh-CN" w:bidi="ar"/>
              </w:rPr>
              <w:t>3</w:t>
            </w:r>
            <w:r>
              <w:rPr>
                <w:rFonts w:hint="eastAsia" w:ascii="Times New Roman" w:hAnsi="Times New Roman" w:eastAsia="宋体" w:cs="Times New Roman"/>
                <w:sz w:val="21"/>
                <w:szCs w:val="21"/>
                <w:vertAlign w:val="baseline"/>
                <w:lang w:val="en-US" w:eastAsia="zh-CN"/>
              </w:rPr>
              <w:t xml:space="preserve"> </w:t>
            </w:r>
          </w:p>
        </w:tc>
        <w:tc>
          <w:tcPr>
            <w:tcW w:w="861" w:type="pct"/>
            <w:tcBorders>
              <w:tl2br w:val="nil"/>
              <w:tr2bl w:val="nil"/>
            </w:tcBorders>
            <w:noWrap w:val="0"/>
            <w:vAlign w:val="center"/>
          </w:tcPr>
          <w:p w14:paraId="02F0C831">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1.46</w:t>
            </w:r>
          </w:p>
        </w:tc>
        <w:tc>
          <w:tcPr>
            <w:tcW w:w="1689" w:type="dxa"/>
            <w:tcBorders>
              <w:tl2br w:val="nil"/>
              <w:tr2bl w:val="nil"/>
            </w:tcBorders>
            <w:noWrap w:val="0"/>
            <w:vAlign w:val="center"/>
          </w:tcPr>
          <w:p w14:paraId="4BFE1B3B">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8.89</w:t>
            </w:r>
            <w:r>
              <w:rPr>
                <w:rFonts w:hint="default" w:ascii="Times New Roman" w:hAnsi="Times New Roman" w:eastAsia="宋体" w:cs="Times New Roman"/>
                <w:i w:val="0"/>
                <w:iCs w:val="0"/>
                <w:color w:val="auto"/>
                <w:kern w:val="0"/>
                <w:sz w:val="21"/>
                <w:szCs w:val="21"/>
                <w:u w:val="none"/>
                <w:lang w:val="en-US" w:eastAsia="zh-CN" w:bidi="ar"/>
              </w:rPr>
              <w:t>×10</w:t>
            </w:r>
            <w:r>
              <w:rPr>
                <w:rFonts w:hint="eastAsia" w:ascii="Times New Roman" w:hAnsi="Times New Roman" w:eastAsia="宋体" w:cs="Times New Roman"/>
                <w:i w:val="0"/>
                <w:iCs w:val="0"/>
                <w:color w:val="auto"/>
                <w:kern w:val="0"/>
                <w:sz w:val="21"/>
                <w:szCs w:val="21"/>
                <w:u w:val="none"/>
                <w:vertAlign w:val="superscript"/>
                <w:lang w:val="en-US" w:eastAsia="zh-CN" w:bidi="ar"/>
              </w:rPr>
              <w:t>-3</w:t>
            </w:r>
          </w:p>
        </w:tc>
      </w:tr>
      <w:tr w14:paraId="3F7D4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00" w:type="pct"/>
            <w:vMerge w:val="continue"/>
            <w:tcBorders>
              <w:tl2br w:val="nil"/>
              <w:tr2bl w:val="nil"/>
            </w:tcBorders>
            <w:noWrap w:val="0"/>
            <w:vAlign w:val="center"/>
          </w:tcPr>
          <w:p w14:paraId="57CEC4E1">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882" w:type="pct"/>
            <w:vMerge w:val="continue"/>
            <w:tcBorders>
              <w:tl2br w:val="nil"/>
              <w:tr2bl w:val="nil"/>
            </w:tcBorders>
            <w:noWrap w:val="0"/>
            <w:vAlign w:val="center"/>
          </w:tcPr>
          <w:p w14:paraId="0F975F04">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755" w:type="pct"/>
            <w:tcBorders>
              <w:tl2br w:val="nil"/>
              <w:tr2bl w:val="nil"/>
            </w:tcBorders>
            <w:noWrap w:val="0"/>
            <w:vAlign w:val="center"/>
          </w:tcPr>
          <w:p w14:paraId="078802D4">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3</w:t>
            </w:r>
          </w:p>
        </w:tc>
        <w:tc>
          <w:tcPr>
            <w:tcW w:w="826" w:type="pct"/>
            <w:tcBorders>
              <w:tl2br w:val="nil"/>
              <w:tr2bl w:val="nil"/>
            </w:tcBorders>
            <w:noWrap w:val="0"/>
            <w:vAlign w:val="center"/>
          </w:tcPr>
          <w:p w14:paraId="7BF3F052">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6.31</w:t>
            </w:r>
            <w:r>
              <w:rPr>
                <w:rFonts w:hint="default" w:ascii="Times New Roman" w:hAnsi="Times New Roman" w:eastAsia="宋体" w:cs="Times New Roman"/>
                <w:i w:val="0"/>
                <w:iCs w:val="0"/>
                <w:color w:val="auto"/>
                <w:kern w:val="0"/>
                <w:sz w:val="21"/>
                <w:szCs w:val="21"/>
                <w:u w:val="none"/>
                <w:lang w:val="en-US" w:eastAsia="zh-CN" w:bidi="ar"/>
              </w:rPr>
              <w:t>×10</w:t>
            </w:r>
            <w:r>
              <w:rPr>
                <w:rFonts w:hint="default" w:ascii="Times New Roman" w:hAnsi="Times New Roman" w:eastAsia="宋体" w:cs="Times New Roman"/>
                <w:i w:val="0"/>
                <w:iCs w:val="0"/>
                <w:color w:val="auto"/>
                <w:kern w:val="0"/>
                <w:sz w:val="21"/>
                <w:szCs w:val="21"/>
                <w:u w:val="none"/>
                <w:vertAlign w:val="superscript"/>
                <w:lang w:val="en-US" w:eastAsia="zh-CN" w:bidi="ar"/>
              </w:rPr>
              <w:t>3</w:t>
            </w:r>
            <w:r>
              <w:rPr>
                <w:rFonts w:hint="eastAsia" w:ascii="Times New Roman" w:hAnsi="Times New Roman" w:eastAsia="宋体" w:cs="Times New Roman"/>
                <w:sz w:val="21"/>
                <w:szCs w:val="21"/>
                <w:vertAlign w:val="baseline"/>
                <w:lang w:val="en-US" w:eastAsia="zh-CN"/>
              </w:rPr>
              <w:t xml:space="preserve"> </w:t>
            </w:r>
          </w:p>
        </w:tc>
        <w:tc>
          <w:tcPr>
            <w:tcW w:w="861" w:type="pct"/>
            <w:tcBorders>
              <w:tl2br w:val="nil"/>
              <w:tr2bl w:val="nil"/>
            </w:tcBorders>
            <w:noWrap w:val="0"/>
            <w:vAlign w:val="center"/>
          </w:tcPr>
          <w:p w14:paraId="78DAAF3B">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1.54</w:t>
            </w:r>
          </w:p>
        </w:tc>
        <w:tc>
          <w:tcPr>
            <w:tcW w:w="1689" w:type="dxa"/>
            <w:tcBorders>
              <w:tl2br w:val="nil"/>
              <w:tr2bl w:val="nil"/>
            </w:tcBorders>
            <w:noWrap w:val="0"/>
            <w:vAlign w:val="center"/>
          </w:tcPr>
          <w:p w14:paraId="65EE8D5A">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9.72</w:t>
            </w:r>
            <w:r>
              <w:rPr>
                <w:rFonts w:hint="default" w:ascii="Times New Roman" w:hAnsi="Times New Roman" w:eastAsia="宋体" w:cs="Times New Roman"/>
                <w:i w:val="0"/>
                <w:iCs w:val="0"/>
                <w:color w:val="auto"/>
                <w:kern w:val="0"/>
                <w:sz w:val="21"/>
                <w:szCs w:val="21"/>
                <w:u w:val="none"/>
                <w:lang w:val="en-US" w:eastAsia="zh-CN" w:bidi="ar"/>
              </w:rPr>
              <w:t>×10</w:t>
            </w:r>
            <w:r>
              <w:rPr>
                <w:rFonts w:hint="eastAsia" w:ascii="Times New Roman" w:hAnsi="Times New Roman" w:eastAsia="宋体" w:cs="Times New Roman"/>
                <w:i w:val="0"/>
                <w:iCs w:val="0"/>
                <w:color w:val="auto"/>
                <w:kern w:val="0"/>
                <w:sz w:val="21"/>
                <w:szCs w:val="21"/>
                <w:u w:val="none"/>
                <w:vertAlign w:val="superscript"/>
                <w:lang w:val="en-US" w:eastAsia="zh-CN" w:bidi="ar"/>
              </w:rPr>
              <w:t>-3</w:t>
            </w:r>
          </w:p>
        </w:tc>
      </w:tr>
      <w:tr w14:paraId="3EBD9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00" w:type="pct"/>
            <w:vMerge w:val="continue"/>
            <w:tcBorders>
              <w:tl2br w:val="nil"/>
              <w:tr2bl w:val="nil"/>
            </w:tcBorders>
            <w:noWrap w:val="0"/>
            <w:vAlign w:val="center"/>
          </w:tcPr>
          <w:p w14:paraId="34A05274">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882" w:type="pct"/>
            <w:vMerge w:val="continue"/>
            <w:tcBorders>
              <w:tl2br w:val="nil"/>
              <w:tr2bl w:val="nil"/>
            </w:tcBorders>
            <w:noWrap w:val="0"/>
            <w:vAlign w:val="center"/>
          </w:tcPr>
          <w:p w14:paraId="0B829B9D">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755" w:type="pct"/>
            <w:tcBorders>
              <w:tl2br w:val="nil"/>
              <w:tr2bl w:val="nil"/>
            </w:tcBorders>
            <w:noWrap w:val="0"/>
            <w:vAlign w:val="center"/>
          </w:tcPr>
          <w:p w14:paraId="5FAD0FE5">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均值</w:t>
            </w:r>
          </w:p>
        </w:tc>
        <w:tc>
          <w:tcPr>
            <w:tcW w:w="826" w:type="pct"/>
            <w:tcBorders>
              <w:tl2br w:val="nil"/>
              <w:tr2bl w:val="nil"/>
            </w:tcBorders>
            <w:noWrap w:val="0"/>
            <w:vAlign w:val="center"/>
          </w:tcPr>
          <w:p w14:paraId="7165A6CF">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fldChar w:fldCharType="begin"/>
            </w:r>
            <w:r>
              <w:rPr>
                <w:rFonts w:hint="default" w:ascii="Times New Roman" w:hAnsi="Times New Roman" w:eastAsia="宋体" w:cs="Times New Roman"/>
                <w:sz w:val="21"/>
                <w:szCs w:val="21"/>
                <w:vertAlign w:val="baseline"/>
                <w:lang w:val="en-US" w:eastAsia="zh-CN"/>
              </w:rPr>
              <w:instrText xml:space="preserve"> = average(D47:D49) \* MERGEFORMAT </w:instrText>
            </w:r>
            <w:r>
              <w:rPr>
                <w:rFonts w:hint="default" w:ascii="Times New Roman" w:hAnsi="Times New Roman" w:eastAsia="宋体" w:cs="Times New Roman"/>
                <w:sz w:val="21"/>
                <w:szCs w:val="21"/>
                <w:vertAlign w:val="baseline"/>
                <w:lang w:val="en-US" w:eastAsia="zh-CN"/>
              </w:rPr>
              <w:fldChar w:fldCharType="separate"/>
            </w:r>
            <w:r>
              <w:rPr>
                <w:rFonts w:hint="default" w:ascii="Times New Roman" w:hAnsi="Times New Roman" w:eastAsia="宋体" w:cs="Times New Roman"/>
                <w:sz w:val="21"/>
                <w:szCs w:val="21"/>
                <w:vertAlign w:val="baseline"/>
                <w:lang w:val="en-US" w:eastAsia="zh-CN"/>
              </w:rPr>
              <w:t>6.19</w:t>
            </w:r>
            <w:r>
              <w:rPr>
                <w:rFonts w:hint="default" w:ascii="Times New Roman" w:hAnsi="Times New Roman" w:eastAsia="宋体" w:cs="Times New Roman"/>
                <w:sz w:val="21"/>
                <w:szCs w:val="21"/>
                <w:vertAlign w:val="baseline"/>
                <w:lang w:val="en-US" w:eastAsia="zh-CN"/>
              </w:rPr>
              <w:fldChar w:fldCharType="end"/>
            </w:r>
            <w:r>
              <w:rPr>
                <w:rFonts w:hint="default" w:ascii="Times New Roman" w:hAnsi="Times New Roman" w:eastAsia="宋体" w:cs="Times New Roman"/>
                <w:i w:val="0"/>
                <w:iCs w:val="0"/>
                <w:color w:val="auto"/>
                <w:kern w:val="0"/>
                <w:sz w:val="21"/>
                <w:szCs w:val="21"/>
                <w:u w:val="none"/>
                <w:lang w:val="en-US" w:eastAsia="zh-CN" w:bidi="ar"/>
              </w:rPr>
              <w:t>×10</w:t>
            </w:r>
            <w:r>
              <w:rPr>
                <w:rFonts w:hint="default" w:ascii="Times New Roman" w:hAnsi="Times New Roman" w:eastAsia="宋体" w:cs="Times New Roman"/>
                <w:i w:val="0"/>
                <w:iCs w:val="0"/>
                <w:color w:val="auto"/>
                <w:kern w:val="0"/>
                <w:sz w:val="21"/>
                <w:szCs w:val="21"/>
                <w:u w:val="none"/>
                <w:vertAlign w:val="superscript"/>
                <w:lang w:val="en-US" w:eastAsia="zh-CN" w:bidi="ar"/>
              </w:rPr>
              <w:t>3</w:t>
            </w:r>
          </w:p>
        </w:tc>
        <w:tc>
          <w:tcPr>
            <w:tcW w:w="861" w:type="pct"/>
            <w:tcBorders>
              <w:tl2br w:val="nil"/>
              <w:tr2bl w:val="nil"/>
            </w:tcBorders>
            <w:noWrap w:val="0"/>
            <w:vAlign w:val="center"/>
          </w:tcPr>
          <w:p w14:paraId="186F9D7F">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fldChar w:fldCharType="begin"/>
            </w:r>
            <w:r>
              <w:rPr>
                <w:rFonts w:hint="default" w:ascii="Times New Roman" w:hAnsi="Times New Roman" w:eastAsia="宋体" w:cs="Times New Roman"/>
                <w:sz w:val="21"/>
                <w:szCs w:val="21"/>
                <w:vertAlign w:val="baseline"/>
                <w:lang w:val="en-US" w:eastAsia="zh-CN"/>
              </w:rPr>
              <w:instrText xml:space="preserve"> = average(E47:E49) \* MERGEFORMAT </w:instrText>
            </w:r>
            <w:r>
              <w:rPr>
                <w:rFonts w:hint="default" w:ascii="Times New Roman" w:hAnsi="Times New Roman" w:eastAsia="宋体" w:cs="Times New Roman"/>
                <w:sz w:val="21"/>
                <w:szCs w:val="21"/>
                <w:vertAlign w:val="baseline"/>
                <w:lang w:val="en-US" w:eastAsia="zh-CN"/>
              </w:rPr>
              <w:fldChar w:fldCharType="separate"/>
            </w:r>
            <w:r>
              <w:rPr>
                <w:rFonts w:hint="default" w:ascii="Times New Roman" w:hAnsi="Times New Roman" w:eastAsia="宋体" w:cs="Times New Roman"/>
                <w:sz w:val="21"/>
                <w:szCs w:val="21"/>
                <w:vertAlign w:val="baseline"/>
                <w:lang w:val="en-US" w:eastAsia="zh-CN"/>
              </w:rPr>
              <w:t>1.5</w:t>
            </w:r>
            <w:r>
              <w:rPr>
                <w:rFonts w:hint="eastAsia" w:ascii="Times New Roman" w:hAnsi="Times New Roman" w:eastAsia="宋体" w:cs="Times New Roman"/>
                <w:sz w:val="21"/>
                <w:szCs w:val="21"/>
                <w:vertAlign w:val="baseline"/>
                <w:lang w:val="en-US" w:eastAsia="zh-CN"/>
              </w:rPr>
              <w:t>4</w:t>
            </w:r>
            <w:r>
              <w:rPr>
                <w:rFonts w:hint="default" w:ascii="Times New Roman" w:hAnsi="Times New Roman" w:eastAsia="宋体" w:cs="Times New Roman"/>
                <w:sz w:val="21"/>
                <w:szCs w:val="21"/>
                <w:vertAlign w:val="baseline"/>
                <w:lang w:val="en-US" w:eastAsia="zh-CN"/>
              </w:rPr>
              <w:fldChar w:fldCharType="end"/>
            </w:r>
          </w:p>
        </w:tc>
        <w:tc>
          <w:tcPr>
            <w:tcW w:w="1689" w:type="dxa"/>
            <w:tcBorders>
              <w:tl2br w:val="nil"/>
              <w:tr2bl w:val="nil"/>
            </w:tcBorders>
            <w:noWrap w:val="0"/>
            <w:vAlign w:val="center"/>
          </w:tcPr>
          <w:p w14:paraId="52FEA9BE">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9.53</w:t>
            </w:r>
            <w:r>
              <w:rPr>
                <w:rFonts w:hint="default" w:ascii="Times New Roman" w:hAnsi="Times New Roman" w:eastAsia="宋体" w:cs="Times New Roman"/>
                <w:i w:val="0"/>
                <w:iCs w:val="0"/>
                <w:color w:val="auto"/>
                <w:kern w:val="0"/>
                <w:sz w:val="21"/>
                <w:szCs w:val="21"/>
                <w:u w:val="none"/>
                <w:lang w:val="en-US" w:eastAsia="zh-CN" w:bidi="ar"/>
              </w:rPr>
              <w:t>×10</w:t>
            </w:r>
            <w:r>
              <w:rPr>
                <w:rFonts w:hint="eastAsia" w:ascii="Times New Roman" w:hAnsi="Times New Roman" w:eastAsia="宋体" w:cs="Times New Roman"/>
                <w:i w:val="0"/>
                <w:iCs w:val="0"/>
                <w:color w:val="auto"/>
                <w:kern w:val="0"/>
                <w:sz w:val="21"/>
                <w:szCs w:val="21"/>
                <w:u w:val="none"/>
                <w:vertAlign w:val="superscript"/>
                <w:lang w:val="en-US" w:eastAsia="zh-CN" w:bidi="ar"/>
              </w:rPr>
              <w:t>-3</w:t>
            </w:r>
          </w:p>
        </w:tc>
      </w:tr>
    </w:tbl>
    <w:p w14:paraId="407346E5">
      <w:pPr>
        <w:pStyle w:val="40"/>
        <w:spacing w:beforeLines="0" w:line="520" w:lineRule="exact"/>
        <w:rPr>
          <w:rFonts w:hint="eastAsia" w:eastAsia="黑体"/>
          <w:color w:val="auto"/>
          <w:lang w:eastAsia="zh-CN"/>
        </w:rPr>
      </w:pPr>
      <w:r>
        <w:rPr>
          <w:color w:val="auto"/>
        </w:rPr>
        <w:t>表9-</w:t>
      </w:r>
      <w:r>
        <w:rPr>
          <w:rFonts w:hint="eastAsia"/>
          <w:color w:val="auto"/>
        </w:rPr>
        <w:t>5</w:t>
      </w:r>
      <w:r>
        <w:rPr>
          <w:color w:val="auto"/>
        </w:rPr>
        <w:t xml:space="preserve">            </w:t>
      </w:r>
      <w:r>
        <w:rPr>
          <w:rFonts w:hint="eastAsia"/>
          <w:color w:val="auto"/>
          <w:lang w:val="en-US" w:eastAsia="zh-CN"/>
        </w:rPr>
        <w:t xml:space="preserve">                                   </w:t>
      </w:r>
      <w:r>
        <w:rPr>
          <w:color w:val="auto"/>
        </w:rPr>
        <w:t xml:space="preserve">                    有组织废气监测结果</w:t>
      </w:r>
      <w:r>
        <w:rPr>
          <w:rFonts w:hint="eastAsia"/>
          <w:color w:val="auto"/>
          <w:lang w:eastAsia="zh-CN"/>
        </w:rPr>
        <w:t>（</w:t>
      </w:r>
      <w:r>
        <w:rPr>
          <w:rFonts w:hint="eastAsia"/>
          <w:color w:val="auto"/>
          <w:lang w:val="en-US" w:eastAsia="zh-CN"/>
        </w:rPr>
        <w:t>二</w:t>
      </w:r>
      <w:r>
        <w:rPr>
          <w:rFonts w:hint="eastAsia"/>
          <w:color w:val="auto"/>
          <w:lang w:eastAsia="zh-CN"/>
        </w:rPr>
        <w:t>）</w:t>
      </w:r>
    </w:p>
    <w:tbl>
      <w:tblPr>
        <w:tblStyle w:val="27"/>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4"/>
        <w:gridCol w:w="1482"/>
        <w:gridCol w:w="1269"/>
        <w:gridCol w:w="1387"/>
        <w:gridCol w:w="1453"/>
        <w:gridCol w:w="1453"/>
        <w:gridCol w:w="1453"/>
        <w:gridCol w:w="1453"/>
        <w:gridCol w:w="1453"/>
        <w:gridCol w:w="1453"/>
      </w:tblGrid>
      <w:tr w14:paraId="73A6A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76" w:type="pct"/>
            <w:vMerge w:val="restart"/>
            <w:tcBorders>
              <w:tl2br w:val="nil"/>
              <w:tr2bl w:val="nil"/>
            </w:tcBorders>
            <w:noWrap w:val="0"/>
            <w:vAlign w:val="center"/>
          </w:tcPr>
          <w:p w14:paraId="3688BD5F">
            <w:pPr>
              <w:keepNext w:val="0"/>
              <w:keepLines w:val="0"/>
              <w:pageBreakBefore w:val="0"/>
              <w:widowControl/>
              <w:kinsoku/>
              <w:wordWrap/>
              <w:overflowPunct/>
              <w:topLinePunct w:val="0"/>
              <w:autoSpaceDE/>
              <w:autoSpaceDN/>
              <w:bidi w:val="0"/>
              <w:adjustRightInd/>
              <w:snapToGrid/>
              <w:spacing w:line="240" w:lineRule="auto"/>
              <w:ind w:left="-240" w:leftChars="-100" w:right="-240" w:rightChars="-100" w:firstLine="0" w:firstLineChars="0"/>
              <w:jc w:val="center"/>
              <w:textAlignment w:val="auto"/>
              <w:rPr>
                <w:rFonts w:hint="default" w:eastAsia="宋体" w:cs="Times New Roman"/>
                <w:b/>
                <w:bCs/>
                <w:sz w:val="21"/>
                <w:szCs w:val="21"/>
                <w:vertAlign w:val="baseline"/>
                <w:lang w:val="en-US" w:eastAsia="zh-CN"/>
              </w:rPr>
            </w:pPr>
            <w:r>
              <w:rPr>
                <w:rFonts w:hint="eastAsia" w:cs="Times New Roman"/>
                <w:b/>
                <w:bCs/>
                <w:sz w:val="21"/>
                <w:szCs w:val="21"/>
                <w:vertAlign w:val="baseline"/>
                <w:lang w:val="en-US" w:eastAsia="zh-CN"/>
              </w:rPr>
              <w:t>采样日期</w:t>
            </w:r>
          </w:p>
        </w:tc>
        <w:tc>
          <w:tcPr>
            <w:tcW w:w="521" w:type="pct"/>
            <w:vMerge w:val="restart"/>
            <w:tcBorders>
              <w:tl2br w:val="nil"/>
              <w:tr2bl w:val="nil"/>
            </w:tcBorders>
            <w:noWrap w:val="0"/>
            <w:vAlign w:val="center"/>
          </w:tcPr>
          <w:p w14:paraId="0327B8A2">
            <w:pPr>
              <w:keepNext w:val="0"/>
              <w:keepLines w:val="0"/>
              <w:pageBreakBefore w:val="0"/>
              <w:widowControl/>
              <w:kinsoku/>
              <w:wordWrap/>
              <w:overflowPunct/>
              <w:topLinePunct w:val="0"/>
              <w:autoSpaceDE/>
              <w:autoSpaceDN/>
              <w:bidi w:val="0"/>
              <w:adjustRightInd/>
              <w:snapToGrid/>
              <w:spacing w:line="240" w:lineRule="auto"/>
              <w:ind w:left="-240" w:leftChars="-100" w:right="-240" w:rightChars="-100" w:firstLine="0" w:firstLineChars="0"/>
              <w:jc w:val="center"/>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采样点位</w:t>
            </w:r>
          </w:p>
        </w:tc>
        <w:tc>
          <w:tcPr>
            <w:tcW w:w="446" w:type="pct"/>
            <w:vMerge w:val="restart"/>
            <w:tcBorders>
              <w:tl2br w:val="nil"/>
              <w:tr2bl w:val="nil"/>
            </w:tcBorders>
            <w:noWrap w:val="0"/>
            <w:vAlign w:val="center"/>
          </w:tcPr>
          <w:p w14:paraId="418059E9">
            <w:pPr>
              <w:keepNext w:val="0"/>
              <w:keepLines w:val="0"/>
              <w:pageBreakBefore w:val="0"/>
              <w:widowControl/>
              <w:kinsoku/>
              <w:wordWrap/>
              <w:overflowPunct/>
              <w:topLinePunct w:val="0"/>
              <w:autoSpaceDE/>
              <w:autoSpaceDN/>
              <w:bidi w:val="0"/>
              <w:adjustRightInd/>
              <w:snapToGrid/>
              <w:spacing w:line="240" w:lineRule="auto"/>
              <w:ind w:left="-240" w:leftChars="-100" w:right="-240" w:rightChars="-100" w:firstLine="0" w:firstLineChars="0"/>
              <w:jc w:val="center"/>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采样频次</w:t>
            </w:r>
          </w:p>
        </w:tc>
        <w:tc>
          <w:tcPr>
            <w:tcW w:w="488" w:type="pct"/>
            <w:vMerge w:val="restart"/>
            <w:tcBorders>
              <w:tl2br w:val="nil"/>
              <w:tr2bl w:val="nil"/>
            </w:tcBorders>
            <w:noWrap w:val="0"/>
            <w:vAlign w:val="center"/>
          </w:tcPr>
          <w:p w14:paraId="2B13C815">
            <w:pPr>
              <w:keepNext w:val="0"/>
              <w:keepLines w:val="0"/>
              <w:pageBreakBefore w:val="0"/>
              <w:widowControl/>
              <w:kinsoku/>
              <w:wordWrap/>
              <w:overflowPunct/>
              <w:topLinePunct w:val="0"/>
              <w:autoSpaceDE/>
              <w:autoSpaceDN/>
              <w:bidi w:val="0"/>
              <w:adjustRightInd/>
              <w:snapToGrid/>
              <w:spacing w:line="240" w:lineRule="auto"/>
              <w:ind w:left="-240" w:leftChars="-100" w:right="-240" w:rightChars="-100" w:firstLine="0" w:firstLineChars="0"/>
              <w:jc w:val="center"/>
              <w:textAlignment w:val="auto"/>
              <w:rPr>
                <w:rFonts w:hint="eastAsia" w:cs="Times New Roman"/>
                <w:b/>
                <w:bCs/>
                <w:sz w:val="21"/>
                <w:szCs w:val="21"/>
                <w:vertAlign w:val="baseline"/>
                <w:lang w:val="en-US" w:eastAsia="zh-CN"/>
              </w:rPr>
            </w:pPr>
            <w:r>
              <w:rPr>
                <w:rFonts w:hint="eastAsia" w:cs="Times New Roman"/>
                <w:b/>
                <w:bCs/>
                <w:sz w:val="21"/>
                <w:szCs w:val="21"/>
                <w:vertAlign w:val="baseline"/>
                <w:lang w:val="en-US" w:eastAsia="zh-CN"/>
              </w:rPr>
              <w:t>标干流量</w:t>
            </w:r>
          </w:p>
          <w:p w14:paraId="4C5E6598">
            <w:pPr>
              <w:keepNext w:val="0"/>
              <w:keepLines w:val="0"/>
              <w:pageBreakBefore w:val="0"/>
              <w:widowControl/>
              <w:kinsoku/>
              <w:wordWrap/>
              <w:overflowPunct/>
              <w:topLinePunct w:val="0"/>
              <w:autoSpaceDE/>
              <w:autoSpaceDN/>
              <w:bidi w:val="0"/>
              <w:adjustRightInd/>
              <w:snapToGrid/>
              <w:spacing w:line="240" w:lineRule="auto"/>
              <w:ind w:left="-240" w:leftChars="-100" w:right="-240" w:rightChars="-100" w:firstLine="0" w:firstLineChars="0"/>
              <w:jc w:val="center"/>
              <w:textAlignment w:val="auto"/>
              <w:rPr>
                <w:rFonts w:hint="eastAsia" w:ascii="宋体" w:hAnsi="宋体" w:eastAsia="宋体" w:cs="宋体"/>
                <w:b/>
                <w:bCs/>
                <w:sz w:val="21"/>
                <w:szCs w:val="21"/>
                <w:vertAlign w:val="baseline"/>
                <w:lang w:val="en-US" w:eastAsia="zh-CN"/>
              </w:rPr>
            </w:pPr>
            <w:r>
              <w:rPr>
                <w:rFonts w:hint="eastAsia" w:cs="Times New Roman"/>
                <w:b/>
                <w:bCs/>
                <w:sz w:val="21"/>
                <w:szCs w:val="21"/>
                <w:vertAlign w:val="baseline"/>
                <w:lang w:val="en-US" w:eastAsia="zh-CN"/>
              </w:rPr>
              <w:t>（Nm</w:t>
            </w:r>
            <w:r>
              <w:rPr>
                <w:rFonts w:hint="default" w:ascii="Times New Roman" w:hAnsi="Times New Roman" w:cs="Times New Roman"/>
                <w:b/>
                <w:bCs/>
                <w:sz w:val="21"/>
                <w:szCs w:val="21"/>
                <w:vertAlign w:val="baseline"/>
                <w:lang w:val="en-US" w:eastAsia="zh-CN"/>
              </w:rPr>
              <w:t>³</w:t>
            </w:r>
            <w:r>
              <w:rPr>
                <w:rFonts w:hint="eastAsia" w:cs="Times New Roman"/>
                <w:b/>
                <w:bCs/>
                <w:sz w:val="21"/>
                <w:szCs w:val="21"/>
                <w:vertAlign w:val="baseline"/>
                <w:lang w:val="en-US" w:eastAsia="zh-CN"/>
              </w:rPr>
              <w:t>/h）</w:t>
            </w:r>
          </w:p>
        </w:tc>
        <w:tc>
          <w:tcPr>
            <w:tcW w:w="1022" w:type="pct"/>
            <w:gridSpan w:val="2"/>
            <w:tcBorders>
              <w:tl2br w:val="nil"/>
              <w:tr2bl w:val="nil"/>
            </w:tcBorders>
            <w:noWrap w:val="0"/>
            <w:vAlign w:val="center"/>
          </w:tcPr>
          <w:p w14:paraId="72B85CB7">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auto"/>
              <w:rPr>
                <w:rFonts w:hint="default" w:eastAsia="宋体" w:cs="Times New Roman"/>
                <w:b/>
                <w:bCs/>
                <w:sz w:val="21"/>
                <w:szCs w:val="21"/>
                <w:vertAlign w:val="baseline"/>
                <w:lang w:val="en-US" w:eastAsia="zh-CN"/>
              </w:rPr>
            </w:pPr>
            <w:r>
              <w:rPr>
                <w:rFonts w:hint="eastAsia" w:ascii="Times New Roman" w:hAnsi="Times New Roman" w:eastAsia="宋体" w:cs="Times New Roman"/>
                <w:b/>
                <w:bCs/>
                <w:color w:val="auto"/>
                <w:sz w:val="21"/>
                <w:szCs w:val="21"/>
                <w:highlight w:val="none"/>
                <w:lang w:val="en-US" w:eastAsia="zh-CN"/>
              </w:rPr>
              <w:t>氯化氢</w:t>
            </w:r>
          </w:p>
        </w:tc>
        <w:tc>
          <w:tcPr>
            <w:tcW w:w="1022" w:type="pct"/>
            <w:gridSpan w:val="2"/>
            <w:tcBorders>
              <w:tl2br w:val="nil"/>
              <w:tr2bl w:val="nil"/>
            </w:tcBorders>
            <w:noWrap w:val="0"/>
            <w:vAlign w:val="center"/>
          </w:tcPr>
          <w:p w14:paraId="00FC7084">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default" w:cs="Times New Roman"/>
                <w:b/>
                <w:bCs/>
                <w:sz w:val="21"/>
                <w:szCs w:val="21"/>
                <w:vertAlign w:val="baseline"/>
                <w:lang w:val="en-US" w:eastAsia="zh-CN"/>
              </w:rPr>
            </w:pPr>
            <w:r>
              <w:rPr>
                <w:rFonts w:hint="eastAsia" w:ascii="Times New Roman" w:hAnsi="Times New Roman" w:eastAsia="宋体" w:cs="Times New Roman"/>
                <w:b/>
                <w:bCs/>
                <w:sz w:val="21"/>
                <w:szCs w:val="21"/>
                <w:vertAlign w:val="baseline"/>
                <w:lang w:val="en-US" w:eastAsia="zh-CN"/>
              </w:rPr>
              <w:t>氮氧化物</w:t>
            </w:r>
          </w:p>
        </w:tc>
        <w:tc>
          <w:tcPr>
            <w:tcW w:w="1022" w:type="pct"/>
            <w:gridSpan w:val="2"/>
            <w:tcBorders>
              <w:tl2br w:val="nil"/>
              <w:tr2bl w:val="nil"/>
            </w:tcBorders>
            <w:noWrap w:val="0"/>
            <w:vAlign w:val="center"/>
          </w:tcPr>
          <w:p w14:paraId="02F566A4">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default" w:ascii="Times New Roman" w:hAnsi="Times New Roman" w:eastAsia="宋体" w:cs="Times New Roman"/>
                <w:b/>
                <w:bCs/>
                <w:sz w:val="21"/>
                <w:szCs w:val="21"/>
                <w:vertAlign w:val="baseline"/>
                <w:lang w:val="en-US" w:eastAsia="zh-CN"/>
              </w:rPr>
            </w:pPr>
            <w:r>
              <w:rPr>
                <w:rFonts w:hint="eastAsia" w:ascii="Times New Roman" w:hAnsi="Times New Roman" w:eastAsia="宋体" w:cs="Times New Roman"/>
                <w:b/>
                <w:bCs/>
                <w:sz w:val="21"/>
                <w:szCs w:val="21"/>
                <w:vertAlign w:val="baseline"/>
                <w:lang w:val="en-US" w:eastAsia="zh-CN"/>
              </w:rPr>
              <w:t>铬酸雾</w:t>
            </w:r>
          </w:p>
        </w:tc>
      </w:tr>
      <w:tr w14:paraId="2D1BA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76" w:type="pct"/>
            <w:vMerge w:val="continue"/>
            <w:tcBorders>
              <w:tl2br w:val="nil"/>
              <w:tr2bl w:val="nil"/>
            </w:tcBorders>
            <w:noWrap w:val="0"/>
            <w:vAlign w:val="center"/>
          </w:tcPr>
          <w:p w14:paraId="278A763E">
            <w:pPr>
              <w:adjustRightInd/>
              <w:snapToGrid/>
              <w:spacing w:line="240" w:lineRule="auto"/>
              <w:ind w:firstLine="0" w:firstLineChars="0"/>
              <w:jc w:val="center"/>
              <w:rPr>
                <w:rFonts w:cs="Times New Roman"/>
                <w:b/>
                <w:bCs/>
                <w:sz w:val="21"/>
                <w:szCs w:val="21"/>
              </w:rPr>
            </w:pPr>
          </w:p>
        </w:tc>
        <w:tc>
          <w:tcPr>
            <w:tcW w:w="521" w:type="pct"/>
            <w:vMerge w:val="continue"/>
            <w:tcBorders>
              <w:tl2br w:val="nil"/>
              <w:tr2bl w:val="nil"/>
            </w:tcBorders>
            <w:noWrap w:val="0"/>
            <w:vAlign w:val="center"/>
          </w:tcPr>
          <w:p w14:paraId="43C14859">
            <w:pPr>
              <w:adjustRightInd/>
              <w:snapToGrid/>
              <w:spacing w:line="240" w:lineRule="auto"/>
              <w:ind w:firstLine="0" w:firstLineChars="0"/>
              <w:jc w:val="center"/>
              <w:rPr>
                <w:rFonts w:cs="Times New Roman"/>
                <w:b/>
                <w:bCs/>
                <w:sz w:val="21"/>
                <w:szCs w:val="21"/>
              </w:rPr>
            </w:pPr>
          </w:p>
        </w:tc>
        <w:tc>
          <w:tcPr>
            <w:tcW w:w="446" w:type="pct"/>
            <w:vMerge w:val="continue"/>
            <w:tcBorders>
              <w:tl2br w:val="nil"/>
              <w:tr2bl w:val="nil"/>
            </w:tcBorders>
            <w:noWrap w:val="0"/>
            <w:vAlign w:val="center"/>
          </w:tcPr>
          <w:p w14:paraId="1916DD64">
            <w:pPr>
              <w:adjustRightInd/>
              <w:snapToGrid/>
              <w:spacing w:line="240" w:lineRule="auto"/>
              <w:ind w:firstLine="0" w:firstLineChars="0"/>
              <w:jc w:val="center"/>
              <w:rPr>
                <w:rFonts w:cs="Times New Roman"/>
                <w:b/>
                <w:bCs/>
                <w:sz w:val="21"/>
                <w:szCs w:val="21"/>
              </w:rPr>
            </w:pPr>
          </w:p>
        </w:tc>
        <w:tc>
          <w:tcPr>
            <w:tcW w:w="488" w:type="pct"/>
            <w:vMerge w:val="continue"/>
            <w:tcBorders>
              <w:tl2br w:val="nil"/>
              <w:tr2bl w:val="nil"/>
            </w:tcBorders>
            <w:noWrap w:val="0"/>
            <w:vAlign w:val="center"/>
          </w:tcPr>
          <w:p w14:paraId="1505D966">
            <w:pPr>
              <w:adjustRightInd/>
              <w:snapToGrid/>
              <w:spacing w:line="240" w:lineRule="auto"/>
              <w:ind w:firstLine="0" w:firstLineChars="0"/>
              <w:jc w:val="center"/>
              <w:rPr>
                <w:rFonts w:cs="Times New Roman"/>
                <w:b/>
                <w:bCs/>
                <w:sz w:val="21"/>
                <w:szCs w:val="21"/>
              </w:rPr>
            </w:pPr>
          </w:p>
        </w:tc>
        <w:tc>
          <w:tcPr>
            <w:tcW w:w="511" w:type="pct"/>
            <w:tcBorders>
              <w:tl2br w:val="nil"/>
              <w:tr2bl w:val="nil"/>
            </w:tcBorders>
            <w:noWrap w:val="0"/>
            <w:vAlign w:val="center"/>
          </w:tcPr>
          <w:p w14:paraId="67F980AD">
            <w:pPr>
              <w:adjustRightInd/>
              <w:snapToGrid/>
              <w:spacing w:line="240" w:lineRule="auto"/>
              <w:ind w:firstLine="0" w:firstLineChars="0"/>
              <w:jc w:val="center"/>
              <w:rPr>
                <w:rFonts w:hint="default" w:cs="Times New Roman"/>
                <w:b/>
                <w:bCs/>
                <w:sz w:val="21"/>
                <w:szCs w:val="21"/>
                <w:vertAlign w:val="baseline"/>
                <w:lang w:val="en-US" w:eastAsia="zh-CN"/>
              </w:rPr>
            </w:pPr>
            <w:r>
              <w:rPr>
                <w:rFonts w:hint="eastAsia" w:cs="Times New Roman"/>
                <w:b/>
                <w:bCs/>
                <w:sz w:val="21"/>
                <w:szCs w:val="21"/>
                <w:vertAlign w:val="baseline"/>
                <w:lang w:val="en-US" w:eastAsia="zh-CN"/>
              </w:rPr>
              <w:t>排放浓度</w:t>
            </w:r>
            <w:r>
              <w:rPr>
                <w:rFonts w:hint="default" w:ascii="Times New Roman" w:hAnsi="Times New Roman" w:cs="Times New Roman"/>
                <w:b/>
                <w:bCs/>
                <w:sz w:val="21"/>
                <w:szCs w:val="21"/>
                <w:vertAlign w:val="baseline"/>
                <w:lang w:val="en-US" w:eastAsia="zh-CN"/>
              </w:rPr>
              <w:t>（mg/m</w:t>
            </w:r>
            <w:r>
              <w:rPr>
                <w:rFonts w:hint="default" w:ascii="Times New Roman" w:hAnsi="Times New Roman" w:eastAsia="宋体" w:cs="Times New Roman"/>
                <w:b/>
                <w:bCs/>
                <w:sz w:val="21"/>
                <w:szCs w:val="21"/>
                <w:vertAlign w:val="superscript"/>
                <w:lang w:val="en-US" w:eastAsia="zh-CN" w:bidi="ar"/>
              </w:rPr>
              <w:t>3</w:t>
            </w:r>
            <w:r>
              <w:rPr>
                <w:rFonts w:hint="default" w:ascii="Times New Roman" w:hAnsi="Times New Roman" w:cs="Times New Roman"/>
                <w:b/>
                <w:bCs/>
                <w:sz w:val="21"/>
                <w:szCs w:val="21"/>
                <w:vertAlign w:val="baseline"/>
                <w:lang w:val="en-US" w:eastAsia="zh-CN"/>
              </w:rPr>
              <w:t>）</w:t>
            </w:r>
          </w:p>
        </w:tc>
        <w:tc>
          <w:tcPr>
            <w:tcW w:w="511" w:type="pct"/>
            <w:tcBorders>
              <w:tl2br w:val="nil"/>
              <w:tr2bl w:val="nil"/>
            </w:tcBorders>
            <w:noWrap w:val="0"/>
            <w:vAlign w:val="center"/>
          </w:tcPr>
          <w:p w14:paraId="35B35675">
            <w:pPr>
              <w:adjustRightInd/>
              <w:snapToGrid/>
              <w:spacing w:line="240" w:lineRule="auto"/>
              <w:ind w:firstLine="0" w:firstLineChars="0"/>
              <w:jc w:val="center"/>
              <w:rPr>
                <w:rFonts w:hint="eastAsia" w:ascii="Times New Roman" w:hAnsi="Times New Roman" w:cs="Times New Roman"/>
                <w:b/>
                <w:bCs/>
                <w:sz w:val="21"/>
                <w:szCs w:val="21"/>
                <w:vertAlign w:val="baseline"/>
                <w:lang w:val="en-US" w:eastAsia="zh-CN"/>
              </w:rPr>
            </w:pPr>
            <w:r>
              <w:rPr>
                <w:rFonts w:hint="eastAsia" w:ascii="Times New Roman" w:hAnsi="Times New Roman" w:cs="Times New Roman"/>
                <w:b/>
                <w:bCs/>
                <w:sz w:val="21"/>
                <w:szCs w:val="21"/>
                <w:vertAlign w:val="baseline"/>
                <w:lang w:val="en-US" w:eastAsia="zh-CN"/>
              </w:rPr>
              <w:t>排放速率</w:t>
            </w:r>
          </w:p>
          <w:p w14:paraId="5D4D32A9">
            <w:pPr>
              <w:adjustRightInd/>
              <w:snapToGrid/>
              <w:spacing w:line="240" w:lineRule="auto"/>
              <w:ind w:firstLine="0" w:firstLineChars="0"/>
              <w:jc w:val="center"/>
              <w:rPr>
                <w:rFonts w:hint="eastAsia" w:cs="Times New Roman"/>
                <w:b/>
                <w:bCs/>
                <w:sz w:val="21"/>
                <w:szCs w:val="21"/>
                <w:vertAlign w:val="baseline"/>
                <w:lang w:val="en-US" w:eastAsia="zh-CN"/>
              </w:rPr>
            </w:pPr>
            <w:r>
              <w:rPr>
                <w:rFonts w:hint="default" w:ascii="Times New Roman" w:hAnsi="Times New Roman" w:cs="Times New Roman"/>
                <w:b/>
                <w:bCs/>
                <w:sz w:val="21"/>
                <w:szCs w:val="21"/>
                <w:vertAlign w:val="baseline"/>
                <w:lang w:val="en-US" w:eastAsia="zh-CN"/>
              </w:rPr>
              <w:t>（</w:t>
            </w:r>
            <w:r>
              <w:rPr>
                <w:rFonts w:hint="eastAsia" w:ascii="Times New Roman" w:hAnsi="Times New Roman" w:cs="Times New Roman"/>
                <w:b/>
                <w:bCs/>
                <w:sz w:val="21"/>
                <w:szCs w:val="21"/>
                <w:vertAlign w:val="baseline"/>
                <w:lang w:val="en-US" w:eastAsia="zh-CN"/>
              </w:rPr>
              <w:t>kg</w:t>
            </w:r>
            <w:r>
              <w:rPr>
                <w:rFonts w:hint="default" w:ascii="Times New Roman" w:hAnsi="Times New Roman" w:cs="Times New Roman"/>
                <w:b/>
                <w:bCs/>
                <w:sz w:val="21"/>
                <w:szCs w:val="21"/>
                <w:vertAlign w:val="baseline"/>
                <w:lang w:val="en-US" w:eastAsia="zh-CN"/>
              </w:rPr>
              <w:t>/</w:t>
            </w:r>
            <w:r>
              <w:rPr>
                <w:rFonts w:hint="eastAsia" w:ascii="Times New Roman" w:hAnsi="Times New Roman" w:cs="Times New Roman"/>
                <w:b/>
                <w:bCs/>
                <w:sz w:val="21"/>
                <w:szCs w:val="21"/>
                <w:vertAlign w:val="baseline"/>
                <w:lang w:val="en-US" w:eastAsia="zh-CN"/>
              </w:rPr>
              <w:t>h</w:t>
            </w:r>
            <w:r>
              <w:rPr>
                <w:rFonts w:hint="default" w:ascii="Times New Roman" w:hAnsi="Times New Roman" w:cs="Times New Roman"/>
                <w:b/>
                <w:bCs/>
                <w:sz w:val="21"/>
                <w:szCs w:val="21"/>
                <w:vertAlign w:val="baseline"/>
                <w:lang w:val="en-US" w:eastAsia="zh-CN"/>
              </w:rPr>
              <w:t>）</w:t>
            </w:r>
          </w:p>
        </w:tc>
        <w:tc>
          <w:tcPr>
            <w:tcW w:w="511" w:type="pct"/>
            <w:tcBorders>
              <w:tl2br w:val="nil"/>
              <w:tr2bl w:val="nil"/>
            </w:tcBorders>
            <w:noWrap w:val="0"/>
            <w:vAlign w:val="center"/>
          </w:tcPr>
          <w:p w14:paraId="5B6AC272">
            <w:pPr>
              <w:adjustRightInd/>
              <w:snapToGrid/>
              <w:spacing w:line="240" w:lineRule="auto"/>
              <w:ind w:firstLine="0" w:firstLineChars="0"/>
              <w:jc w:val="center"/>
              <w:rPr>
                <w:rFonts w:hint="default" w:ascii="Times New Roman" w:hAnsi="Times New Roman" w:cs="Times New Roman"/>
                <w:b/>
                <w:bCs/>
                <w:sz w:val="21"/>
                <w:szCs w:val="21"/>
                <w:vertAlign w:val="baseline"/>
                <w:lang w:val="en-US" w:eastAsia="zh-CN"/>
              </w:rPr>
            </w:pPr>
            <w:r>
              <w:rPr>
                <w:rFonts w:hint="eastAsia" w:cs="Times New Roman"/>
                <w:b/>
                <w:bCs/>
                <w:sz w:val="21"/>
                <w:szCs w:val="21"/>
                <w:vertAlign w:val="baseline"/>
                <w:lang w:val="en-US" w:eastAsia="zh-CN"/>
              </w:rPr>
              <w:t>排放浓度</w:t>
            </w:r>
            <w:r>
              <w:rPr>
                <w:rFonts w:hint="default" w:ascii="Times New Roman" w:hAnsi="Times New Roman" w:cs="Times New Roman"/>
                <w:b/>
                <w:bCs/>
                <w:sz w:val="21"/>
                <w:szCs w:val="21"/>
                <w:vertAlign w:val="baseline"/>
                <w:lang w:val="en-US" w:eastAsia="zh-CN"/>
              </w:rPr>
              <w:t>（mg/m</w:t>
            </w:r>
            <w:r>
              <w:rPr>
                <w:rFonts w:hint="default" w:ascii="Times New Roman" w:hAnsi="Times New Roman" w:eastAsia="宋体" w:cs="Times New Roman"/>
                <w:b/>
                <w:bCs/>
                <w:sz w:val="21"/>
                <w:szCs w:val="21"/>
                <w:vertAlign w:val="superscript"/>
                <w:lang w:val="en-US" w:eastAsia="zh-CN" w:bidi="ar"/>
              </w:rPr>
              <w:t>3</w:t>
            </w:r>
            <w:r>
              <w:rPr>
                <w:rFonts w:hint="default" w:ascii="Times New Roman" w:hAnsi="Times New Roman" w:cs="Times New Roman"/>
                <w:b/>
                <w:bCs/>
                <w:sz w:val="21"/>
                <w:szCs w:val="21"/>
                <w:vertAlign w:val="baseline"/>
                <w:lang w:val="en-US" w:eastAsia="zh-CN"/>
              </w:rPr>
              <w:t>）</w:t>
            </w:r>
          </w:p>
        </w:tc>
        <w:tc>
          <w:tcPr>
            <w:tcW w:w="511" w:type="pct"/>
            <w:tcBorders>
              <w:tl2br w:val="nil"/>
              <w:tr2bl w:val="nil"/>
            </w:tcBorders>
            <w:noWrap w:val="0"/>
            <w:vAlign w:val="center"/>
          </w:tcPr>
          <w:p w14:paraId="6BD3136C">
            <w:pPr>
              <w:adjustRightInd/>
              <w:snapToGrid/>
              <w:spacing w:line="240" w:lineRule="auto"/>
              <w:ind w:firstLine="0" w:firstLineChars="0"/>
              <w:jc w:val="center"/>
              <w:rPr>
                <w:rFonts w:hint="eastAsia" w:ascii="Times New Roman" w:hAnsi="Times New Roman" w:cs="Times New Roman"/>
                <w:b/>
                <w:bCs/>
                <w:sz w:val="21"/>
                <w:szCs w:val="21"/>
                <w:vertAlign w:val="baseline"/>
                <w:lang w:val="en-US" w:eastAsia="zh-CN"/>
              </w:rPr>
            </w:pPr>
            <w:r>
              <w:rPr>
                <w:rFonts w:hint="eastAsia" w:ascii="Times New Roman" w:hAnsi="Times New Roman" w:cs="Times New Roman"/>
                <w:b/>
                <w:bCs/>
                <w:sz w:val="21"/>
                <w:szCs w:val="21"/>
                <w:vertAlign w:val="baseline"/>
                <w:lang w:val="en-US" w:eastAsia="zh-CN"/>
              </w:rPr>
              <w:t>排放速率</w:t>
            </w:r>
          </w:p>
          <w:p w14:paraId="10B449D7">
            <w:pPr>
              <w:adjustRightInd/>
              <w:snapToGrid/>
              <w:spacing w:line="240" w:lineRule="auto"/>
              <w:ind w:firstLine="0" w:firstLineChars="0"/>
              <w:jc w:val="center"/>
              <w:rPr>
                <w:rFonts w:hint="default" w:ascii="Times New Roman" w:hAnsi="Times New Roman" w:cs="Times New Roman"/>
                <w:b/>
                <w:bCs/>
                <w:sz w:val="21"/>
                <w:szCs w:val="21"/>
                <w:vertAlign w:val="baseline"/>
                <w:lang w:val="en-US" w:eastAsia="zh-CN"/>
              </w:rPr>
            </w:pPr>
            <w:r>
              <w:rPr>
                <w:rFonts w:hint="default" w:ascii="Times New Roman" w:hAnsi="Times New Roman" w:cs="Times New Roman"/>
                <w:b/>
                <w:bCs/>
                <w:sz w:val="21"/>
                <w:szCs w:val="21"/>
                <w:vertAlign w:val="baseline"/>
                <w:lang w:val="en-US" w:eastAsia="zh-CN"/>
              </w:rPr>
              <w:t>（</w:t>
            </w:r>
            <w:r>
              <w:rPr>
                <w:rFonts w:hint="eastAsia" w:ascii="Times New Roman" w:hAnsi="Times New Roman" w:cs="Times New Roman"/>
                <w:b/>
                <w:bCs/>
                <w:sz w:val="21"/>
                <w:szCs w:val="21"/>
                <w:vertAlign w:val="baseline"/>
                <w:lang w:val="en-US" w:eastAsia="zh-CN"/>
              </w:rPr>
              <w:t>kg</w:t>
            </w:r>
            <w:r>
              <w:rPr>
                <w:rFonts w:hint="default" w:ascii="Times New Roman" w:hAnsi="Times New Roman" w:cs="Times New Roman"/>
                <w:b/>
                <w:bCs/>
                <w:sz w:val="21"/>
                <w:szCs w:val="21"/>
                <w:vertAlign w:val="baseline"/>
                <w:lang w:val="en-US" w:eastAsia="zh-CN"/>
              </w:rPr>
              <w:t>/</w:t>
            </w:r>
            <w:r>
              <w:rPr>
                <w:rFonts w:hint="eastAsia" w:ascii="Times New Roman" w:hAnsi="Times New Roman" w:cs="Times New Roman"/>
                <w:b/>
                <w:bCs/>
                <w:sz w:val="21"/>
                <w:szCs w:val="21"/>
                <w:vertAlign w:val="baseline"/>
                <w:lang w:val="en-US" w:eastAsia="zh-CN"/>
              </w:rPr>
              <w:t>h</w:t>
            </w:r>
            <w:r>
              <w:rPr>
                <w:rFonts w:hint="default" w:ascii="Times New Roman" w:hAnsi="Times New Roman" w:cs="Times New Roman"/>
                <w:b/>
                <w:bCs/>
                <w:sz w:val="21"/>
                <w:szCs w:val="21"/>
                <w:vertAlign w:val="baseline"/>
                <w:lang w:val="en-US" w:eastAsia="zh-CN"/>
              </w:rPr>
              <w:t>）</w:t>
            </w:r>
          </w:p>
        </w:tc>
        <w:tc>
          <w:tcPr>
            <w:tcW w:w="511" w:type="pct"/>
            <w:tcBorders>
              <w:tl2br w:val="nil"/>
              <w:tr2bl w:val="nil"/>
            </w:tcBorders>
            <w:noWrap w:val="0"/>
            <w:vAlign w:val="center"/>
          </w:tcPr>
          <w:p w14:paraId="7B29DE73">
            <w:pPr>
              <w:adjustRightInd/>
              <w:snapToGrid/>
              <w:spacing w:line="240" w:lineRule="auto"/>
              <w:ind w:firstLine="0" w:firstLineChars="0"/>
              <w:jc w:val="center"/>
              <w:rPr>
                <w:rFonts w:hint="default" w:ascii="Times New Roman" w:hAnsi="Times New Roman" w:cs="Times New Roman"/>
                <w:b/>
                <w:bCs/>
                <w:sz w:val="21"/>
                <w:szCs w:val="21"/>
                <w:vertAlign w:val="baseline"/>
                <w:lang w:val="en-US" w:eastAsia="zh-CN"/>
              </w:rPr>
            </w:pPr>
            <w:r>
              <w:rPr>
                <w:rFonts w:hint="eastAsia" w:cs="Times New Roman"/>
                <w:b/>
                <w:bCs/>
                <w:sz w:val="21"/>
                <w:szCs w:val="21"/>
                <w:vertAlign w:val="baseline"/>
                <w:lang w:val="en-US" w:eastAsia="zh-CN"/>
              </w:rPr>
              <w:t>排放浓度</w:t>
            </w:r>
            <w:r>
              <w:rPr>
                <w:rFonts w:hint="default" w:ascii="Times New Roman" w:hAnsi="Times New Roman" w:cs="Times New Roman"/>
                <w:b/>
                <w:bCs/>
                <w:sz w:val="21"/>
                <w:szCs w:val="21"/>
                <w:vertAlign w:val="baseline"/>
                <w:lang w:val="en-US" w:eastAsia="zh-CN"/>
              </w:rPr>
              <w:t>（mg/m</w:t>
            </w:r>
            <w:r>
              <w:rPr>
                <w:rFonts w:hint="default" w:ascii="Times New Roman" w:hAnsi="Times New Roman" w:eastAsia="宋体" w:cs="Times New Roman"/>
                <w:b/>
                <w:bCs/>
                <w:sz w:val="21"/>
                <w:szCs w:val="21"/>
                <w:vertAlign w:val="superscript"/>
                <w:lang w:val="en-US" w:eastAsia="zh-CN" w:bidi="ar"/>
              </w:rPr>
              <w:t>3</w:t>
            </w:r>
            <w:r>
              <w:rPr>
                <w:rFonts w:hint="default" w:ascii="Times New Roman" w:hAnsi="Times New Roman" w:cs="Times New Roman"/>
                <w:b/>
                <w:bCs/>
                <w:sz w:val="21"/>
                <w:szCs w:val="21"/>
                <w:vertAlign w:val="baseline"/>
                <w:lang w:val="en-US" w:eastAsia="zh-CN"/>
              </w:rPr>
              <w:t>）</w:t>
            </w:r>
          </w:p>
        </w:tc>
        <w:tc>
          <w:tcPr>
            <w:tcW w:w="511" w:type="pct"/>
            <w:tcBorders>
              <w:tl2br w:val="nil"/>
              <w:tr2bl w:val="nil"/>
            </w:tcBorders>
            <w:noWrap w:val="0"/>
            <w:vAlign w:val="center"/>
          </w:tcPr>
          <w:p w14:paraId="2DF04817">
            <w:pPr>
              <w:adjustRightInd/>
              <w:snapToGrid/>
              <w:spacing w:line="240" w:lineRule="auto"/>
              <w:ind w:firstLine="0" w:firstLineChars="0"/>
              <w:jc w:val="center"/>
              <w:rPr>
                <w:rFonts w:hint="eastAsia" w:ascii="Times New Roman" w:hAnsi="Times New Roman" w:cs="Times New Roman"/>
                <w:b/>
                <w:bCs/>
                <w:sz w:val="21"/>
                <w:szCs w:val="21"/>
                <w:vertAlign w:val="baseline"/>
                <w:lang w:val="en-US" w:eastAsia="zh-CN"/>
              </w:rPr>
            </w:pPr>
            <w:r>
              <w:rPr>
                <w:rFonts w:hint="eastAsia" w:ascii="Times New Roman" w:hAnsi="Times New Roman" w:cs="Times New Roman"/>
                <w:b/>
                <w:bCs/>
                <w:sz w:val="21"/>
                <w:szCs w:val="21"/>
                <w:vertAlign w:val="baseline"/>
                <w:lang w:val="en-US" w:eastAsia="zh-CN"/>
              </w:rPr>
              <w:t>排放速率</w:t>
            </w:r>
          </w:p>
          <w:p w14:paraId="5D4B0042">
            <w:pPr>
              <w:adjustRightInd/>
              <w:snapToGrid/>
              <w:spacing w:line="240" w:lineRule="auto"/>
              <w:ind w:firstLine="0" w:firstLineChars="0"/>
              <w:jc w:val="center"/>
              <w:rPr>
                <w:rFonts w:hint="default" w:ascii="Times New Roman" w:hAnsi="Times New Roman" w:cs="Times New Roman"/>
                <w:b/>
                <w:bCs/>
                <w:sz w:val="21"/>
                <w:szCs w:val="21"/>
                <w:vertAlign w:val="baseline"/>
                <w:lang w:val="en-US" w:eastAsia="zh-CN"/>
              </w:rPr>
            </w:pPr>
            <w:r>
              <w:rPr>
                <w:rFonts w:hint="default" w:ascii="Times New Roman" w:hAnsi="Times New Roman" w:cs="Times New Roman"/>
                <w:b/>
                <w:bCs/>
                <w:sz w:val="21"/>
                <w:szCs w:val="21"/>
                <w:vertAlign w:val="baseline"/>
                <w:lang w:val="en-US" w:eastAsia="zh-CN"/>
              </w:rPr>
              <w:t>（</w:t>
            </w:r>
            <w:r>
              <w:rPr>
                <w:rFonts w:hint="eastAsia" w:ascii="Times New Roman" w:hAnsi="Times New Roman" w:cs="Times New Roman"/>
                <w:b/>
                <w:bCs/>
                <w:sz w:val="21"/>
                <w:szCs w:val="21"/>
                <w:vertAlign w:val="baseline"/>
                <w:lang w:val="en-US" w:eastAsia="zh-CN"/>
              </w:rPr>
              <w:t>kg</w:t>
            </w:r>
            <w:r>
              <w:rPr>
                <w:rFonts w:hint="default" w:ascii="Times New Roman" w:hAnsi="Times New Roman" w:cs="Times New Roman"/>
                <w:b/>
                <w:bCs/>
                <w:sz w:val="21"/>
                <w:szCs w:val="21"/>
                <w:vertAlign w:val="baseline"/>
                <w:lang w:val="en-US" w:eastAsia="zh-CN"/>
              </w:rPr>
              <w:t>/</w:t>
            </w:r>
            <w:r>
              <w:rPr>
                <w:rFonts w:hint="eastAsia" w:ascii="Times New Roman" w:hAnsi="Times New Roman" w:cs="Times New Roman"/>
                <w:b/>
                <w:bCs/>
                <w:sz w:val="21"/>
                <w:szCs w:val="21"/>
                <w:vertAlign w:val="baseline"/>
                <w:lang w:val="en-US" w:eastAsia="zh-CN"/>
              </w:rPr>
              <w:t>h</w:t>
            </w:r>
            <w:r>
              <w:rPr>
                <w:rFonts w:hint="default" w:ascii="Times New Roman" w:hAnsi="Times New Roman" w:cs="Times New Roman"/>
                <w:b/>
                <w:bCs/>
                <w:sz w:val="21"/>
                <w:szCs w:val="21"/>
                <w:vertAlign w:val="baseline"/>
                <w:lang w:val="en-US" w:eastAsia="zh-CN"/>
              </w:rPr>
              <w:t>）</w:t>
            </w:r>
          </w:p>
        </w:tc>
      </w:tr>
      <w:tr w14:paraId="59418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76" w:type="pct"/>
            <w:vMerge w:val="restart"/>
            <w:tcBorders>
              <w:tl2br w:val="nil"/>
              <w:tr2bl w:val="nil"/>
            </w:tcBorders>
            <w:noWrap w:val="0"/>
            <w:vAlign w:val="center"/>
          </w:tcPr>
          <w:p w14:paraId="0DD0EE02">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2026.05.07</w:t>
            </w:r>
          </w:p>
        </w:tc>
        <w:tc>
          <w:tcPr>
            <w:tcW w:w="521" w:type="pct"/>
            <w:vMerge w:val="restart"/>
            <w:tcBorders>
              <w:tl2br w:val="nil"/>
              <w:tr2bl w:val="nil"/>
            </w:tcBorders>
            <w:noWrap w:val="0"/>
            <w:vAlign w:val="center"/>
          </w:tcPr>
          <w:p w14:paraId="1C2CF7A4">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DA006汽车配件挂镀锌线废气处理设施进口</w:t>
            </w:r>
          </w:p>
        </w:tc>
        <w:tc>
          <w:tcPr>
            <w:tcW w:w="446" w:type="pct"/>
            <w:tcBorders>
              <w:tl2br w:val="nil"/>
              <w:tr2bl w:val="nil"/>
            </w:tcBorders>
            <w:noWrap w:val="0"/>
            <w:vAlign w:val="center"/>
          </w:tcPr>
          <w:p w14:paraId="3C64F82C">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w:t>
            </w:r>
          </w:p>
        </w:tc>
        <w:tc>
          <w:tcPr>
            <w:tcW w:w="488" w:type="pct"/>
            <w:tcBorders>
              <w:tl2br w:val="nil"/>
              <w:tr2bl w:val="nil"/>
            </w:tcBorders>
            <w:noWrap w:val="0"/>
            <w:vAlign w:val="center"/>
          </w:tcPr>
          <w:p w14:paraId="75E56AFF">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1.51</w:t>
            </w:r>
            <w:r>
              <w:rPr>
                <w:rFonts w:hint="default" w:ascii="Times New Roman" w:hAnsi="Times New Roman" w:eastAsia="宋体" w:cs="Times New Roman"/>
                <w:i w:val="0"/>
                <w:iCs w:val="0"/>
                <w:color w:val="auto"/>
                <w:kern w:val="0"/>
                <w:sz w:val="21"/>
                <w:szCs w:val="21"/>
                <w:u w:val="none"/>
                <w:lang w:val="en-US" w:eastAsia="zh-CN" w:bidi="ar"/>
              </w:rPr>
              <w:t>×10</w:t>
            </w:r>
            <w:r>
              <w:rPr>
                <w:rFonts w:hint="eastAsia" w:ascii="Times New Roman" w:hAnsi="Times New Roman" w:eastAsia="宋体" w:cs="Times New Roman"/>
                <w:i w:val="0"/>
                <w:iCs w:val="0"/>
                <w:color w:val="auto"/>
                <w:kern w:val="0"/>
                <w:sz w:val="21"/>
                <w:szCs w:val="21"/>
                <w:u w:val="none"/>
                <w:vertAlign w:val="superscript"/>
                <w:lang w:val="en-US" w:eastAsia="zh-CN" w:bidi="ar"/>
              </w:rPr>
              <w:t>4</w:t>
            </w:r>
            <w:r>
              <w:rPr>
                <w:rFonts w:hint="eastAsia" w:ascii="Times New Roman" w:hAnsi="Times New Roman" w:eastAsia="宋体" w:cs="Times New Roman"/>
                <w:sz w:val="21"/>
                <w:szCs w:val="21"/>
                <w:vertAlign w:val="baseline"/>
                <w:lang w:val="en-US" w:eastAsia="zh-CN"/>
              </w:rPr>
              <w:t xml:space="preserve"> </w:t>
            </w:r>
          </w:p>
        </w:tc>
        <w:tc>
          <w:tcPr>
            <w:tcW w:w="511" w:type="pct"/>
            <w:tcBorders>
              <w:tl2br w:val="nil"/>
              <w:tr2bl w:val="nil"/>
            </w:tcBorders>
            <w:noWrap w:val="0"/>
            <w:vAlign w:val="center"/>
          </w:tcPr>
          <w:p w14:paraId="2340BC8F">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7.82</w:t>
            </w:r>
          </w:p>
        </w:tc>
        <w:tc>
          <w:tcPr>
            <w:tcW w:w="511" w:type="pct"/>
            <w:tcBorders>
              <w:tl2br w:val="nil"/>
              <w:tr2bl w:val="nil"/>
            </w:tcBorders>
            <w:noWrap w:val="0"/>
            <w:vAlign w:val="center"/>
          </w:tcPr>
          <w:p w14:paraId="5F738DE6">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0.118</w:t>
            </w:r>
          </w:p>
        </w:tc>
        <w:tc>
          <w:tcPr>
            <w:tcW w:w="511" w:type="pct"/>
            <w:tcBorders>
              <w:tl2br w:val="nil"/>
              <w:tr2bl w:val="nil"/>
            </w:tcBorders>
            <w:noWrap w:val="0"/>
            <w:vAlign w:val="center"/>
          </w:tcPr>
          <w:p w14:paraId="5F4C9AAA">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highlight w:val="none"/>
                <w:vertAlign w:val="baseline"/>
                <w:lang w:val="en-US" w:eastAsia="zh-CN"/>
              </w:rPr>
              <w:t>&lt;3</w:t>
            </w:r>
          </w:p>
        </w:tc>
        <w:tc>
          <w:tcPr>
            <w:tcW w:w="511" w:type="pct"/>
            <w:tcBorders>
              <w:tl2br w:val="nil"/>
              <w:tr2bl w:val="nil"/>
            </w:tcBorders>
            <w:noWrap w:val="0"/>
            <w:vAlign w:val="center"/>
          </w:tcPr>
          <w:p w14:paraId="4D203A85">
            <w:pPr>
              <w:adjustRightInd/>
              <w:snapToGrid/>
              <w:spacing w:line="240" w:lineRule="auto"/>
              <w:ind w:firstLine="0" w:firstLineChars="0"/>
              <w:jc w:val="center"/>
              <w:rPr>
                <w:rFonts w:hint="default" w:ascii="Times New Roman" w:hAnsi="Times New Roman" w:eastAsia="宋体" w:cs="Times New Roman"/>
                <w:strike w:val="0"/>
                <w:dstrike w:val="0"/>
                <w:color w:val="FF0000"/>
                <w:sz w:val="21"/>
                <w:szCs w:val="21"/>
                <w:highlight w:val="none"/>
                <w:vertAlign w:val="baseline"/>
                <w:lang w:val="en-US" w:eastAsia="zh-CN"/>
              </w:rPr>
            </w:pPr>
            <w:r>
              <w:rPr>
                <w:rFonts w:hint="eastAsia" w:cs="Times New Roman"/>
                <w:strike w:val="0"/>
                <w:dstrike w:val="0"/>
                <w:color w:val="FF0000"/>
                <w:sz w:val="21"/>
                <w:szCs w:val="21"/>
                <w:highlight w:val="none"/>
                <w:vertAlign w:val="baseline"/>
                <w:lang w:val="en-US" w:eastAsia="zh-CN"/>
              </w:rPr>
              <w:t>/</w:t>
            </w:r>
          </w:p>
        </w:tc>
        <w:tc>
          <w:tcPr>
            <w:tcW w:w="511" w:type="pct"/>
            <w:tcBorders>
              <w:tl2br w:val="nil"/>
              <w:tr2bl w:val="nil"/>
            </w:tcBorders>
            <w:noWrap w:val="0"/>
            <w:vAlign w:val="center"/>
          </w:tcPr>
          <w:p w14:paraId="32063076">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highlight w:val="none"/>
                <w:vertAlign w:val="baseline"/>
                <w:lang w:val="en-US" w:eastAsia="zh-CN"/>
              </w:rPr>
              <w:t>&lt;</w:t>
            </w:r>
            <w:r>
              <w:rPr>
                <w:rFonts w:hint="eastAsia" w:ascii="Times New Roman" w:hAnsi="Times New Roman" w:eastAsia="宋体" w:cs="Times New Roman"/>
                <w:color w:val="auto"/>
                <w:sz w:val="21"/>
                <w:szCs w:val="21"/>
                <w:lang w:val="en-US" w:eastAsia="zh-CN"/>
              </w:rPr>
              <w:t>5</w:t>
            </w:r>
            <w:r>
              <w:rPr>
                <w:rFonts w:hint="default" w:ascii="Times New Roman" w:hAnsi="Times New Roman" w:eastAsia="宋体"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-3</w:t>
            </w:r>
          </w:p>
        </w:tc>
        <w:tc>
          <w:tcPr>
            <w:tcW w:w="511" w:type="pct"/>
            <w:tcBorders>
              <w:tl2br w:val="nil"/>
              <w:tr2bl w:val="nil"/>
            </w:tcBorders>
            <w:noWrap w:val="0"/>
            <w:vAlign w:val="center"/>
          </w:tcPr>
          <w:p w14:paraId="4B98CA23">
            <w:pPr>
              <w:adjustRightInd/>
              <w:snapToGrid/>
              <w:spacing w:line="240" w:lineRule="auto"/>
              <w:ind w:firstLine="0" w:firstLineChars="0"/>
              <w:jc w:val="center"/>
              <w:rPr>
                <w:rFonts w:hint="eastAsia" w:ascii="Times New Roman" w:hAnsi="Times New Roman" w:eastAsia="宋体" w:cs="Times New Roman"/>
                <w:strike w:val="0"/>
                <w:dstrike w:val="0"/>
                <w:color w:val="FF0000"/>
                <w:sz w:val="21"/>
                <w:szCs w:val="21"/>
                <w:highlight w:val="none"/>
                <w:vertAlign w:val="baseline"/>
                <w:lang w:val="en-US" w:eastAsia="zh-CN"/>
              </w:rPr>
            </w:pPr>
            <w:r>
              <w:rPr>
                <w:rFonts w:hint="eastAsia" w:cs="Times New Roman"/>
                <w:strike w:val="0"/>
                <w:dstrike w:val="0"/>
                <w:color w:val="FF0000"/>
                <w:sz w:val="21"/>
                <w:szCs w:val="21"/>
                <w:highlight w:val="none"/>
                <w:vertAlign w:val="baseline"/>
                <w:lang w:val="en-US" w:eastAsia="zh-CN"/>
              </w:rPr>
              <w:t>/</w:t>
            </w:r>
          </w:p>
        </w:tc>
      </w:tr>
      <w:tr w14:paraId="7DCD7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76" w:type="pct"/>
            <w:vMerge w:val="continue"/>
            <w:tcBorders>
              <w:tl2br w:val="nil"/>
              <w:tr2bl w:val="nil"/>
            </w:tcBorders>
            <w:noWrap w:val="0"/>
            <w:vAlign w:val="center"/>
          </w:tcPr>
          <w:p w14:paraId="4D5E68C5">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eastAsia" w:ascii="Times New Roman" w:hAnsi="Times New Roman" w:eastAsia="宋体" w:cs="Times New Roman"/>
                <w:sz w:val="21"/>
                <w:szCs w:val="21"/>
                <w:vertAlign w:val="baseline"/>
                <w:lang w:val="en-US" w:eastAsia="zh-CN"/>
              </w:rPr>
            </w:pPr>
          </w:p>
        </w:tc>
        <w:tc>
          <w:tcPr>
            <w:tcW w:w="521" w:type="pct"/>
            <w:vMerge w:val="continue"/>
            <w:tcBorders>
              <w:tl2br w:val="nil"/>
              <w:tr2bl w:val="nil"/>
            </w:tcBorders>
            <w:noWrap w:val="0"/>
            <w:vAlign w:val="center"/>
          </w:tcPr>
          <w:p w14:paraId="5813BBD5">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446" w:type="pct"/>
            <w:tcBorders>
              <w:tl2br w:val="nil"/>
              <w:tr2bl w:val="nil"/>
            </w:tcBorders>
            <w:noWrap w:val="0"/>
            <w:vAlign w:val="center"/>
          </w:tcPr>
          <w:p w14:paraId="44E4A295">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w:t>
            </w:r>
          </w:p>
        </w:tc>
        <w:tc>
          <w:tcPr>
            <w:tcW w:w="488" w:type="pct"/>
            <w:tcBorders>
              <w:tl2br w:val="nil"/>
              <w:tr2bl w:val="nil"/>
            </w:tcBorders>
            <w:noWrap w:val="0"/>
            <w:vAlign w:val="center"/>
          </w:tcPr>
          <w:p w14:paraId="1E2EC6CE">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1.50</w:t>
            </w:r>
            <w:r>
              <w:rPr>
                <w:rFonts w:hint="default" w:ascii="Times New Roman" w:hAnsi="Times New Roman" w:eastAsia="宋体" w:cs="Times New Roman"/>
                <w:i w:val="0"/>
                <w:iCs w:val="0"/>
                <w:color w:val="auto"/>
                <w:kern w:val="0"/>
                <w:sz w:val="21"/>
                <w:szCs w:val="21"/>
                <w:u w:val="none"/>
                <w:lang w:val="en-US" w:eastAsia="zh-CN" w:bidi="ar"/>
              </w:rPr>
              <w:t>×10</w:t>
            </w:r>
            <w:r>
              <w:rPr>
                <w:rFonts w:hint="eastAsia" w:ascii="Times New Roman" w:hAnsi="Times New Roman" w:eastAsia="宋体" w:cs="Times New Roman"/>
                <w:i w:val="0"/>
                <w:iCs w:val="0"/>
                <w:color w:val="auto"/>
                <w:kern w:val="0"/>
                <w:sz w:val="21"/>
                <w:szCs w:val="21"/>
                <w:u w:val="none"/>
                <w:vertAlign w:val="superscript"/>
                <w:lang w:val="en-US" w:eastAsia="zh-CN" w:bidi="ar"/>
              </w:rPr>
              <w:t>4</w:t>
            </w:r>
          </w:p>
        </w:tc>
        <w:tc>
          <w:tcPr>
            <w:tcW w:w="511" w:type="pct"/>
            <w:tcBorders>
              <w:tl2br w:val="nil"/>
              <w:tr2bl w:val="nil"/>
            </w:tcBorders>
            <w:noWrap w:val="0"/>
            <w:vAlign w:val="center"/>
          </w:tcPr>
          <w:p w14:paraId="6C37EC69">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7.59</w:t>
            </w:r>
          </w:p>
        </w:tc>
        <w:tc>
          <w:tcPr>
            <w:tcW w:w="511" w:type="pct"/>
            <w:tcBorders>
              <w:tl2br w:val="nil"/>
              <w:tr2bl w:val="nil"/>
            </w:tcBorders>
            <w:noWrap w:val="0"/>
            <w:vAlign w:val="center"/>
          </w:tcPr>
          <w:p w14:paraId="7D8E4FDE">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0.114 </w:t>
            </w:r>
          </w:p>
        </w:tc>
        <w:tc>
          <w:tcPr>
            <w:tcW w:w="511" w:type="pct"/>
            <w:tcBorders>
              <w:tl2br w:val="nil"/>
              <w:tr2bl w:val="nil"/>
            </w:tcBorders>
            <w:noWrap w:val="0"/>
            <w:vAlign w:val="center"/>
          </w:tcPr>
          <w:p w14:paraId="5CC2FD3F">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highlight w:val="none"/>
                <w:vertAlign w:val="baseline"/>
                <w:lang w:val="en-US" w:eastAsia="zh-CN"/>
              </w:rPr>
              <w:t>&lt;3</w:t>
            </w:r>
          </w:p>
        </w:tc>
        <w:tc>
          <w:tcPr>
            <w:tcW w:w="511" w:type="pct"/>
            <w:tcBorders>
              <w:tl2br w:val="nil"/>
              <w:tr2bl w:val="nil"/>
            </w:tcBorders>
            <w:noWrap w:val="0"/>
            <w:vAlign w:val="center"/>
          </w:tcPr>
          <w:p w14:paraId="5982CDA7">
            <w:pPr>
              <w:adjustRightInd/>
              <w:snapToGrid/>
              <w:spacing w:line="240" w:lineRule="auto"/>
              <w:ind w:firstLine="0" w:firstLineChars="0"/>
              <w:jc w:val="center"/>
              <w:rPr>
                <w:rFonts w:hint="default" w:ascii="Times New Roman" w:hAnsi="Times New Roman" w:eastAsia="宋体" w:cs="Times New Roman"/>
                <w:strike w:val="0"/>
                <w:dstrike w:val="0"/>
                <w:color w:val="FF0000"/>
                <w:sz w:val="21"/>
                <w:szCs w:val="21"/>
                <w:highlight w:val="none"/>
                <w:vertAlign w:val="baseline"/>
                <w:lang w:val="en-US" w:eastAsia="zh-CN"/>
              </w:rPr>
            </w:pPr>
            <w:r>
              <w:rPr>
                <w:rFonts w:hint="eastAsia" w:cs="Times New Roman"/>
                <w:strike w:val="0"/>
                <w:dstrike w:val="0"/>
                <w:color w:val="FF0000"/>
                <w:sz w:val="21"/>
                <w:szCs w:val="21"/>
                <w:highlight w:val="none"/>
                <w:vertAlign w:val="baseline"/>
                <w:lang w:val="en-US" w:eastAsia="zh-CN"/>
              </w:rPr>
              <w:t>/</w:t>
            </w:r>
          </w:p>
        </w:tc>
        <w:tc>
          <w:tcPr>
            <w:tcW w:w="511" w:type="pct"/>
            <w:tcBorders>
              <w:tl2br w:val="nil"/>
              <w:tr2bl w:val="nil"/>
            </w:tcBorders>
            <w:noWrap w:val="0"/>
            <w:vAlign w:val="center"/>
          </w:tcPr>
          <w:p w14:paraId="0A979C89">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highlight w:val="none"/>
                <w:vertAlign w:val="baseline"/>
                <w:lang w:val="en-US" w:eastAsia="zh-CN"/>
              </w:rPr>
              <w:t>&lt;</w:t>
            </w:r>
            <w:r>
              <w:rPr>
                <w:rFonts w:hint="eastAsia" w:ascii="Times New Roman" w:hAnsi="Times New Roman" w:eastAsia="宋体" w:cs="Times New Roman"/>
                <w:color w:val="auto"/>
                <w:sz w:val="21"/>
                <w:szCs w:val="21"/>
                <w:lang w:val="en-US" w:eastAsia="zh-CN"/>
              </w:rPr>
              <w:t>5</w:t>
            </w:r>
            <w:r>
              <w:rPr>
                <w:rFonts w:hint="default" w:ascii="Times New Roman" w:hAnsi="Times New Roman" w:eastAsia="宋体"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-3</w:t>
            </w:r>
          </w:p>
        </w:tc>
        <w:tc>
          <w:tcPr>
            <w:tcW w:w="511" w:type="pct"/>
            <w:tcBorders>
              <w:tl2br w:val="nil"/>
              <w:tr2bl w:val="nil"/>
            </w:tcBorders>
            <w:noWrap w:val="0"/>
            <w:vAlign w:val="center"/>
          </w:tcPr>
          <w:p w14:paraId="66E456B4">
            <w:pPr>
              <w:adjustRightInd/>
              <w:snapToGrid/>
              <w:spacing w:line="240" w:lineRule="auto"/>
              <w:ind w:firstLine="0" w:firstLineChars="0"/>
              <w:jc w:val="center"/>
              <w:rPr>
                <w:rFonts w:hint="eastAsia" w:ascii="Times New Roman" w:hAnsi="Times New Roman" w:eastAsia="宋体" w:cs="Times New Roman"/>
                <w:strike w:val="0"/>
                <w:dstrike w:val="0"/>
                <w:color w:val="FF0000"/>
                <w:sz w:val="21"/>
                <w:szCs w:val="21"/>
                <w:highlight w:val="none"/>
                <w:vertAlign w:val="baseline"/>
                <w:lang w:val="en-US" w:eastAsia="zh-CN"/>
              </w:rPr>
            </w:pPr>
            <w:r>
              <w:rPr>
                <w:rFonts w:hint="eastAsia" w:cs="Times New Roman"/>
                <w:strike w:val="0"/>
                <w:dstrike w:val="0"/>
                <w:color w:val="FF0000"/>
                <w:sz w:val="21"/>
                <w:szCs w:val="21"/>
                <w:highlight w:val="none"/>
                <w:vertAlign w:val="baseline"/>
                <w:lang w:val="en-US" w:eastAsia="zh-CN"/>
              </w:rPr>
              <w:t>/</w:t>
            </w:r>
          </w:p>
        </w:tc>
      </w:tr>
      <w:tr w14:paraId="1219B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76" w:type="pct"/>
            <w:vMerge w:val="continue"/>
            <w:tcBorders>
              <w:tl2br w:val="nil"/>
              <w:tr2bl w:val="nil"/>
            </w:tcBorders>
            <w:noWrap w:val="0"/>
            <w:vAlign w:val="center"/>
          </w:tcPr>
          <w:p w14:paraId="66BCCA7F">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eastAsia" w:ascii="Times New Roman" w:hAnsi="Times New Roman" w:eastAsia="宋体" w:cs="Times New Roman"/>
                <w:sz w:val="21"/>
                <w:szCs w:val="21"/>
                <w:vertAlign w:val="baseline"/>
                <w:lang w:val="en-US" w:eastAsia="zh-CN"/>
              </w:rPr>
            </w:pPr>
          </w:p>
        </w:tc>
        <w:tc>
          <w:tcPr>
            <w:tcW w:w="521" w:type="pct"/>
            <w:vMerge w:val="continue"/>
            <w:tcBorders>
              <w:tl2br w:val="nil"/>
              <w:tr2bl w:val="nil"/>
            </w:tcBorders>
            <w:noWrap w:val="0"/>
            <w:vAlign w:val="center"/>
          </w:tcPr>
          <w:p w14:paraId="69FFAD3F">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446" w:type="pct"/>
            <w:tcBorders>
              <w:tl2br w:val="nil"/>
              <w:tr2bl w:val="nil"/>
            </w:tcBorders>
            <w:noWrap w:val="0"/>
            <w:vAlign w:val="center"/>
          </w:tcPr>
          <w:p w14:paraId="50629C7B">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3</w:t>
            </w:r>
          </w:p>
        </w:tc>
        <w:tc>
          <w:tcPr>
            <w:tcW w:w="488" w:type="pct"/>
            <w:tcBorders>
              <w:tl2br w:val="nil"/>
              <w:tr2bl w:val="nil"/>
            </w:tcBorders>
            <w:noWrap w:val="0"/>
            <w:vAlign w:val="center"/>
          </w:tcPr>
          <w:p w14:paraId="574FAA73">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1.51</w:t>
            </w:r>
            <w:r>
              <w:rPr>
                <w:rFonts w:hint="default" w:ascii="Times New Roman" w:hAnsi="Times New Roman" w:eastAsia="宋体" w:cs="Times New Roman"/>
                <w:i w:val="0"/>
                <w:iCs w:val="0"/>
                <w:color w:val="auto"/>
                <w:kern w:val="0"/>
                <w:sz w:val="21"/>
                <w:szCs w:val="21"/>
                <w:u w:val="none"/>
                <w:lang w:val="en-US" w:eastAsia="zh-CN" w:bidi="ar"/>
              </w:rPr>
              <w:t>×10</w:t>
            </w:r>
            <w:r>
              <w:rPr>
                <w:rFonts w:hint="eastAsia" w:ascii="Times New Roman" w:hAnsi="Times New Roman" w:eastAsia="宋体" w:cs="Times New Roman"/>
                <w:i w:val="0"/>
                <w:iCs w:val="0"/>
                <w:color w:val="auto"/>
                <w:kern w:val="0"/>
                <w:sz w:val="21"/>
                <w:szCs w:val="21"/>
                <w:u w:val="none"/>
                <w:vertAlign w:val="superscript"/>
                <w:lang w:val="en-US" w:eastAsia="zh-CN" w:bidi="ar"/>
              </w:rPr>
              <w:t>4</w:t>
            </w:r>
            <w:r>
              <w:rPr>
                <w:rFonts w:hint="eastAsia" w:ascii="Times New Roman" w:hAnsi="Times New Roman" w:eastAsia="宋体" w:cs="Times New Roman"/>
                <w:sz w:val="21"/>
                <w:szCs w:val="21"/>
                <w:vertAlign w:val="baseline"/>
                <w:lang w:val="en-US" w:eastAsia="zh-CN"/>
              </w:rPr>
              <w:t xml:space="preserve"> </w:t>
            </w:r>
          </w:p>
        </w:tc>
        <w:tc>
          <w:tcPr>
            <w:tcW w:w="511" w:type="pct"/>
            <w:tcBorders>
              <w:tl2br w:val="nil"/>
              <w:tr2bl w:val="nil"/>
            </w:tcBorders>
            <w:noWrap w:val="0"/>
            <w:vAlign w:val="center"/>
          </w:tcPr>
          <w:p w14:paraId="6FFD73B7">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7.63</w:t>
            </w:r>
          </w:p>
        </w:tc>
        <w:tc>
          <w:tcPr>
            <w:tcW w:w="511" w:type="pct"/>
            <w:tcBorders>
              <w:tl2br w:val="nil"/>
              <w:tr2bl w:val="nil"/>
            </w:tcBorders>
            <w:noWrap w:val="0"/>
            <w:vAlign w:val="center"/>
          </w:tcPr>
          <w:p w14:paraId="031AFF89">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0.115 </w:t>
            </w:r>
          </w:p>
        </w:tc>
        <w:tc>
          <w:tcPr>
            <w:tcW w:w="511" w:type="pct"/>
            <w:tcBorders>
              <w:tl2br w:val="nil"/>
              <w:tr2bl w:val="nil"/>
            </w:tcBorders>
            <w:noWrap w:val="0"/>
            <w:vAlign w:val="center"/>
          </w:tcPr>
          <w:p w14:paraId="71CBCFE6">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highlight w:val="none"/>
                <w:vertAlign w:val="baseline"/>
                <w:lang w:val="en-US" w:eastAsia="zh-CN"/>
              </w:rPr>
              <w:t>&lt;3</w:t>
            </w:r>
          </w:p>
        </w:tc>
        <w:tc>
          <w:tcPr>
            <w:tcW w:w="511" w:type="pct"/>
            <w:tcBorders>
              <w:tl2br w:val="nil"/>
              <w:tr2bl w:val="nil"/>
            </w:tcBorders>
            <w:noWrap w:val="0"/>
            <w:vAlign w:val="center"/>
          </w:tcPr>
          <w:p w14:paraId="608E327A">
            <w:pPr>
              <w:adjustRightInd/>
              <w:snapToGrid/>
              <w:spacing w:line="240" w:lineRule="auto"/>
              <w:ind w:firstLine="0" w:firstLineChars="0"/>
              <w:jc w:val="center"/>
              <w:rPr>
                <w:rFonts w:hint="default" w:ascii="Times New Roman" w:hAnsi="Times New Roman" w:eastAsia="宋体" w:cs="Times New Roman"/>
                <w:strike w:val="0"/>
                <w:dstrike w:val="0"/>
                <w:color w:val="FF0000"/>
                <w:sz w:val="21"/>
                <w:szCs w:val="21"/>
                <w:highlight w:val="none"/>
                <w:vertAlign w:val="baseline"/>
                <w:lang w:val="en-US" w:eastAsia="zh-CN"/>
              </w:rPr>
            </w:pPr>
            <w:r>
              <w:rPr>
                <w:rFonts w:hint="eastAsia" w:cs="Times New Roman"/>
                <w:strike w:val="0"/>
                <w:dstrike w:val="0"/>
                <w:color w:val="FF0000"/>
                <w:sz w:val="21"/>
                <w:szCs w:val="21"/>
                <w:highlight w:val="none"/>
                <w:vertAlign w:val="baseline"/>
                <w:lang w:val="en-US" w:eastAsia="zh-CN"/>
              </w:rPr>
              <w:t>/</w:t>
            </w:r>
          </w:p>
        </w:tc>
        <w:tc>
          <w:tcPr>
            <w:tcW w:w="511" w:type="pct"/>
            <w:tcBorders>
              <w:tl2br w:val="nil"/>
              <w:tr2bl w:val="nil"/>
            </w:tcBorders>
            <w:noWrap w:val="0"/>
            <w:vAlign w:val="center"/>
          </w:tcPr>
          <w:p w14:paraId="1D81CA24">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highlight w:val="none"/>
                <w:vertAlign w:val="baseline"/>
                <w:lang w:val="en-US" w:eastAsia="zh-CN"/>
              </w:rPr>
              <w:t>&lt;</w:t>
            </w:r>
            <w:r>
              <w:rPr>
                <w:rFonts w:hint="eastAsia" w:ascii="Times New Roman" w:hAnsi="Times New Roman" w:eastAsia="宋体" w:cs="Times New Roman"/>
                <w:color w:val="auto"/>
                <w:sz w:val="21"/>
                <w:szCs w:val="21"/>
                <w:lang w:val="en-US" w:eastAsia="zh-CN"/>
              </w:rPr>
              <w:t>5</w:t>
            </w:r>
            <w:r>
              <w:rPr>
                <w:rFonts w:hint="default" w:ascii="Times New Roman" w:hAnsi="Times New Roman" w:eastAsia="宋体"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-3</w:t>
            </w:r>
          </w:p>
        </w:tc>
        <w:tc>
          <w:tcPr>
            <w:tcW w:w="511" w:type="pct"/>
            <w:tcBorders>
              <w:tl2br w:val="nil"/>
              <w:tr2bl w:val="nil"/>
            </w:tcBorders>
            <w:noWrap w:val="0"/>
            <w:vAlign w:val="center"/>
          </w:tcPr>
          <w:p w14:paraId="1B092243">
            <w:pPr>
              <w:adjustRightInd/>
              <w:snapToGrid/>
              <w:spacing w:line="240" w:lineRule="auto"/>
              <w:ind w:firstLine="0" w:firstLineChars="0"/>
              <w:jc w:val="center"/>
              <w:rPr>
                <w:rFonts w:hint="eastAsia" w:ascii="Times New Roman" w:hAnsi="Times New Roman" w:eastAsia="宋体" w:cs="Times New Roman"/>
                <w:strike w:val="0"/>
                <w:dstrike w:val="0"/>
                <w:color w:val="FF0000"/>
                <w:sz w:val="21"/>
                <w:szCs w:val="21"/>
                <w:highlight w:val="none"/>
                <w:vertAlign w:val="baseline"/>
                <w:lang w:val="en-US" w:eastAsia="zh-CN"/>
              </w:rPr>
            </w:pPr>
            <w:r>
              <w:rPr>
                <w:rFonts w:hint="eastAsia" w:cs="Times New Roman"/>
                <w:strike w:val="0"/>
                <w:dstrike w:val="0"/>
                <w:color w:val="FF0000"/>
                <w:sz w:val="21"/>
                <w:szCs w:val="21"/>
                <w:highlight w:val="none"/>
                <w:vertAlign w:val="baseline"/>
                <w:lang w:val="en-US" w:eastAsia="zh-CN"/>
              </w:rPr>
              <w:t>/</w:t>
            </w:r>
          </w:p>
        </w:tc>
      </w:tr>
      <w:tr w14:paraId="04FF9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76" w:type="pct"/>
            <w:vMerge w:val="continue"/>
            <w:tcBorders>
              <w:tl2br w:val="nil"/>
              <w:tr2bl w:val="nil"/>
            </w:tcBorders>
            <w:noWrap w:val="0"/>
            <w:vAlign w:val="center"/>
          </w:tcPr>
          <w:p w14:paraId="03DC1BD4">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eastAsia" w:ascii="Times New Roman" w:hAnsi="Times New Roman" w:eastAsia="宋体" w:cs="Times New Roman"/>
                <w:sz w:val="21"/>
                <w:szCs w:val="21"/>
                <w:vertAlign w:val="baseline"/>
                <w:lang w:val="en-US" w:eastAsia="zh-CN"/>
              </w:rPr>
            </w:pPr>
          </w:p>
        </w:tc>
        <w:tc>
          <w:tcPr>
            <w:tcW w:w="521" w:type="pct"/>
            <w:vMerge w:val="continue"/>
            <w:tcBorders>
              <w:tl2br w:val="nil"/>
              <w:tr2bl w:val="nil"/>
            </w:tcBorders>
            <w:noWrap w:val="0"/>
            <w:vAlign w:val="center"/>
          </w:tcPr>
          <w:p w14:paraId="109A111E">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446" w:type="pct"/>
            <w:tcBorders>
              <w:tl2br w:val="nil"/>
              <w:tr2bl w:val="nil"/>
            </w:tcBorders>
            <w:noWrap w:val="0"/>
            <w:vAlign w:val="center"/>
          </w:tcPr>
          <w:p w14:paraId="68753A67">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均值</w:t>
            </w:r>
          </w:p>
        </w:tc>
        <w:tc>
          <w:tcPr>
            <w:tcW w:w="488" w:type="pct"/>
            <w:tcBorders>
              <w:tl2br w:val="nil"/>
              <w:tr2bl w:val="nil"/>
            </w:tcBorders>
            <w:noWrap w:val="0"/>
            <w:vAlign w:val="center"/>
          </w:tcPr>
          <w:p w14:paraId="0D56208E">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1.51</w:t>
            </w:r>
            <w:r>
              <w:rPr>
                <w:rFonts w:hint="default" w:ascii="Times New Roman" w:hAnsi="Times New Roman" w:eastAsia="宋体" w:cs="Times New Roman"/>
                <w:i w:val="0"/>
                <w:iCs w:val="0"/>
                <w:color w:val="auto"/>
                <w:kern w:val="0"/>
                <w:sz w:val="21"/>
                <w:szCs w:val="21"/>
                <w:u w:val="none"/>
                <w:lang w:val="en-US" w:eastAsia="zh-CN" w:bidi="ar"/>
              </w:rPr>
              <w:t>×10</w:t>
            </w:r>
            <w:r>
              <w:rPr>
                <w:rFonts w:hint="eastAsia" w:ascii="Times New Roman" w:hAnsi="Times New Roman" w:eastAsia="宋体" w:cs="Times New Roman"/>
                <w:i w:val="0"/>
                <w:iCs w:val="0"/>
                <w:color w:val="auto"/>
                <w:kern w:val="0"/>
                <w:sz w:val="21"/>
                <w:szCs w:val="21"/>
                <w:u w:val="none"/>
                <w:vertAlign w:val="superscript"/>
                <w:lang w:val="en-US" w:eastAsia="zh-CN" w:bidi="ar"/>
              </w:rPr>
              <w:t>4</w:t>
            </w:r>
          </w:p>
        </w:tc>
        <w:tc>
          <w:tcPr>
            <w:tcW w:w="511" w:type="pct"/>
            <w:tcBorders>
              <w:tl2br w:val="nil"/>
              <w:tr2bl w:val="nil"/>
            </w:tcBorders>
            <w:noWrap w:val="0"/>
            <w:vAlign w:val="center"/>
          </w:tcPr>
          <w:p w14:paraId="6291AA53">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fldChar w:fldCharType="begin"/>
            </w:r>
            <w:r>
              <w:rPr>
                <w:rFonts w:hint="default" w:ascii="Times New Roman" w:hAnsi="Times New Roman" w:eastAsia="宋体" w:cs="Times New Roman"/>
                <w:sz w:val="21"/>
                <w:szCs w:val="21"/>
                <w:vertAlign w:val="baseline"/>
                <w:lang w:val="en-US" w:eastAsia="zh-CN"/>
              </w:rPr>
              <w:instrText xml:space="preserve"> = average(E3:E5) \* MERGEFORMAT </w:instrText>
            </w:r>
            <w:r>
              <w:rPr>
                <w:rFonts w:hint="default" w:ascii="Times New Roman" w:hAnsi="Times New Roman" w:eastAsia="宋体" w:cs="Times New Roman"/>
                <w:sz w:val="21"/>
                <w:szCs w:val="21"/>
                <w:vertAlign w:val="baseline"/>
                <w:lang w:val="en-US" w:eastAsia="zh-CN"/>
              </w:rPr>
              <w:fldChar w:fldCharType="separate"/>
            </w:r>
            <w:r>
              <w:rPr>
                <w:rFonts w:hint="default" w:ascii="Times New Roman" w:hAnsi="Times New Roman" w:eastAsia="宋体" w:cs="Times New Roman"/>
                <w:sz w:val="21"/>
                <w:szCs w:val="21"/>
                <w:vertAlign w:val="baseline"/>
                <w:lang w:val="en-US" w:eastAsia="zh-CN"/>
              </w:rPr>
              <w:t>7.68</w:t>
            </w:r>
            <w:r>
              <w:rPr>
                <w:rFonts w:hint="default" w:ascii="Times New Roman" w:hAnsi="Times New Roman" w:eastAsia="宋体" w:cs="Times New Roman"/>
                <w:sz w:val="21"/>
                <w:szCs w:val="21"/>
                <w:vertAlign w:val="baseline"/>
                <w:lang w:val="en-US" w:eastAsia="zh-CN"/>
              </w:rPr>
              <w:fldChar w:fldCharType="end"/>
            </w:r>
          </w:p>
        </w:tc>
        <w:tc>
          <w:tcPr>
            <w:tcW w:w="511" w:type="pct"/>
            <w:tcBorders>
              <w:tl2br w:val="nil"/>
              <w:tr2bl w:val="nil"/>
            </w:tcBorders>
            <w:noWrap w:val="0"/>
            <w:vAlign w:val="center"/>
          </w:tcPr>
          <w:p w14:paraId="5A828F5E">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0.116 </w:t>
            </w:r>
          </w:p>
        </w:tc>
        <w:tc>
          <w:tcPr>
            <w:tcW w:w="511" w:type="pct"/>
            <w:tcBorders>
              <w:tl2br w:val="nil"/>
              <w:tr2bl w:val="nil"/>
            </w:tcBorders>
            <w:noWrap w:val="0"/>
            <w:vAlign w:val="center"/>
          </w:tcPr>
          <w:p w14:paraId="6608CF27">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highlight w:val="none"/>
                <w:vertAlign w:val="baseline"/>
                <w:lang w:val="en-US" w:eastAsia="zh-CN"/>
              </w:rPr>
              <w:t>&lt;3</w:t>
            </w:r>
          </w:p>
        </w:tc>
        <w:tc>
          <w:tcPr>
            <w:tcW w:w="511" w:type="pct"/>
            <w:tcBorders>
              <w:tl2br w:val="nil"/>
              <w:tr2bl w:val="nil"/>
            </w:tcBorders>
            <w:noWrap w:val="0"/>
            <w:vAlign w:val="center"/>
          </w:tcPr>
          <w:p w14:paraId="6C1EE97B">
            <w:pPr>
              <w:adjustRightInd/>
              <w:snapToGrid/>
              <w:spacing w:line="240" w:lineRule="auto"/>
              <w:ind w:firstLine="0" w:firstLineChars="0"/>
              <w:jc w:val="center"/>
              <w:rPr>
                <w:rFonts w:hint="default" w:ascii="Times New Roman" w:hAnsi="Times New Roman" w:eastAsia="宋体" w:cs="Times New Roman"/>
                <w:strike w:val="0"/>
                <w:dstrike w:val="0"/>
                <w:color w:val="FF0000"/>
                <w:sz w:val="21"/>
                <w:szCs w:val="21"/>
                <w:highlight w:val="none"/>
                <w:vertAlign w:val="baseline"/>
                <w:lang w:val="en-US" w:eastAsia="zh-CN"/>
              </w:rPr>
            </w:pPr>
            <w:r>
              <w:rPr>
                <w:rFonts w:hint="eastAsia" w:cs="Times New Roman"/>
                <w:strike w:val="0"/>
                <w:dstrike w:val="0"/>
                <w:color w:val="FF0000"/>
                <w:sz w:val="21"/>
                <w:szCs w:val="21"/>
                <w:highlight w:val="none"/>
                <w:vertAlign w:val="baseline"/>
                <w:lang w:val="en-US" w:eastAsia="zh-CN"/>
              </w:rPr>
              <w:t>/</w:t>
            </w:r>
          </w:p>
        </w:tc>
        <w:tc>
          <w:tcPr>
            <w:tcW w:w="511" w:type="pct"/>
            <w:tcBorders>
              <w:tl2br w:val="nil"/>
              <w:tr2bl w:val="nil"/>
            </w:tcBorders>
            <w:noWrap w:val="0"/>
            <w:vAlign w:val="center"/>
          </w:tcPr>
          <w:p w14:paraId="6791D938">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highlight w:val="none"/>
                <w:vertAlign w:val="baseline"/>
                <w:lang w:val="en-US" w:eastAsia="zh-CN"/>
              </w:rPr>
              <w:t>&lt;</w:t>
            </w:r>
            <w:r>
              <w:rPr>
                <w:rFonts w:hint="eastAsia" w:ascii="Times New Roman" w:hAnsi="Times New Roman" w:eastAsia="宋体" w:cs="Times New Roman"/>
                <w:color w:val="auto"/>
                <w:sz w:val="21"/>
                <w:szCs w:val="21"/>
                <w:lang w:val="en-US" w:eastAsia="zh-CN"/>
              </w:rPr>
              <w:t>5</w:t>
            </w:r>
            <w:r>
              <w:rPr>
                <w:rFonts w:hint="default" w:ascii="Times New Roman" w:hAnsi="Times New Roman" w:eastAsia="宋体"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-3</w:t>
            </w:r>
          </w:p>
        </w:tc>
        <w:tc>
          <w:tcPr>
            <w:tcW w:w="511" w:type="pct"/>
            <w:tcBorders>
              <w:tl2br w:val="nil"/>
              <w:tr2bl w:val="nil"/>
            </w:tcBorders>
            <w:noWrap w:val="0"/>
            <w:vAlign w:val="center"/>
          </w:tcPr>
          <w:p w14:paraId="07F4336C">
            <w:pPr>
              <w:adjustRightInd/>
              <w:snapToGrid/>
              <w:spacing w:line="240" w:lineRule="auto"/>
              <w:ind w:firstLine="0" w:firstLineChars="0"/>
              <w:jc w:val="center"/>
              <w:rPr>
                <w:rFonts w:hint="eastAsia" w:ascii="Times New Roman" w:hAnsi="Times New Roman" w:eastAsia="宋体" w:cs="Times New Roman"/>
                <w:strike w:val="0"/>
                <w:dstrike w:val="0"/>
                <w:color w:val="FF0000"/>
                <w:sz w:val="21"/>
                <w:szCs w:val="21"/>
                <w:highlight w:val="none"/>
                <w:vertAlign w:val="baseline"/>
                <w:lang w:val="en-US" w:eastAsia="zh-CN"/>
              </w:rPr>
            </w:pPr>
            <w:r>
              <w:rPr>
                <w:rFonts w:hint="eastAsia" w:cs="Times New Roman"/>
                <w:strike w:val="0"/>
                <w:dstrike w:val="0"/>
                <w:color w:val="FF0000"/>
                <w:sz w:val="21"/>
                <w:szCs w:val="21"/>
                <w:highlight w:val="none"/>
                <w:vertAlign w:val="baseline"/>
                <w:lang w:val="en-US" w:eastAsia="zh-CN"/>
              </w:rPr>
              <w:t>/</w:t>
            </w:r>
          </w:p>
        </w:tc>
      </w:tr>
      <w:tr w14:paraId="10F6D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76" w:type="pct"/>
            <w:vMerge w:val="continue"/>
            <w:tcBorders>
              <w:tl2br w:val="nil"/>
              <w:tr2bl w:val="nil"/>
            </w:tcBorders>
            <w:noWrap w:val="0"/>
            <w:vAlign w:val="center"/>
          </w:tcPr>
          <w:p w14:paraId="13B3B60D">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default" w:ascii="Times New Roman" w:hAnsi="Times New Roman" w:eastAsia="宋体" w:cs="Times New Roman"/>
                <w:sz w:val="21"/>
                <w:szCs w:val="21"/>
                <w:vertAlign w:val="baseline"/>
                <w:lang w:val="en-US" w:eastAsia="zh-CN"/>
              </w:rPr>
            </w:pPr>
          </w:p>
        </w:tc>
        <w:tc>
          <w:tcPr>
            <w:tcW w:w="521" w:type="pct"/>
            <w:vMerge w:val="restart"/>
            <w:tcBorders>
              <w:tl2br w:val="nil"/>
              <w:tr2bl w:val="nil"/>
            </w:tcBorders>
            <w:noWrap w:val="0"/>
            <w:vAlign w:val="center"/>
          </w:tcPr>
          <w:p w14:paraId="0D296FC6">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DA006汽车配件挂镀锌线废气处理设施出口</w:t>
            </w:r>
          </w:p>
        </w:tc>
        <w:tc>
          <w:tcPr>
            <w:tcW w:w="446" w:type="pct"/>
            <w:tcBorders>
              <w:tl2br w:val="nil"/>
              <w:tr2bl w:val="nil"/>
            </w:tcBorders>
            <w:noWrap w:val="0"/>
            <w:vAlign w:val="center"/>
          </w:tcPr>
          <w:p w14:paraId="3325808A">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w:t>
            </w:r>
          </w:p>
        </w:tc>
        <w:tc>
          <w:tcPr>
            <w:tcW w:w="488" w:type="pct"/>
            <w:tcBorders>
              <w:tl2br w:val="nil"/>
              <w:tr2bl w:val="nil"/>
            </w:tcBorders>
            <w:noWrap w:val="0"/>
            <w:vAlign w:val="center"/>
          </w:tcPr>
          <w:p w14:paraId="01556D24">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1.53</w:t>
            </w:r>
            <w:r>
              <w:rPr>
                <w:rFonts w:hint="default" w:ascii="Times New Roman" w:hAnsi="Times New Roman" w:eastAsia="宋体" w:cs="Times New Roman"/>
                <w:i w:val="0"/>
                <w:iCs w:val="0"/>
                <w:color w:val="auto"/>
                <w:kern w:val="0"/>
                <w:sz w:val="21"/>
                <w:szCs w:val="21"/>
                <w:u w:val="none"/>
                <w:lang w:val="en-US" w:eastAsia="zh-CN" w:bidi="ar"/>
              </w:rPr>
              <w:t>×10</w:t>
            </w:r>
            <w:r>
              <w:rPr>
                <w:rFonts w:hint="eastAsia" w:ascii="Times New Roman" w:hAnsi="Times New Roman" w:eastAsia="宋体" w:cs="Times New Roman"/>
                <w:i w:val="0"/>
                <w:iCs w:val="0"/>
                <w:color w:val="auto"/>
                <w:kern w:val="0"/>
                <w:sz w:val="21"/>
                <w:szCs w:val="21"/>
                <w:u w:val="none"/>
                <w:vertAlign w:val="superscript"/>
                <w:lang w:val="en-US" w:eastAsia="zh-CN" w:bidi="ar"/>
              </w:rPr>
              <w:t>4</w:t>
            </w:r>
          </w:p>
        </w:tc>
        <w:tc>
          <w:tcPr>
            <w:tcW w:w="511" w:type="pct"/>
            <w:tcBorders>
              <w:tl2br w:val="nil"/>
              <w:tr2bl w:val="nil"/>
            </w:tcBorders>
            <w:noWrap w:val="0"/>
            <w:vAlign w:val="center"/>
          </w:tcPr>
          <w:p w14:paraId="37059D02">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0.44</w:t>
            </w:r>
          </w:p>
        </w:tc>
        <w:tc>
          <w:tcPr>
            <w:tcW w:w="511" w:type="pct"/>
            <w:tcBorders>
              <w:tl2br w:val="nil"/>
              <w:tr2bl w:val="nil"/>
            </w:tcBorders>
            <w:noWrap w:val="0"/>
            <w:vAlign w:val="center"/>
          </w:tcPr>
          <w:p w14:paraId="1F03E1B7">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6.73</w:t>
            </w:r>
            <w:r>
              <w:rPr>
                <w:rFonts w:hint="default" w:ascii="Times New Roman" w:hAnsi="Times New Roman" w:eastAsia="宋体" w:cs="Times New Roman"/>
                <w:i w:val="0"/>
                <w:iCs w:val="0"/>
                <w:color w:val="auto"/>
                <w:kern w:val="0"/>
                <w:sz w:val="21"/>
                <w:szCs w:val="21"/>
                <w:u w:val="none"/>
                <w:lang w:val="en-US" w:eastAsia="zh-CN" w:bidi="ar"/>
              </w:rPr>
              <w:t>×10</w:t>
            </w:r>
            <w:r>
              <w:rPr>
                <w:rFonts w:hint="eastAsia" w:ascii="Times New Roman" w:hAnsi="Times New Roman" w:eastAsia="宋体" w:cs="Times New Roman"/>
                <w:i w:val="0"/>
                <w:iCs w:val="0"/>
                <w:color w:val="auto"/>
                <w:kern w:val="0"/>
                <w:sz w:val="21"/>
                <w:szCs w:val="21"/>
                <w:u w:val="none"/>
                <w:vertAlign w:val="superscript"/>
                <w:lang w:val="en-US" w:eastAsia="zh-CN" w:bidi="ar"/>
              </w:rPr>
              <w:t>-3</w:t>
            </w:r>
            <w:r>
              <w:rPr>
                <w:rFonts w:hint="eastAsia" w:ascii="Times New Roman" w:hAnsi="Times New Roman" w:eastAsia="宋体" w:cs="Times New Roman"/>
                <w:sz w:val="21"/>
                <w:szCs w:val="21"/>
                <w:vertAlign w:val="baseline"/>
                <w:lang w:val="en-US" w:eastAsia="zh-CN"/>
              </w:rPr>
              <w:t xml:space="preserve"> </w:t>
            </w:r>
          </w:p>
        </w:tc>
        <w:tc>
          <w:tcPr>
            <w:tcW w:w="511" w:type="pct"/>
            <w:tcBorders>
              <w:tl2br w:val="nil"/>
              <w:tr2bl w:val="nil"/>
            </w:tcBorders>
            <w:noWrap w:val="0"/>
            <w:vAlign w:val="center"/>
          </w:tcPr>
          <w:p w14:paraId="33942C56">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highlight w:val="none"/>
                <w:vertAlign w:val="baseline"/>
                <w:lang w:val="en-US" w:eastAsia="zh-CN"/>
              </w:rPr>
              <w:t>&lt;3</w:t>
            </w:r>
          </w:p>
        </w:tc>
        <w:tc>
          <w:tcPr>
            <w:tcW w:w="511" w:type="pct"/>
            <w:tcBorders>
              <w:tl2br w:val="nil"/>
              <w:tr2bl w:val="nil"/>
            </w:tcBorders>
            <w:noWrap w:val="0"/>
            <w:vAlign w:val="center"/>
          </w:tcPr>
          <w:p w14:paraId="79307A0B">
            <w:pPr>
              <w:adjustRightInd/>
              <w:snapToGrid/>
              <w:spacing w:line="240" w:lineRule="auto"/>
              <w:ind w:firstLine="0" w:firstLineChars="0"/>
              <w:jc w:val="center"/>
              <w:rPr>
                <w:rFonts w:hint="default" w:ascii="Times New Roman" w:hAnsi="Times New Roman" w:eastAsia="宋体" w:cs="Times New Roman"/>
                <w:strike w:val="0"/>
                <w:dstrike w:val="0"/>
                <w:color w:val="FF0000"/>
                <w:sz w:val="21"/>
                <w:szCs w:val="21"/>
                <w:highlight w:val="none"/>
                <w:vertAlign w:val="baseline"/>
                <w:lang w:val="en-US" w:eastAsia="zh-CN"/>
              </w:rPr>
            </w:pPr>
            <w:r>
              <w:rPr>
                <w:rFonts w:hint="eastAsia" w:cs="Times New Roman"/>
                <w:strike w:val="0"/>
                <w:dstrike w:val="0"/>
                <w:color w:val="FF0000"/>
                <w:sz w:val="21"/>
                <w:szCs w:val="21"/>
                <w:highlight w:val="none"/>
                <w:vertAlign w:val="baseline"/>
                <w:lang w:val="en-US" w:eastAsia="zh-CN"/>
              </w:rPr>
              <w:t>/</w:t>
            </w:r>
          </w:p>
        </w:tc>
        <w:tc>
          <w:tcPr>
            <w:tcW w:w="511" w:type="pct"/>
            <w:tcBorders>
              <w:tl2br w:val="nil"/>
              <w:tr2bl w:val="nil"/>
            </w:tcBorders>
            <w:noWrap w:val="0"/>
            <w:vAlign w:val="center"/>
          </w:tcPr>
          <w:p w14:paraId="1DA6AF99">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highlight w:val="none"/>
                <w:vertAlign w:val="baseline"/>
                <w:lang w:val="en-US" w:eastAsia="zh-CN"/>
              </w:rPr>
              <w:t>&lt;</w:t>
            </w:r>
            <w:r>
              <w:rPr>
                <w:rFonts w:hint="eastAsia" w:ascii="Times New Roman" w:hAnsi="Times New Roman" w:eastAsia="宋体" w:cs="Times New Roman"/>
                <w:color w:val="auto"/>
                <w:sz w:val="21"/>
                <w:szCs w:val="21"/>
                <w:lang w:val="en-US" w:eastAsia="zh-CN"/>
              </w:rPr>
              <w:t>5</w:t>
            </w:r>
            <w:r>
              <w:rPr>
                <w:rFonts w:hint="default" w:ascii="Times New Roman" w:hAnsi="Times New Roman" w:eastAsia="宋体"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-3</w:t>
            </w:r>
          </w:p>
        </w:tc>
        <w:tc>
          <w:tcPr>
            <w:tcW w:w="511" w:type="pct"/>
            <w:tcBorders>
              <w:tl2br w:val="nil"/>
              <w:tr2bl w:val="nil"/>
            </w:tcBorders>
            <w:noWrap w:val="0"/>
            <w:vAlign w:val="center"/>
          </w:tcPr>
          <w:p w14:paraId="1D76B3F3">
            <w:pPr>
              <w:adjustRightInd/>
              <w:snapToGrid/>
              <w:spacing w:line="240" w:lineRule="auto"/>
              <w:ind w:firstLine="0" w:firstLineChars="0"/>
              <w:jc w:val="center"/>
              <w:rPr>
                <w:rFonts w:hint="eastAsia" w:ascii="Times New Roman" w:hAnsi="Times New Roman" w:eastAsia="宋体" w:cs="Times New Roman"/>
                <w:strike w:val="0"/>
                <w:dstrike w:val="0"/>
                <w:color w:val="FF0000"/>
                <w:sz w:val="21"/>
                <w:szCs w:val="21"/>
                <w:highlight w:val="none"/>
                <w:vertAlign w:val="baseline"/>
                <w:lang w:val="en-US" w:eastAsia="zh-CN"/>
              </w:rPr>
            </w:pPr>
            <w:r>
              <w:rPr>
                <w:rFonts w:hint="eastAsia" w:cs="Times New Roman"/>
                <w:strike w:val="0"/>
                <w:dstrike w:val="0"/>
                <w:color w:val="FF0000"/>
                <w:sz w:val="21"/>
                <w:szCs w:val="21"/>
                <w:highlight w:val="none"/>
                <w:vertAlign w:val="baseline"/>
                <w:lang w:val="en-US" w:eastAsia="zh-CN"/>
              </w:rPr>
              <w:t>/</w:t>
            </w:r>
          </w:p>
        </w:tc>
      </w:tr>
      <w:tr w14:paraId="7AFDF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76" w:type="pct"/>
            <w:vMerge w:val="continue"/>
            <w:tcBorders>
              <w:tl2br w:val="nil"/>
              <w:tr2bl w:val="nil"/>
            </w:tcBorders>
            <w:noWrap w:val="0"/>
            <w:vAlign w:val="center"/>
          </w:tcPr>
          <w:p w14:paraId="0679C22F">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521" w:type="pct"/>
            <w:vMerge w:val="continue"/>
            <w:tcBorders>
              <w:tl2br w:val="nil"/>
              <w:tr2bl w:val="nil"/>
            </w:tcBorders>
            <w:noWrap w:val="0"/>
            <w:vAlign w:val="center"/>
          </w:tcPr>
          <w:p w14:paraId="32416F40">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446" w:type="pct"/>
            <w:tcBorders>
              <w:tl2br w:val="nil"/>
              <w:tr2bl w:val="nil"/>
            </w:tcBorders>
            <w:noWrap w:val="0"/>
            <w:vAlign w:val="center"/>
          </w:tcPr>
          <w:p w14:paraId="604C3A47">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w:t>
            </w:r>
          </w:p>
        </w:tc>
        <w:tc>
          <w:tcPr>
            <w:tcW w:w="488" w:type="pct"/>
            <w:tcBorders>
              <w:tl2br w:val="nil"/>
              <w:tr2bl w:val="nil"/>
            </w:tcBorders>
            <w:noWrap w:val="0"/>
            <w:vAlign w:val="center"/>
          </w:tcPr>
          <w:p w14:paraId="2217F317">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1.51</w:t>
            </w:r>
            <w:r>
              <w:rPr>
                <w:rFonts w:hint="default" w:ascii="Times New Roman" w:hAnsi="Times New Roman" w:eastAsia="宋体" w:cs="Times New Roman"/>
                <w:i w:val="0"/>
                <w:iCs w:val="0"/>
                <w:color w:val="auto"/>
                <w:kern w:val="0"/>
                <w:sz w:val="21"/>
                <w:szCs w:val="21"/>
                <w:u w:val="none"/>
                <w:lang w:val="en-US" w:eastAsia="zh-CN" w:bidi="ar"/>
              </w:rPr>
              <w:t>×10</w:t>
            </w:r>
            <w:r>
              <w:rPr>
                <w:rFonts w:hint="eastAsia" w:ascii="Times New Roman" w:hAnsi="Times New Roman" w:eastAsia="宋体" w:cs="Times New Roman"/>
                <w:i w:val="0"/>
                <w:iCs w:val="0"/>
                <w:color w:val="auto"/>
                <w:kern w:val="0"/>
                <w:sz w:val="21"/>
                <w:szCs w:val="21"/>
                <w:u w:val="none"/>
                <w:vertAlign w:val="superscript"/>
                <w:lang w:val="en-US" w:eastAsia="zh-CN" w:bidi="ar"/>
              </w:rPr>
              <w:t>4</w:t>
            </w:r>
            <w:r>
              <w:rPr>
                <w:rFonts w:hint="eastAsia" w:ascii="Times New Roman" w:hAnsi="Times New Roman" w:eastAsia="宋体" w:cs="Times New Roman"/>
                <w:sz w:val="21"/>
                <w:szCs w:val="21"/>
                <w:vertAlign w:val="baseline"/>
                <w:lang w:val="en-US" w:eastAsia="zh-CN"/>
              </w:rPr>
              <w:t xml:space="preserve"> </w:t>
            </w:r>
          </w:p>
        </w:tc>
        <w:tc>
          <w:tcPr>
            <w:tcW w:w="511" w:type="pct"/>
            <w:tcBorders>
              <w:tl2br w:val="nil"/>
              <w:tr2bl w:val="nil"/>
            </w:tcBorders>
            <w:noWrap w:val="0"/>
            <w:vAlign w:val="center"/>
          </w:tcPr>
          <w:p w14:paraId="391B6C51">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0.37</w:t>
            </w:r>
          </w:p>
        </w:tc>
        <w:tc>
          <w:tcPr>
            <w:tcW w:w="511" w:type="pct"/>
            <w:tcBorders>
              <w:tl2br w:val="nil"/>
              <w:tr2bl w:val="nil"/>
            </w:tcBorders>
            <w:noWrap w:val="0"/>
            <w:vAlign w:val="center"/>
          </w:tcPr>
          <w:p w14:paraId="7E1E4EFD">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5.59</w:t>
            </w:r>
            <w:r>
              <w:rPr>
                <w:rFonts w:hint="default" w:ascii="Times New Roman" w:hAnsi="Times New Roman" w:eastAsia="宋体" w:cs="Times New Roman"/>
                <w:i w:val="0"/>
                <w:iCs w:val="0"/>
                <w:color w:val="auto"/>
                <w:kern w:val="0"/>
                <w:sz w:val="21"/>
                <w:szCs w:val="21"/>
                <w:u w:val="none"/>
                <w:lang w:val="en-US" w:eastAsia="zh-CN" w:bidi="ar"/>
              </w:rPr>
              <w:t>×10</w:t>
            </w:r>
            <w:r>
              <w:rPr>
                <w:rFonts w:hint="eastAsia" w:ascii="Times New Roman" w:hAnsi="Times New Roman" w:eastAsia="宋体" w:cs="Times New Roman"/>
                <w:i w:val="0"/>
                <w:iCs w:val="0"/>
                <w:color w:val="auto"/>
                <w:kern w:val="0"/>
                <w:sz w:val="21"/>
                <w:szCs w:val="21"/>
                <w:u w:val="none"/>
                <w:vertAlign w:val="superscript"/>
                <w:lang w:val="en-US" w:eastAsia="zh-CN" w:bidi="ar"/>
              </w:rPr>
              <w:t>-3</w:t>
            </w:r>
            <w:r>
              <w:rPr>
                <w:rFonts w:hint="eastAsia" w:ascii="Times New Roman" w:hAnsi="Times New Roman" w:eastAsia="宋体" w:cs="Times New Roman"/>
                <w:sz w:val="21"/>
                <w:szCs w:val="21"/>
                <w:vertAlign w:val="baseline"/>
                <w:lang w:val="en-US" w:eastAsia="zh-CN"/>
              </w:rPr>
              <w:t xml:space="preserve"> </w:t>
            </w:r>
          </w:p>
        </w:tc>
        <w:tc>
          <w:tcPr>
            <w:tcW w:w="511" w:type="pct"/>
            <w:tcBorders>
              <w:tl2br w:val="nil"/>
              <w:tr2bl w:val="nil"/>
            </w:tcBorders>
            <w:noWrap w:val="0"/>
            <w:vAlign w:val="center"/>
          </w:tcPr>
          <w:p w14:paraId="0C675A96">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highlight w:val="none"/>
                <w:vertAlign w:val="baseline"/>
                <w:lang w:val="en-US" w:eastAsia="zh-CN"/>
              </w:rPr>
              <w:t>&lt;3</w:t>
            </w:r>
          </w:p>
        </w:tc>
        <w:tc>
          <w:tcPr>
            <w:tcW w:w="511" w:type="pct"/>
            <w:tcBorders>
              <w:tl2br w:val="nil"/>
              <w:tr2bl w:val="nil"/>
            </w:tcBorders>
            <w:noWrap w:val="0"/>
            <w:vAlign w:val="center"/>
          </w:tcPr>
          <w:p w14:paraId="51B1D971">
            <w:pPr>
              <w:adjustRightInd/>
              <w:snapToGrid/>
              <w:spacing w:line="240" w:lineRule="auto"/>
              <w:ind w:firstLine="0" w:firstLineChars="0"/>
              <w:jc w:val="center"/>
              <w:rPr>
                <w:rFonts w:hint="default" w:ascii="Times New Roman" w:hAnsi="Times New Roman" w:eastAsia="宋体" w:cs="Times New Roman"/>
                <w:strike w:val="0"/>
                <w:dstrike w:val="0"/>
                <w:color w:val="FF0000"/>
                <w:sz w:val="21"/>
                <w:szCs w:val="21"/>
                <w:highlight w:val="none"/>
                <w:vertAlign w:val="baseline"/>
                <w:lang w:val="en-US" w:eastAsia="zh-CN"/>
              </w:rPr>
            </w:pPr>
            <w:r>
              <w:rPr>
                <w:rFonts w:hint="eastAsia" w:cs="Times New Roman"/>
                <w:strike w:val="0"/>
                <w:dstrike w:val="0"/>
                <w:color w:val="FF0000"/>
                <w:sz w:val="21"/>
                <w:szCs w:val="21"/>
                <w:highlight w:val="none"/>
                <w:vertAlign w:val="baseline"/>
                <w:lang w:val="en-US" w:eastAsia="zh-CN"/>
              </w:rPr>
              <w:t>/</w:t>
            </w:r>
          </w:p>
        </w:tc>
        <w:tc>
          <w:tcPr>
            <w:tcW w:w="511" w:type="pct"/>
            <w:tcBorders>
              <w:tl2br w:val="nil"/>
              <w:tr2bl w:val="nil"/>
            </w:tcBorders>
            <w:noWrap w:val="0"/>
            <w:vAlign w:val="center"/>
          </w:tcPr>
          <w:p w14:paraId="2E256E61">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highlight w:val="none"/>
                <w:vertAlign w:val="baseline"/>
                <w:lang w:val="en-US" w:eastAsia="zh-CN"/>
              </w:rPr>
              <w:t>&lt;</w:t>
            </w:r>
            <w:r>
              <w:rPr>
                <w:rFonts w:hint="eastAsia" w:ascii="Times New Roman" w:hAnsi="Times New Roman" w:eastAsia="宋体" w:cs="Times New Roman"/>
                <w:color w:val="auto"/>
                <w:sz w:val="21"/>
                <w:szCs w:val="21"/>
                <w:lang w:val="en-US" w:eastAsia="zh-CN"/>
              </w:rPr>
              <w:t>5</w:t>
            </w:r>
            <w:r>
              <w:rPr>
                <w:rFonts w:hint="default" w:ascii="Times New Roman" w:hAnsi="Times New Roman" w:eastAsia="宋体"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-3</w:t>
            </w:r>
          </w:p>
        </w:tc>
        <w:tc>
          <w:tcPr>
            <w:tcW w:w="511" w:type="pct"/>
            <w:tcBorders>
              <w:tl2br w:val="nil"/>
              <w:tr2bl w:val="nil"/>
            </w:tcBorders>
            <w:noWrap w:val="0"/>
            <w:vAlign w:val="center"/>
          </w:tcPr>
          <w:p w14:paraId="102D27F7">
            <w:pPr>
              <w:adjustRightInd/>
              <w:snapToGrid/>
              <w:spacing w:line="240" w:lineRule="auto"/>
              <w:ind w:firstLine="0" w:firstLineChars="0"/>
              <w:jc w:val="center"/>
              <w:rPr>
                <w:rFonts w:hint="eastAsia" w:ascii="Times New Roman" w:hAnsi="Times New Roman" w:eastAsia="宋体" w:cs="Times New Roman"/>
                <w:strike w:val="0"/>
                <w:dstrike w:val="0"/>
                <w:color w:val="FF0000"/>
                <w:sz w:val="21"/>
                <w:szCs w:val="21"/>
                <w:highlight w:val="none"/>
                <w:vertAlign w:val="baseline"/>
                <w:lang w:val="en-US" w:eastAsia="zh-CN"/>
              </w:rPr>
            </w:pPr>
            <w:r>
              <w:rPr>
                <w:rFonts w:hint="eastAsia" w:cs="Times New Roman"/>
                <w:strike w:val="0"/>
                <w:dstrike w:val="0"/>
                <w:color w:val="FF0000"/>
                <w:sz w:val="21"/>
                <w:szCs w:val="21"/>
                <w:highlight w:val="none"/>
                <w:vertAlign w:val="baseline"/>
                <w:lang w:val="en-US" w:eastAsia="zh-CN"/>
              </w:rPr>
              <w:t>/</w:t>
            </w:r>
          </w:p>
        </w:tc>
      </w:tr>
      <w:tr w14:paraId="1819D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76" w:type="pct"/>
            <w:vMerge w:val="continue"/>
            <w:tcBorders>
              <w:tl2br w:val="nil"/>
              <w:tr2bl w:val="nil"/>
            </w:tcBorders>
            <w:noWrap w:val="0"/>
            <w:vAlign w:val="center"/>
          </w:tcPr>
          <w:p w14:paraId="247719D3">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521" w:type="pct"/>
            <w:vMerge w:val="continue"/>
            <w:tcBorders>
              <w:tl2br w:val="nil"/>
              <w:tr2bl w:val="nil"/>
            </w:tcBorders>
            <w:noWrap w:val="0"/>
            <w:vAlign w:val="center"/>
          </w:tcPr>
          <w:p w14:paraId="71882526">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446" w:type="pct"/>
            <w:tcBorders>
              <w:tl2br w:val="nil"/>
              <w:tr2bl w:val="nil"/>
            </w:tcBorders>
            <w:noWrap w:val="0"/>
            <w:vAlign w:val="center"/>
          </w:tcPr>
          <w:p w14:paraId="72179A60">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3</w:t>
            </w:r>
          </w:p>
        </w:tc>
        <w:tc>
          <w:tcPr>
            <w:tcW w:w="488" w:type="pct"/>
            <w:tcBorders>
              <w:tl2br w:val="nil"/>
              <w:tr2bl w:val="nil"/>
            </w:tcBorders>
            <w:noWrap w:val="0"/>
            <w:vAlign w:val="center"/>
          </w:tcPr>
          <w:p w14:paraId="134CFEA0">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1.52</w:t>
            </w:r>
            <w:r>
              <w:rPr>
                <w:rFonts w:hint="default" w:ascii="Times New Roman" w:hAnsi="Times New Roman" w:eastAsia="宋体" w:cs="Times New Roman"/>
                <w:i w:val="0"/>
                <w:iCs w:val="0"/>
                <w:color w:val="auto"/>
                <w:kern w:val="0"/>
                <w:sz w:val="21"/>
                <w:szCs w:val="21"/>
                <w:u w:val="none"/>
                <w:lang w:val="en-US" w:eastAsia="zh-CN" w:bidi="ar"/>
              </w:rPr>
              <w:t>×10</w:t>
            </w:r>
            <w:r>
              <w:rPr>
                <w:rFonts w:hint="eastAsia" w:ascii="Times New Roman" w:hAnsi="Times New Roman" w:eastAsia="宋体" w:cs="Times New Roman"/>
                <w:i w:val="0"/>
                <w:iCs w:val="0"/>
                <w:color w:val="auto"/>
                <w:kern w:val="0"/>
                <w:sz w:val="21"/>
                <w:szCs w:val="21"/>
                <w:u w:val="none"/>
                <w:vertAlign w:val="superscript"/>
                <w:lang w:val="en-US" w:eastAsia="zh-CN" w:bidi="ar"/>
              </w:rPr>
              <w:t>4</w:t>
            </w:r>
            <w:r>
              <w:rPr>
                <w:rFonts w:hint="eastAsia" w:ascii="Times New Roman" w:hAnsi="Times New Roman" w:eastAsia="宋体" w:cs="Times New Roman"/>
                <w:sz w:val="21"/>
                <w:szCs w:val="21"/>
                <w:vertAlign w:val="baseline"/>
                <w:lang w:val="en-US" w:eastAsia="zh-CN"/>
              </w:rPr>
              <w:t xml:space="preserve"> </w:t>
            </w:r>
          </w:p>
        </w:tc>
        <w:tc>
          <w:tcPr>
            <w:tcW w:w="511" w:type="pct"/>
            <w:tcBorders>
              <w:tl2br w:val="nil"/>
              <w:tr2bl w:val="nil"/>
            </w:tcBorders>
            <w:noWrap w:val="0"/>
            <w:vAlign w:val="center"/>
          </w:tcPr>
          <w:p w14:paraId="0B97645F">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0.31</w:t>
            </w:r>
          </w:p>
        </w:tc>
        <w:tc>
          <w:tcPr>
            <w:tcW w:w="511" w:type="pct"/>
            <w:tcBorders>
              <w:tl2br w:val="nil"/>
              <w:tr2bl w:val="nil"/>
            </w:tcBorders>
            <w:noWrap w:val="0"/>
            <w:vAlign w:val="center"/>
          </w:tcPr>
          <w:p w14:paraId="500EDA56">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4.71</w:t>
            </w:r>
            <w:r>
              <w:rPr>
                <w:rFonts w:hint="default" w:ascii="Times New Roman" w:hAnsi="Times New Roman" w:eastAsia="宋体" w:cs="Times New Roman"/>
                <w:i w:val="0"/>
                <w:iCs w:val="0"/>
                <w:color w:val="auto"/>
                <w:kern w:val="0"/>
                <w:sz w:val="21"/>
                <w:szCs w:val="21"/>
                <w:u w:val="none"/>
                <w:lang w:val="en-US" w:eastAsia="zh-CN" w:bidi="ar"/>
              </w:rPr>
              <w:t>×10</w:t>
            </w:r>
            <w:r>
              <w:rPr>
                <w:rFonts w:hint="eastAsia" w:ascii="Times New Roman" w:hAnsi="Times New Roman" w:eastAsia="宋体" w:cs="Times New Roman"/>
                <w:i w:val="0"/>
                <w:iCs w:val="0"/>
                <w:color w:val="auto"/>
                <w:kern w:val="0"/>
                <w:sz w:val="21"/>
                <w:szCs w:val="21"/>
                <w:u w:val="none"/>
                <w:vertAlign w:val="superscript"/>
                <w:lang w:val="en-US" w:eastAsia="zh-CN" w:bidi="ar"/>
              </w:rPr>
              <w:t>-3</w:t>
            </w:r>
            <w:r>
              <w:rPr>
                <w:rFonts w:hint="eastAsia" w:ascii="Times New Roman" w:hAnsi="Times New Roman" w:eastAsia="宋体" w:cs="Times New Roman"/>
                <w:sz w:val="21"/>
                <w:szCs w:val="21"/>
                <w:vertAlign w:val="baseline"/>
                <w:lang w:val="en-US" w:eastAsia="zh-CN"/>
              </w:rPr>
              <w:t xml:space="preserve"> </w:t>
            </w:r>
          </w:p>
        </w:tc>
        <w:tc>
          <w:tcPr>
            <w:tcW w:w="511" w:type="pct"/>
            <w:tcBorders>
              <w:tl2br w:val="nil"/>
              <w:tr2bl w:val="nil"/>
            </w:tcBorders>
            <w:noWrap w:val="0"/>
            <w:vAlign w:val="center"/>
          </w:tcPr>
          <w:p w14:paraId="2C42BEF5">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highlight w:val="none"/>
                <w:vertAlign w:val="baseline"/>
                <w:lang w:val="en-US" w:eastAsia="zh-CN"/>
              </w:rPr>
              <w:t>&lt;3</w:t>
            </w:r>
          </w:p>
        </w:tc>
        <w:tc>
          <w:tcPr>
            <w:tcW w:w="511" w:type="pct"/>
            <w:tcBorders>
              <w:tl2br w:val="nil"/>
              <w:tr2bl w:val="nil"/>
            </w:tcBorders>
            <w:noWrap w:val="0"/>
            <w:vAlign w:val="center"/>
          </w:tcPr>
          <w:p w14:paraId="55AEC29F">
            <w:pPr>
              <w:adjustRightInd/>
              <w:snapToGrid/>
              <w:spacing w:line="240" w:lineRule="auto"/>
              <w:ind w:firstLine="0" w:firstLineChars="0"/>
              <w:jc w:val="center"/>
              <w:rPr>
                <w:rFonts w:hint="default" w:ascii="Times New Roman" w:hAnsi="Times New Roman" w:eastAsia="宋体" w:cs="Times New Roman"/>
                <w:strike w:val="0"/>
                <w:dstrike w:val="0"/>
                <w:color w:val="FF0000"/>
                <w:sz w:val="21"/>
                <w:szCs w:val="21"/>
                <w:highlight w:val="none"/>
                <w:vertAlign w:val="baseline"/>
                <w:lang w:val="en-US" w:eastAsia="zh-CN"/>
              </w:rPr>
            </w:pPr>
            <w:r>
              <w:rPr>
                <w:rFonts w:hint="eastAsia" w:cs="Times New Roman"/>
                <w:strike w:val="0"/>
                <w:dstrike w:val="0"/>
                <w:color w:val="FF0000"/>
                <w:sz w:val="21"/>
                <w:szCs w:val="21"/>
                <w:highlight w:val="none"/>
                <w:vertAlign w:val="baseline"/>
                <w:lang w:val="en-US" w:eastAsia="zh-CN"/>
              </w:rPr>
              <w:t>/</w:t>
            </w:r>
          </w:p>
        </w:tc>
        <w:tc>
          <w:tcPr>
            <w:tcW w:w="511" w:type="pct"/>
            <w:tcBorders>
              <w:tl2br w:val="nil"/>
              <w:tr2bl w:val="nil"/>
            </w:tcBorders>
            <w:noWrap w:val="0"/>
            <w:vAlign w:val="center"/>
          </w:tcPr>
          <w:p w14:paraId="00F10794">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highlight w:val="none"/>
                <w:vertAlign w:val="baseline"/>
                <w:lang w:val="en-US" w:eastAsia="zh-CN"/>
              </w:rPr>
              <w:t>&lt;</w:t>
            </w:r>
            <w:r>
              <w:rPr>
                <w:rFonts w:hint="eastAsia" w:ascii="Times New Roman" w:hAnsi="Times New Roman" w:eastAsia="宋体" w:cs="Times New Roman"/>
                <w:color w:val="auto"/>
                <w:sz w:val="21"/>
                <w:szCs w:val="21"/>
                <w:lang w:val="en-US" w:eastAsia="zh-CN"/>
              </w:rPr>
              <w:t>5</w:t>
            </w:r>
            <w:r>
              <w:rPr>
                <w:rFonts w:hint="default" w:ascii="Times New Roman" w:hAnsi="Times New Roman" w:eastAsia="宋体"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-3</w:t>
            </w:r>
          </w:p>
        </w:tc>
        <w:tc>
          <w:tcPr>
            <w:tcW w:w="511" w:type="pct"/>
            <w:tcBorders>
              <w:tl2br w:val="nil"/>
              <w:tr2bl w:val="nil"/>
            </w:tcBorders>
            <w:noWrap w:val="0"/>
            <w:vAlign w:val="center"/>
          </w:tcPr>
          <w:p w14:paraId="399C94A2">
            <w:pPr>
              <w:adjustRightInd/>
              <w:snapToGrid/>
              <w:spacing w:line="240" w:lineRule="auto"/>
              <w:ind w:firstLine="0" w:firstLineChars="0"/>
              <w:jc w:val="center"/>
              <w:rPr>
                <w:rFonts w:hint="default" w:ascii="Times New Roman" w:hAnsi="Times New Roman" w:eastAsia="宋体" w:cs="Times New Roman"/>
                <w:strike w:val="0"/>
                <w:dstrike w:val="0"/>
                <w:color w:val="FF0000"/>
                <w:sz w:val="21"/>
                <w:szCs w:val="21"/>
                <w:highlight w:val="none"/>
                <w:vertAlign w:val="baseline"/>
                <w:lang w:val="en-US" w:eastAsia="zh-CN"/>
              </w:rPr>
            </w:pPr>
            <w:r>
              <w:rPr>
                <w:rFonts w:hint="eastAsia" w:cs="Times New Roman"/>
                <w:strike w:val="0"/>
                <w:dstrike w:val="0"/>
                <w:color w:val="FF0000"/>
                <w:sz w:val="21"/>
                <w:szCs w:val="21"/>
                <w:highlight w:val="none"/>
                <w:vertAlign w:val="baseline"/>
                <w:lang w:val="en-US" w:eastAsia="zh-CN"/>
              </w:rPr>
              <w:t>/</w:t>
            </w:r>
          </w:p>
        </w:tc>
      </w:tr>
      <w:tr w14:paraId="04A52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76" w:type="pct"/>
            <w:vMerge w:val="continue"/>
            <w:tcBorders>
              <w:tl2br w:val="nil"/>
              <w:tr2bl w:val="nil"/>
            </w:tcBorders>
            <w:noWrap w:val="0"/>
            <w:vAlign w:val="center"/>
          </w:tcPr>
          <w:p w14:paraId="083F57FA">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521" w:type="pct"/>
            <w:vMerge w:val="continue"/>
            <w:tcBorders>
              <w:tl2br w:val="nil"/>
              <w:tr2bl w:val="nil"/>
            </w:tcBorders>
            <w:noWrap w:val="0"/>
            <w:vAlign w:val="center"/>
          </w:tcPr>
          <w:p w14:paraId="77305AAE">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446" w:type="pct"/>
            <w:tcBorders>
              <w:tl2br w:val="nil"/>
              <w:tr2bl w:val="nil"/>
            </w:tcBorders>
            <w:noWrap w:val="0"/>
            <w:vAlign w:val="center"/>
          </w:tcPr>
          <w:p w14:paraId="255930FD">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均值</w:t>
            </w:r>
          </w:p>
        </w:tc>
        <w:tc>
          <w:tcPr>
            <w:tcW w:w="488" w:type="pct"/>
            <w:tcBorders>
              <w:tl2br w:val="nil"/>
              <w:tr2bl w:val="nil"/>
            </w:tcBorders>
            <w:noWrap w:val="0"/>
            <w:vAlign w:val="center"/>
          </w:tcPr>
          <w:p w14:paraId="108E622C">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fldChar w:fldCharType="begin"/>
            </w:r>
            <w:r>
              <w:rPr>
                <w:rFonts w:hint="default" w:ascii="Times New Roman" w:hAnsi="Times New Roman" w:eastAsia="宋体" w:cs="Times New Roman"/>
                <w:sz w:val="21"/>
                <w:szCs w:val="21"/>
                <w:vertAlign w:val="baseline"/>
                <w:lang w:val="en-US" w:eastAsia="zh-CN"/>
              </w:rPr>
              <w:instrText xml:space="preserve"> = average(D7:D9) \* MERGEFORMAT </w:instrText>
            </w:r>
            <w:r>
              <w:rPr>
                <w:rFonts w:hint="default" w:ascii="Times New Roman" w:hAnsi="Times New Roman" w:eastAsia="宋体" w:cs="Times New Roman"/>
                <w:sz w:val="21"/>
                <w:szCs w:val="21"/>
                <w:vertAlign w:val="baseline"/>
                <w:lang w:val="en-US" w:eastAsia="zh-CN"/>
              </w:rPr>
              <w:fldChar w:fldCharType="separate"/>
            </w:r>
            <w:r>
              <w:rPr>
                <w:rFonts w:hint="default" w:ascii="Times New Roman" w:hAnsi="Times New Roman" w:eastAsia="宋体" w:cs="Times New Roman"/>
                <w:sz w:val="21"/>
                <w:szCs w:val="21"/>
                <w:vertAlign w:val="baseline"/>
                <w:lang w:val="en-US" w:eastAsia="zh-CN"/>
              </w:rPr>
              <w:t>1.52</w:t>
            </w:r>
            <w:r>
              <w:rPr>
                <w:rFonts w:hint="default" w:ascii="Times New Roman" w:hAnsi="Times New Roman" w:eastAsia="宋体" w:cs="Times New Roman"/>
                <w:sz w:val="21"/>
                <w:szCs w:val="21"/>
                <w:vertAlign w:val="baseline"/>
                <w:lang w:val="en-US" w:eastAsia="zh-CN"/>
              </w:rPr>
              <w:fldChar w:fldCharType="end"/>
            </w:r>
            <w:r>
              <w:rPr>
                <w:rFonts w:hint="default" w:ascii="Times New Roman" w:hAnsi="Times New Roman" w:eastAsia="宋体" w:cs="Times New Roman"/>
                <w:i w:val="0"/>
                <w:iCs w:val="0"/>
                <w:color w:val="auto"/>
                <w:kern w:val="0"/>
                <w:sz w:val="21"/>
                <w:szCs w:val="21"/>
                <w:u w:val="none"/>
                <w:lang w:val="en-US" w:eastAsia="zh-CN" w:bidi="ar"/>
              </w:rPr>
              <w:t>×10</w:t>
            </w:r>
            <w:r>
              <w:rPr>
                <w:rFonts w:hint="eastAsia" w:ascii="Times New Roman" w:hAnsi="Times New Roman" w:eastAsia="宋体" w:cs="Times New Roman"/>
                <w:i w:val="0"/>
                <w:iCs w:val="0"/>
                <w:color w:val="auto"/>
                <w:kern w:val="0"/>
                <w:sz w:val="21"/>
                <w:szCs w:val="21"/>
                <w:u w:val="none"/>
                <w:vertAlign w:val="superscript"/>
                <w:lang w:val="en-US" w:eastAsia="zh-CN" w:bidi="ar"/>
              </w:rPr>
              <w:t>4</w:t>
            </w:r>
          </w:p>
        </w:tc>
        <w:tc>
          <w:tcPr>
            <w:tcW w:w="511" w:type="pct"/>
            <w:tcBorders>
              <w:tl2br w:val="nil"/>
              <w:tr2bl w:val="nil"/>
            </w:tcBorders>
            <w:noWrap w:val="0"/>
            <w:vAlign w:val="center"/>
          </w:tcPr>
          <w:p w14:paraId="149A5A78">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fldChar w:fldCharType="begin"/>
            </w:r>
            <w:r>
              <w:rPr>
                <w:rFonts w:hint="default" w:ascii="Times New Roman" w:hAnsi="Times New Roman" w:eastAsia="宋体" w:cs="Times New Roman"/>
                <w:sz w:val="21"/>
                <w:szCs w:val="21"/>
                <w:vertAlign w:val="baseline"/>
                <w:lang w:val="en-US" w:eastAsia="zh-CN"/>
              </w:rPr>
              <w:instrText xml:space="preserve"> = average(E7:E9) \* MERGEFORMAT </w:instrText>
            </w:r>
            <w:r>
              <w:rPr>
                <w:rFonts w:hint="default" w:ascii="Times New Roman" w:hAnsi="Times New Roman" w:eastAsia="宋体" w:cs="Times New Roman"/>
                <w:sz w:val="21"/>
                <w:szCs w:val="21"/>
                <w:vertAlign w:val="baseline"/>
                <w:lang w:val="en-US" w:eastAsia="zh-CN"/>
              </w:rPr>
              <w:fldChar w:fldCharType="separate"/>
            </w:r>
            <w:r>
              <w:rPr>
                <w:rFonts w:hint="default" w:ascii="Times New Roman" w:hAnsi="Times New Roman" w:eastAsia="宋体" w:cs="Times New Roman"/>
                <w:sz w:val="21"/>
                <w:szCs w:val="21"/>
                <w:vertAlign w:val="baseline"/>
                <w:lang w:val="en-US" w:eastAsia="zh-CN"/>
              </w:rPr>
              <w:t>0.37</w:t>
            </w:r>
            <w:r>
              <w:rPr>
                <w:rFonts w:hint="default" w:ascii="Times New Roman" w:hAnsi="Times New Roman" w:eastAsia="宋体" w:cs="Times New Roman"/>
                <w:sz w:val="21"/>
                <w:szCs w:val="21"/>
                <w:vertAlign w:val="baseline"/>
                <w:lang w:val="en-US" w:eastAsia="zh-CN"/>
              </w:rPr>
              <w:fldChar w:fldCharType="end"/>
            </w:r>
          </w:p>
        </w:tc>
        <w:tc>
          <w:tcPr>
            <w:tcW w:w="511" w:type="pct"/>
            <w:tcBorders>
              <w:tl2br w:val="nil"/>
              <w:tr2bl w:val="nil"/>
            </w:tcBorders>
            <w:noWrap w:val="0"/>
            <w:vAlign w:val="center"/>
          </w:tcPr>
          <w:p w14:paraId="1CF33FC2">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5.62</w:t>
            </w:r>
            <w:r>
              <w:rPr>
                <w:rFonts w:hint="default" w:ascii="Times New Roman" w:hAnsi="Times New Roman" w:eastAsia="宋体" w:cs="Times New Roman"/>
                <w:i w:val="0"/>
                <w:iCs w:val="0"/>
                <w:color w:val="auto"/>
                <w:kern w:val="0"/>
                <w:sz w:val="21"/>
                <w:szCs w:val="21"/>
                <w:u w:val="none"/>
                <w:lang w:val="en-US" w:eastAsia="zh-CN" w:bidi="ar"/>
              </w:rPr>
              <w:t>×10</w:t>
            </w:r>
            <w:r>
              <w:rPr>
                <w:rFonts w:hint="eastAsia" w:ascii="Times New Roman" w:hAnsi="Times New Roman" w:eastAsia="宋体" w:cs="Times New Roman"/>
                <w:i w:val="0"/>
                <w:iCs w:val="0"/>
                <w:color w:val="auto"/>
                <w:kern w:val="0"/>
                <w:sz w:val="21"/>
                <w:szCs w:val="21"/>
                <w:u w:val="none"/>
                <w:vertAlign w:val="superscript"/>
                <w:lang w:val="en-US" w:eastAsia="zh-CN" w:bidi="ar"/>
              </w:rPr>
              <w:t>-3</w:t>
            </w:r>
            <w:r>
              <w:rPr>
                <w:rFonts w:hint="eastAsia" w:ascii="Times New Roman" w:hAnsi="Times New Roman" w:eastAsia="宋体" w:cs="Times New Roman"/>
                <w:sz w:val="21"/>
                <w:szCs w:val="21"/>
                <w:vertAlign w:val="baseline"/>
                <w:lang w:val="en-US" w:eastAsia="zh-CN"/>
              </w:rPr>
              <w:t xml:space="preserve"> </w:t>
            </w:r>
          </w:p>
        </w:tc>
        <w:tc>
          <w:tcPr>
            <w:tcW w:w="511" w:type="pct"/>
            <w:tcBorders>
              <w:tl2br w:val="nil"/>
              <w:tr2bl w:val="nil"/>
            </w:tcBorders>
            <w:noWrap w:val="0"/>
            <w:vAlign w:val="center"/>
          </w:tcPr>
          <w:p w14:paraId="3C9ED016">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highlight w:val="none"/>
                <w:vertAlign w:val="baseline"/>
                <w:lang w:val="en-US" w:eastAsia="zh-CN"/>
              </w:rPr>
              <w:t>&lt;3</w:t>
            </w:r>
          </w:p>
        </w:tc>
        <w:tc>
          <w:tcPr>
            <w:tcW w:w="511" w:type="pct"/>
            <w:tcBorders>
              <w:tl2br w:val="nil"/>
              <w:tr2bl w:val="nil"/>
            </w:tcBorders>
            <w:noWrap w:val="0"/>
            <w:vAlign w:val="center"/>
          </w:tcPr>
          <w:p w14:paraId="50D3A1AA">
            <w:pPr>
              <w:adjustRightInd/>
              <w:snapToGrid/>
              <w:spacing w:line="240" w:lineRule="auto"/>
              <w:ind w:firstLine="0" w:firstLineChars="0"/>
              <w:jc w:val="center"/>
              <w:rPr>
                <w:rFonts w:hint="default" w:ascii="Times New Roman" w:hAnsi="Times New Roman" w:eastAsia="宋体" w:cs="Times New Roman"/>
                <w:strike w:val="0"/>
                <w:dstrike w:val="0"/>
                <w:color w:val="FF0000"/>
                <w:sz w:val="21"/>
                <w:szCs w:val="21"/>
                <w:highlight w:val="none"/>
                <w:vertAlign w:val="baseline"/>
                <w:lang w:val="en-US" w:eastAsia="zh-CN"/>
              </w:rPr>
            </w:pPr>
            <w:r>
              <w:rPr>
                <w:rFonts w:hint="eastAsia" w:cs="Times New Roman"/>
                <w:strike w:val="0"/>
                <w:dstrike w:val="0"/>
                <w:color w:val="FF0000"/>
                <w:sz w:val="21"/>
                <w:szCs w:val="21"/>
                <w:highlight w:val="none"/>
                <w:vertAlign w:val="baseline"/>
                <w:lang w:val="en-US" w:eastAsia="zh-CN"/>
              </w:rPr>
              <w:t>/</w:t>
            </w:r>
          </w:p>
        </w:tc>
        <w:tc>
          <w:tcPr>
            <w:tcW w:w="511" w:type="pct"/>
            <w:tcBorders>
              <w:tl2br w:val="nil"/>
              <w:tr2bl w:val="nil"/>
            </w:tcBorders>
            <w:noWrap w:val="0"/>
            <w:vAlign w:val="center"/>
          </w:tcPr>
          <w:p w14:paraId="7B4D80CA">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highlight w:val="none"/>
                <w:vertAlign w:val="baseline"/>
                <w:lang w:val="en-US" w:eastAsia="zh-CN"/>
              </w:rPr>
              <w:t>&lt;</w:t>
            </w:r>
            <w:r>
              <w:rPr>
                <w:rFonts w:hint="eastAsia" w:ascii="Times New Roman" w:hAnsi="Times New Roman" w:eastAsia="宋体" w:cs="Times New Roman"/>
                <w:color w:val="auto"/>
                <w:sz w:val="21"/>
                <w:szCs w:val="21"/>
                <w:lang w:val="en-US" w:eastAsia="zh-CN"/>
              </w:rPr>
              <w:t>5</w:t>
            </w:r>
            <w:r>
              <w:rPr>
                <w:rFonts w:hint="default" w:ascii="Times New Roman" w:hAnsi="Times New Roman" w:eastAsia="宋体"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-3</w:t>
            </w:r>
          </w:p>
        </w:tc>
        <w:tc>
          <w:tcPr>
            <w:tcW w:w="511" w:type="pct"/>
            <w:tcBorders>
              <w:tl2br w:val="nil"/>
              <w:tr2bl w:val="nil"/>
            </w:tcBorders>
            <w:noWrap w:val="0"/>
            <w:vAlign w:val="center"/>
          </w:tcPr>
          <w:p w14:paraId="74469F53">
            <w:pPr>
              <w:adjustRightInd/>
              <w:snapToGrid/>
              <w:spacing w:line="240" w:lineRule="auto"/>
              <w:ind w:firstLine="0" w:firstLineChars="0"/>
              <w:jc w:val="center"/>
              <w:rPr>
                <w:rFonts w:hint="default" w:ascii="Times New Roman" w:hAnsi="Times New Roman" w:eastAsia="宋体" w:cs="Times New Roman"/>
                <w:strike w:val="0"/>
                <w:dstrike w:val="0"/>
                <w:color w:val="FF0000"/>
                <w:sz w:val="21"/>
                <w:szCs w:val="21"/>
                <w:highlight w:val="none"/>
                <w:vertAlign w:val="baseline"/>
                <w:lang w:val="en-US" w:eastAsia="zh-CN"/>
              </w:rPr>
            </w:pPr>
            <w:r>
              <w:rPr>
                <w:rFonts w:hint="eastAsia" w:cs="Times New Roman"/>
                <w:strike w:val="0"/>
                <w:dstrike w:val="0"/>
                <w:color w:val="FF0000"/>
                <w:sz w:val="21"/>
                <w:szCs w:val="21"/>
                <w:highlight w:val="none"/>
                <w:vertAlign w:val="baseline"/>
                <w:lang w:val="en-US" w:eastAsia="zh-CN"/>
              </w:rPr>
              <w:t>/</w:t>
            </w:r>
          </w:p>
        </w:tc>
      </w:tr>
      <w:tr w14:paraId="3DB7E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76" w:type="pct"/>
            <w:vMerge w:val="restart"/>
            <w:tcBorders>
              <w:tl2br w:val="nil"/>
              <w:tr2bl w:val="nil"/>
            </w:tcBorders>
            <w:noWrap w:val="0"/>
            <w:vAlign w:val="center"/>
          </w:tcPr>
          <w:p w14:paraId="17274577">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2026.05.31</w:t>
            </w:r>
          </w:p>
        </w:tc>
        <w:tc>
          <w:tcPr>
            <w:tcW w:w="521" w:type="pct"/>
            <w:vMerge w:val="restart"/>
            <w:tcBorders>
              <w:tl2br w:val="nil"/>
              <w:tr2bl w:val="nil"/>
            </w:tcBorders>
            <w:noWrap w:val="0"/>
            <w:vAlign w:val="center"/>
          </w:tcPr>
          <w:p w14:paraId="1D97D76D">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DA006汽车配件挂镀锌线废气处理设施进口</w:t>
            </w:r>
          </w:p>
        </w:tc>
        <w:tc>
          <w:tcPr>
            <w:tcW w:w="446" w:type="pct"/>
            <w:tcBorders>
              <w:tl2br w:val="nil"/>
              <w:tr2bl w:val="nil"/>
            </w:tcBorders>
            <w:noWrap w:val="0"/>
            <w:vAlign w:val="center"/>
          </w:tcPr>
          <w:p w14:paraId="5E301066">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w:t>
            </w:r>
          </w:p>
        </w:tc>
        <w:tc>
          <w:tcPr>
            <w:tcW w:w="488" w:type="pct"/>
            <w:tcBorders>
              <w:tl2br w:val="nil"/>
              <w:tr2bl w:val="nil"/>
            </w:tcBorders>
            <w:noWrap w:val="0"/>
            <w:vAlign w:val="center"/>
          </w:tcPr>
          <w:p w14:paraId="29FC5618">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1.49</w:t>
            </w:r>
            <w:r>
              <w:rPr>
                <w:rFonts w:hint="default" w:ascii="Times New Roman" w:hAnsi="Times New Roman" w:eastAsia="宋体" w:cs="Times New Roman"/>
                <w:i w:val="0"/>
                <w:iCs w:val="0"/>
                <w:color w:val="auto"/>
                <w:kern w:val="0"/>
                <w:sz w:val="21"/>
                <w:szCs w:val="21"/>
                <w:u w:val="none"/>
                <w:lang w:val="en-US" w:eastAsia="zh-CN" w:bidi="ar"/>
              </w:rPr>
              <w:t>×10</w:t>
            </w:r>
            <w:r>
              <w:rPr>
                <w:rFonts w:hint="eastAsia" w:ascii="Times New Roman" w:hAnsi="Times New Roman" w:eastAsia="宋体" w:cs="Times New Roman"/>
                <w:i w:val="0"/>
                <w:iCs w:val="0"/>
                <w:color w:val="auto"/>
                <w:kern w:val="0"/>
                <w:sz w:val="21"/>
                <w:szCs w:val="21"/>
                <w:u w:val="none"/>
                <w:vertAlign w:val="superscript"/>
                <w:lang w:val="en-US" w:eastAsia="zh-CN" w:bidi="ar"/>
              </w:rPr>
              <w:t>4</w:t>
            </w:r>
            <w:r>
              <w:rPr>
                <w:rFonts w:hint="eastAsia" w:ascii="Times New Roman" w:hAnsi="Times New Roman" w:eastAsia="宋体" w:cs="Times New Roman"/>
                <w:sz w:val="21"/>
                <w:szCs w:val="21"/>
                <w:vertAlign w:val="baseline"/>
                <w:lang w:val="en-US" w:eastAsia="zh-CN"/>
              </w:rPr>
              <w:t xml:space="preserve"> </w:t>
            </w:r>
          </w:p>
        </w:tc>
        <w:tc>
          <w:tcPr>
            <w:tcW w:w="511" w:type="pct"/>
            <w:tcBorders>
              <w:tl2br w:val="nil"/>
              <w:tr2bl w:val="nil"/>
            </w:tcBorders>
            <w:noWrap w:val="0"/>
            <w:vAlign w:val="center"/>
          </w:tcPr>
          <w:p w14:paraId="0ABEF59C">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7.99</w:t>
            </w:r>
          </w:p>
        </w:tc>
        <w:tc>
          <w:tcPr>
            <w:tcW w:w="511" w:type="pct"/>
            <w:tcBorders>
              <w:tl2br w:val="nil"/>
              <w:tr2bl w:val="nil"/>
            </w:tcBorders>
            <w:noWrap w:val="0"/>
            <w:vAlign w:val="center"/>
          </w:tcPr>
          <w:p w14:paraId="34746545">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0.119 </w:t>
            </w:r>
          </w:p>
        </w:tc>
        <w:tc>
          <w:tcPr>
            <w:tcW w:w="511" w:type="pct"/>
            <w:tcBorders>
              <w:tl2br w:val="nil"/>
              <w:tr2bl w:val="nil"/>
            </w:tcBorders>
            <w:noWrap w:val="0"/>
            <w:vAlign w:val="center"/>
          </w:tcPr>
          <w:p w14:paraId="04591823">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highlight w:val="none"/>
                <w:vertAlign w:val="baseline"/>
                <w:lang w:val="en-US" w:eastAsia="zh-CN"/>
              </w:rPr>
              <w:t>&lt;3</w:t>
            </w:r>
          </w:p>
        </w:tc>
        <w:tc>
          <w:tcPr>
            <w:tcW w:w="511" w:type="pct"/>
            <w:tcBorders>
              <w:tl2br w:val="nil"/>
              <w:tr2bl w:val="nil"/>
            </w:tcBorders>
            <w:noWrap w:val="0"/>
            <w:vAlign w:val="center"/>
          </w:tcPr>
          <w:p w14:paraId="7B22A653">
            <w:pPr>
              <w:adjustRightInd/>
              <w:snapToGrid/>
              <w:spacing w:line="240" w:lineRule="auto"/>
              <w:ind w:firstLine="0" w:firstLineChars="0"/>
              <w:jc w:val="center"/>
              <w:rPr>
                <w:rFonts w:hint="default" w:ascii="Times New Roman" w:hAnsi="Times New Roman" w:eastAsia="宋体" w:cs="Times New Roman"/>
                <w:strike w:val="0"/>
                <w:dstrike w:val="0"/>
                <w:color w:val="FF0000"/>
                <w:sz w:val="21"/>
                <w:szCs w:val="21"/>
                <w:highlight w:val="none"/>
                <w:vertAlign w:val="baseline"/>
                <w:lang w:val="en-US" w:eastAsia="zh-CN"/>
              </w:rPr>
            </w:pPr>
            <w:r>
              <w:rPr>
                <w:rFonts w:hint="eastAsia" w:cs="Times New Roman"/>
                <w:strike w:val="0"/>
                <w:dstrike w:val="0"/>
                <w:color w:val="FF0000"/>
                <w:sz w:val="21"/>
                <w:szCs w:val="21"/>
                <w:highlight w:val="none"/>
                <w:vertAlign w:val="baseline"/>
                <w:lang w:val="en-US" w:eastAsia="zh-CN"/>
              </w:rPr>
              <w:t>/</w:t>
            </w:r>
          </w:p>
        </w:tc>
        <w:tc>
          <w:tcPr>
            <w:tcW w:w="511" w:type="pct"/>
            <w:tcBorders>
              <w:tl2br w:val="nil"/>
              <w:tr2bl w:val="nil"/>
            </w:tcBorders>
            <w:noWrap w:val="0"/>
            <w:vAlign w:val="center"/>
          </w:tcPr>
          <w:p w14:paraId="1C20F826">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highlight w:val="none"/>
                <w:vertAlign w:val="baseline"/>
                <w:lang w:val="en-US" w:eastAsia="zh-CN"/>
              </w:rPr>
              <w:t>&lt;</w:t>
            </w:r>
            <w:r>
              <w:rPr>
                <w:rFonts w:hint="eastAsia" w:ascii="Times New Roman" w:hAnsi="Times New Roman" w:eastAsia="宋体" w:cs="Times New Roman"/>
                <w:color w:val="auto"/>
                <w:sz w:val="21"/>
                <w:szCs w:val="21"/>
                <w:lang w:val="en-US" w:eastAsia="zh-CN"/>
              </w:rPr>
              <w:t>5</w:t>
            </w:r>
            <w:r>
              <w:rPr>
                <w:rFonts w:hint="default" w:ascii="Times New Roman" w:hAnsi="Times New Roman" w:eastAsia="宋体"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-3</w:t>
            </w:r>
          </w:p>
        </w:tc>
        <w:tc>
          <w:tcPr>
            <w:tcW w:w="511" w:type="pct"/>
            <w:tcBorders>
              <w:tl2br w:val="nil"/>
              <w:tr2bl w:val="nil"/>
            </w:tcBorders>
            <w:noWrap w:val="0"/>
            <w:vAlign w:val="center"/>
          </w:tcPr>
          <w:p w14:paraId="2007B8EF">
            <w:pPr>
              <w:adjustRightInd/>
              <w:snapToGrid/>
              <w:spacing w:line="240" w:lineRule="auto"/>
              <w:ind w:firstLine="0" w:firstLineChars="0"/>
              <w:jc w:val="center"/>
              <w:rPr>
                <w:rFonts w:hint="eastAsia" w:ascii="Times New Roman" w:hAnsi="Times New Roman" w:eastAsia="宋体" w:cs="Times New Roman"/>
                <w:strike w:val="0"/>
                <w:dstrike w:val="0"/>
                <w:color w:val="FF0000"/>
                <w:sz w:val="21"/>
                <w:szCs w:val="21"/>
                <w:highlight w:val="none"/>
                <w:vertAlign w:val="baseline"/>
                <w:lang w:val="en-US" w:eastAsia="zh-CN"/>
              </w:rPr>
            </w:pPr>
            <w:r>
              <w:rPr>
                <w:rFonts w:hint="eastAsia" w:cs="Times New Roman"/>
                <w:strike w:val="0"/>
                <w:dstrike w:val="0"/>
                <w:color w:val="FF0000"/>
                <w:sz w:val="21"/>
                <w:szCs w:val="21"/>
                <w:highlight w:val="none"/>
                <w:vertAlign w:val="baseline"/>
                <w:lang w:val="en-US" w:eastAsia="zh-CN"/>
              </w:rPr>
              <w:t>/</w:t>
            </w:r>
          </w:p>
        </w:tc>
      </w:tr>
      <w:tr w14:paraId="5850C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76" w:type="pct"/>
            <w:vMerge w:val="continue"/>
            <w:tcBorders>
              <w:tl2br w:val="nil"/>
              <w:tr2bl w:val="nil"/>
            </w:tcBorders>
            <w:noWrap w:val="0"/>
            <w:vAlign w:val="center"/>
          </w:tcPr>
          <w:p w14:paraId="27E037FE">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521" w:type="pct"/>
            <w:vMerge w:val="continue"/>
            <w:tcBorders>
              <w:tl2br w:val="nil"/>
              <w:tr2bl w:val="nil"/>
            </w:tcBorders>
            <w:noWrap w:val="0"/>
            <w:vAlign w:val="center"/>
          </w:tcPr>
          <w:p w14:paraId="0B3BE7AD">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446" w:type="pct"/>
            <w:tcBorders>
              <w:tl2br w:val="nil"/>
              <w:tr2bl w:val="nil"/>
            </w:tcBorders>
            <w:noWrap w:val="0"/>
            <w:vAlign w:val="center"/>
          </w:tcPr>
          <w:p w14:paraId="15AEE022">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w:t>
            </w:r>
          </w:p>
        </w:tc>
        <w:tc>
          <w:tcPr>
            <w:tcW w:w="488" w:type="pct"/>
            <w:tcBorders>
              <w:tl2br w:val="nil"/>
              <w:tr2bl w:val="nil"/>
            </w:tcBorders>
            <w:noWrap w:val="0"/>
            <w:vAlign w:val="center"/>
          </w:tcPr>
          <w:p w14:paraId="2B6D3865">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1.50</w:t>
            </w:r>
            <w:r>
              <w:rPr>
                <w:rFonts w:hint="default" w:ascii="Times New Roman" w:hAnsi="Times New Roman" w:eastAsia="宋体" w:cs="Times New Roman"/>
                <w:i w:val="0"/>
                <w:iCs w:val="0"/>
                <w:color w:val="auto"/>
                <w:kern w:val="0"/>
                <w:sz w:val="21"/>
                <w:szCs w:val="21"/>
                <w:u w:val="none"/>
                <w:lang w:val="en-US" w:eastAsia="zh-CN" w:bidi="ar"/>
              </w:rPr>
              <w:t>×10</w:t>
            </w:r>
            <w:r>
              <w:rPr>
                <w:rFonts w:hint="eastAsia" w:ascii="Times New Roman" w:hAnsi="Times New Roman" w:eastAsia="宋体" w:cs="Times New Roman"/>
                <w:i w:val="0"/>
                <w:iCs w:val="0"/>
                <w:color w:val="auto"/>
                <w:kern w:val="0"/>
                <w:sz w:val="21"/>
                <w:szCs w:val="21"/>
                <w:u w:val="none"/>
                <w:vertAlign w:val="superscript"/>
                <w:lang w:val="en-US" w:eastAsia="zh-CN" w:bidi="ar"/>
              </w:rPr>
              <w:t>4</w:t>
            </w:r>
            <w:r>
              <w:rPr>
                <w:rFonts w:hint="eastAsia" w:ascii="Times New Roman" w:hAnsi="Times New Roman" w:eastAsia="宋体" w:cs="Times New Roman"/>
                <w:sz w:val="21"/>
                <w:szCs w:val="21"/>
                <w:vertAlign w:val="baseline"/>
                <w:lang w:val="en-US" w:eastAsia="zh-CN"/>
              </w:rPr>
              <w:t xml:space="preserve"> </w:t>
            </w:r>
          </w:p>
        </w:tc>
        <w:tc>
          <w:tcPr>
            <w:tcW w:w="511" w:type="pct"/>
            <w:tcBorders>
              <w:tl2br w:val="nil"/>
              <w:tr2bl w:val="nil"/>
            </w:tcBorders>
            <w:noWrap w:val="0"/>
            <w:vAlign w:val="center"/>
          </w:tcPr>
          <w:p w14:paraId="6D4319FB">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7.86</w:t>
            </w:r>
          </w:p>
        </w:tc>
        <w:tc>
          <w:tcPr>
            <w:tcW w:w="511" w:type="pct"/>
            <w:tcBorders>
              <w:tl2br w:val="nil"/>
              <w:tr2bl w:val="nil"/>
            </w:tcBorders>
            <w:noWrap w:val="0"/>
            <w:vAlign w:val="center"/>
          </w:tcPr>
          <w:p w14:paraId="63C77165">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0.118 </w:t>
            </w:r>
          </w:p>
        </w:tc>
        <w:tc>
          <w:tcPr>
            <w:tcW w:w="511" w:type="pct"/>
            <w:tcBorders>
              <w:tl2br w:val="nil"/>
              <w:tr2bl w:val="nil"/>
            </w:tcBorders>
            <w:noWrap w:val="0"/>
            <w:vAlign w:val="center"/>
          </w:tcPr>
          <w:p w14:paraId="109D04AA">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highlight w:val="none"/>
                <w:vertAlign w:val="baseline"/>
                <w:lang w:val="en-US" w:eastAsia="zh-CN"/>
              </w:rPr>
              <w:t>&lt;3</w:t>
            </w:r>
          </w:p>
        </w:tc>
        <w:tc>
          <w:tcPr>
            <w:tcW w:w="511" w:type="pct"/>
            <w:tcBorders>
              <w:tl2br w:val="nil"/>
              <w:tr2bl w:val="nil"/>
            </w:tcBorders>
            <w:noWrap w:val="0"/>
            <w:vAlign w:val="center"/>
          </w:tcPr>
          <w:p w14:paraId="6A7CCFBF">
            <w:pPr>
              <w:adjustRightInd/>
              <w:snapToGrid/>
              <w:spacing w:line="240" w:lineRule="auto"/>
              <w:ind w:firstLine="0" w:firstLineChars="0"/>
              <w:jc w:val="center"/>
              <w:rPr>
                <w:rFonts w:hint="default" w:ascii="Times New Roman" w:hAnsi="Times New Roman" w:eastAsia="宋体" w:cs="Times New Roman"/>
                <w:strike w:val="0"/>
                <w:dstrike w:val="0"/>
                <w:color w:val="FF0000"/>
                <w:sz w:val="21"/>
                <w:szCs w:val="21"/>
                <w:highlight w:val="none"/>
                <w:vertAlign w:val="baseline"/>
                <w:lang w:val="en-US" w:eastAsia="zh-CN"/>
              </w:rPr>
            </w:pPr>
            <w:r>
              <w:rPr>
                <w:rFonts w:hint="eastAsia" w:cs="Times New Roman"/>
                <w:strike w:val="0"/>
                <w:dstrike w:val="0"/>
                <w:color w:val="FF0000"/>
                <w:sz w:val="21"/>
                <w:szCs w:val="21"/>
                <w:highlight w:val="none"/>
                <w:vertAlign w:val="baseline"/>
                <w:lang w:val="en-US" w:eastAsia="zh-CN"/>
              </w:rPr>
              <w:t>/</w:t>
            </w:r>
          </w:p>
        </w:tc>
        <w:tc>
          <w:tcPr>
            <w:tcW w:w="511" w:type="pct"/>
            <w:tcBorders>
              <w:tl2br w:val="nil"/>
              <w:tr2bl w:val="nil"/>
            </w:tcBorders>
            <w:noWrap w:val="0"/>
            <w:vAlign w:val="center"/>
          </w:tcPr>
          <w:p w14:paraId="79DF5954">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highlight w:val="none"/>
                <w:vertAlign w:val="baseline"/>
                <w:lang w:val="en-US" w:eastAsia="zh-CN"/>
              </w:rPr>
              <w:t>&lt;</w:t>
            </w:r>
            <w:r>
              <w:rPr>
                <w:rFonts w:hint="eastAsia" w:ascii="Times New Roman" w:hAnsi="Times New Roman" w:eastAsia="宋体" w:cs="Times New Roman"/>
                <w:color w:val="auto"/>
                <w:sz w:val="21"/>
                <w:szCs w:val="21"/>
                <w:lang w:val="en-US" w:eastAsia="zh-CN"/>
              </w:rPr>
              <w:t>5</w:t>
            </w:r>
            <w:r>
              <w:rPr>
                <w:rFonts w:hint="default" w:ascii="Times New Roman" w:hAnsi="Times New Roman" w:eastAsia="宋体"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-3</w:t>
            </w:r>
          </w:p>
        </w:tc>
        <w:tc>
          <w:tcPr>
            <w:tcW w:w="511" w:type="pct"/>
            <w:tcBorders>
              <w:tl2br w:val="nil"/>
              <w:tr2bl w:val="nil"/>
            </w:tcBorders>
            <w:noWrap w:val="0"/>
            <w:vAlign w:val="center"/>
          </w:tcPr>
          <w:p w14:paraId="1981704A">
            <w:pPr>
              <w:adjustRightInd/>
              <w:snapToGrid/>
              <w:spacing w:line="240" w:lineRule="auto"/>
              <w:ind w:firstLine="0" w:firstLineChars="0"/>
              <w:jc w:val="center"/>
              <w:rPr>
                <w:rFonts w:hint="eastAsia" w:ascii="Times New Roman" w:hAnsi="Times New Roman" w:eastAsia="宋体" w:cs="Times New Roman"/>
                <w:strike w:val="0"/>
                <w:dstrike w:val="0"/>
                <w:color w:val="FF0000"/>
                <w:sz w:val="21"/>
                <w:szCs w:val="21"/>
                <w:highlight w:val="none"/>
                <w:vertAlign w:val="baseline"/>
                <w:lang w:val="en-US" w:eastAsia="zh-CN"/>
              </w:rPr>
            </w:pPr>
            <w:r>
              <w:rPr>
                <w:rFonts w:hint="eastAsia" w:cs="Times New Roman"/>
                <w:strike w:val="0"/>
                <w:dstrike w:val="0"/>
                <w:color w:val="FF0000"/>
                <w:sz w:val="21"/>
                <w:szCs w:val="21"/>
                <w:highlight w:val="none"/>
                <w:vertAlign w:val="baseline"/>
                <w:lang w:val="en-US" w:eastAsia="zh-CN"/>
              </w:rPr>
              <w:t>/</w:t>
            </w:r>
          </w:p>
        </w:tc>
      </w:tr>
      <w:tr w14:paraId="2F295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76" w:type="pct"/>
            <w:vMerge w:val="continue"/>
            <w:tcBorders>
              <w:tl2br w:val="nil"/>
              <w:tr2bl w:val="nil"/>
            </w:tcBorders>
            <w:noWrap w:val="0"/>
            <w:vAlign w:val="center"/>
          </w:tcPr>
          <w:p w14:paraId="49537296">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521" w:type="pct"/>
            <w:vMerge w:val="continue"/>
            <w:tcBorders>
              <w:tl2br w:val="nil"/>
              <w:tr2bl w:val="nil"/>
            </w:tcBorders>
            <w:noWrap w:val="0"/>
            <w:vAlign w:val="center"/>
          </w:tcPr>
          <w:p w14:paraId="6AA6FD75">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446" w:type="pct"/>
            <w:tcBorders>
              <w:tl2br w:val="nil"/>
              <w:tr2bl w:val="nil"/>
            </w:tcBorders>
            <w:noWrap w:val="0"/>
            <w:vAlign w:val="center"/>
          </w:tcPr>
          <w:p w14:paraId="46B00C6A">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3</w:t>
            </w:r>
          </w:p>
        </w:tc>
        <w:tc>
          <w:tcPr>
            <w:tcW w:w="488" w:type="pct"/>
            <w:tcBorders>
              <w:tl2br w:val="nil"/>
              <w:tr2bl w:val="nil"/>
            </w:tcBorders>
            <w:noWrap w:val="0"/>
            <w:vAlign w:val="center"/>
          </w:tcPr>
          <w:p w14:paraId="7A30B7A8">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1.49</w:t>
            </w:r>
            <w:r>
              <w:rPr>
                <w:rFonts w:hint="default" w:ascii="Times New Roman" w:hAnsi="Times New Roman" w:eastAsia="宋体" w:cs="Times New Roman"/>
                <w:i w:val="0"/>
                <w:iCs w:val="0"/>
                <w:color w:val="auto"/>
                <w:kern w:val="0"/>
                <w:sz w:val="21"/>
                <w:szCs w:val="21"/>
                <w:u w:val="none"/>
                <w:lang w:val="en-US" w:eastAsia="zh-CN" w:bidi="ar"/>
              </w:rPr>
              <w:t>×10</w:t>
            </w:r>
            <w:r>
              <w:rPr>
                <w:rFonts w:hint="eastAsia" w:ascii="Times New Roman" w:hAnsi="Times New Roman" w:eastAsia="宋体" w:cs="Times New Roman"/>
                <w:i w:val="0"/>
                <w:iCs w:val="0"/>
                <w:color w:val="auto"/>
                <w:kern w:val="0"/>
                <w:sz w:val="21"/>
                <w:szCs w:val="21"/>
                <w:u w:val="none"/>
                <w:vertAlign w:val="superscript"/>
                <w:lang w:val="en-US" w:eastAsia="zh-CN" w:bidi="ar"/>
              </w:rPr>
              <w:t>4</w:t>
            </w:r>
            <w:r>
              <w:rPr>
                <w:rFonts w:hint="eastAsia" w:ascii="Times New Roman" w:hAnsi="Times New Roman" w:eastAsia="宋体" w:cs="Times New Roman"/>
                <w:sz w:val="21"/>
                <w:szCs w:val="21"/>
                <w:vertAlign w:val="baseline"/>
                <w:lang w:val="en-US" w:eastAsia="zh-CN"/>
              </w:rPr>
              <w:t xml:space="preserve"> </w:t>
            </w:r>
          </w:p>
        </w:tc>
        <w:tc>
          <w:tcPr>
            <w:tcW w:w="511" w:type="pct"/>
            <w:tcBorders>
              <w:tl2br w:val="nil"/>
              <w:tr2bl w:val="nil"/>
            </w:tcBorders>
            <w:noWrap w:val="0"/>
            <w:vAlign w:val="center"/>
          </w:tcPr>
          <w:p w14:paraId="7276E4DD">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7.73</w:t>
            </w:r>
          </w:p>
        </w:tc>
        <w:tc>
          <w:tcPr>
            <w:tcW w:w="511" w:type="pct"/>
            <w:tcBorders>
              <w:tl2br w:val="nil"/>
              <w:tr2bl w:val="nil"/>
            </w:tcBorders>
            <w:noWrap w:val="0"/>
            <w:vAlign w:val="center"/>
          </w:tcPr>
          <w:p w14:paraId="340794D9">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0.115</w:t>
            </w:r>
          </w:p>
        </w:tc>
        <w:tc>
          <w:tcPr>
            <w:tcW w:w="511" w:type="pct"/>
            <w:tcBorders>
              <w:tl2br w:val="nil"/>
              <w:tr2bl w:val="nil"/>
            </w:tcBorders>
            <w:noWrap w:val="0"/>
            <w:vAlign w:val="center"/>
          </w:tcPr>
          <w:p w14:paraId="35B67A6E">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highlight w:val="none"/>
                <w:vertAlign w:val="baseline"/>
                <w:lang w:val="en-US" w:eastAsia="zh-CN"/>
              </w:rPr>
              <w:t>&lt;3</w:t>
            </w:r>
          </w:p>
        </w:tc>
        <w:tc>
          <w:tcPr>
            <w:tcW w:w="511" w:type="pct"/>
            <w:tcBorders>
              <w:tl2br w:val="nil"/>
              <w:tr2bl w:val="nil"/>
            </w:tcBorders>
            <w:noWrap w:val="0"/>
            <w:vAlign w:val="center"/>
          </w:tcPr>
          <w:p w14:paraId="45E5D2C1">
            <w:pPr>
              <w:adjustRightInd/>
              <w:snapToGrid/>
              <w:spacing w:line="240" w:lineRule="auto"/>
              <w:ind w:firstLine="0" w:firstLineChars="0"/>
              <w:jc w:val="center"/>
              <w:rPr>
                <w:rFonts w:hint="default" w:ascii="Times New Roman" w:hAnsi="Times New Roman" w:eastAsia="宋体" w:cs="Times New Roman"/>
                <w:strike w:val="0"/>
                <w:dstrike w:val="0"/>
                <w:color w:val="FF0000"/>
                <w:sz w:val="21"/>
                <w:szCs w:val="21"/>
                <w:highlight w:val="none"/>
                <w:vertAlign w:val="baseline"/>
                <w:lang w:val="en-US" w:eastAsia="zh-CN"/>
              </w:rPr>
            </w:pPr>
            <w:r>
              <w:rPr>
                <w:rFonts w:hint="eastAsia" w:cs="Times New Roman"/>
                <w:strike w:val="0"/>
                <w:dstrike w:val="0"/>
                <w:color w:val="FF0000"/>
                <w:sz w:val="21"/>
                <w:szCs w:val="21"/>
                <w:highlight w:val="none"/>
                <w:vertAlign w:val="baseline"/>
                <w:lang w:val="en-US" w:eastAsia="zh-CN"/>
              </w:rPr>
              <w:t>/</w:t>
            </w:r>
          </w:p>
        </w:tc>
        <w:tc>
          <w:tcPr>
            <w:tcW w:w="511" w:type="pct"/>
            <w:tcBorders>
              <w:tl2br w:val="nil"/>
              <w:tr2bl w:val="nil"/>
            </w:tcBorders>
            <w:noWrap w:val="0"/>
            <w:vAlign w:val="center"/>
          </w:tcPr>
          <w:p w14:paraId="414B6ED3">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highlight w:val="none"/>
                <w:vertAlign w:val="baseline"/>
                <w:lang w:val="en-US" w:eastAsia="zh-CN"/>
              </w:rPr>
              <w:t>&lt;</w:t>
            </w:r>
            <w:r>
              <w:rPr>
                <w:rFonts w:hint="eastAsia" w:ascii="Times New Roman" w:hAnsi="Times New Roman" w:eastAsia="宋体" w:cs="Times New Roman"/>
                <w:color w:val="auto"/>
                <w:sz w:val="21"/>
                <w:szCs w:val="21"/>
                <w:lang w:val="en-US" w:eastAsia="zh-CN"/>
              </w:rPr>
              <w:t>5</w:t>
            </w:r>
            <w:r>
              <w:rPr>
                <w:rFonts w:hint="default" w:ascii="Times New Roman" w:hAnsi="Times New Roman" w:eastAsia="宋体"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-3</w:t>
            </w:r>
          </w:p>
        </w:tc>
        <w:tc>
          <w:tcPr>
            <w:tcW w:w="511" w:type="pct"/>
            <w:tcBorders>
              <w:tl2br w:val="nil"/>
              <w:tr2bl w:val="nil"/>
            </w:tcBorders>
            <w:noWrap w:val="0"/>
            <w:vAlign w:val="center"/>
          </w:tcPr>
          <w:p w14:paraId="03913852">
            <w:pPr>
              <w:adjustRightInd/>
              <w:snapToGrid/>
              <w:spacing w:line="240" w:lineRule="auto"/>
              <w:ind w:firstLine="0" w:firstLineChars="0"/>
              <w:jc w:val="center"/>
              <w:rPr>
                <w:rFonts w:hint="eastAsia" w:ascii="Times New Roman" w:hAnsi="Times New Roman" w:eastAsia="宋体" w:cs="Times New Roman"/>
                <w:strike w:val="0"/>
                <w:dstrike w:val="0"/>
                <w:color w:val="FF0000"/>
                <w:sz w:val="21"/>
                <w:szCs w:val="21"/>
                <w:highlight w:val="none"/>
                <w:vertAlign w:val="baseline"/>
                <w:lang w:val="en-US" w:eastAsia="zh-CN"/>
              </w:rPr>
            </w:pPr>
            <w:r>
              <w:rPr>
                <w:rFonts w:hint="eastAsia" w:cs="Times New Roman"/>
                <w:strike w:val="0"/>
                <w:dstrike w:val="0"/>
                <w:color w:val="FF0000"/>
                <w:sz w:val="21"/>
                <w:szCs w:val="21"/>
                <w:highlight w:val="none"/>
                <w:vertAlign w:val="baseline"/>
                <w:lang w:val="en-US" w:eastAsia="zh-CN"/>
              </w:rPr>
              <w:t>/</w:t>
            </w:r>
          </w:p>
        </w:tc>
      </w:tr>
      <w:tr w14:paraId="7FF04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76" w:type="pct"/>
            <w:vMerge w:val="continue"/>
            <w:tcBorders>
              <w:tl2br w:val="nil"/>
              <w:tr2bl w:val="nil"/>
            </w:tcBorders>
            <w:noWrap w:val="0"/>
            <w:vAlign w:val="center"/>
          </w:tcPr>
          <w:p w14:paraId="4FB7FEE5">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521" w:type="pct"/>
            <w:vMerge w:val="continue"/>
            <w:tcBorders>
              <w:tl2br w:val="nil"/>
              <w:tr2bl w:val="nil"/>
            </w:tcBorders>
            <w:noWrap w:val="0"/>
            <w:vAlign w:val="center"/>
          </w:tcPr>
          <w:p w14:paraId="2BC4E320">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446" w:type="pct"/>
            <w:tcBorders>
              <w:tl2br w:val="nil"/>
              <w:tr2bl w:val="nil"/>
            </w:tcBorders>
            <w:noWrap w:val="0"/>
            <w:vAlign w:val="center"/>
          </w:tcPr>
          <w:p w14:paraId="370FD6DD">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均值</w:t>
            </w:r>
          </w:p>
        </w:tc>
        <w:tc>
          <w:tcPr>
            <w:tcW w:w="488" w:type="pct"/>
            <w:tcBorders>
              <w:tl2br w:val="nil"/>
              <w:tr2bl w:val="nil"/>
            </w:tcBorders>
            <w:noWrap w:val="0"/>
            <w:vAlign w:val="center"/>
          </w:tcPr>
          <w:p w14:paraId="1ED281AA">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fldChar w:fldCharType="begin"/>
            </w:r>
            <w:r>
              <w:rPr>
                <w:rFonts w:hint="default" w:ascii="Times New Roman" w:hAnsi="Times New Roman" w:eastAsia="宋体" w:cs="Times New Roman"/>
                <w:sz w:val="21"/>
                <w:szCs w:val="21"/>
                <w:vertAlign w:val="baseline"/>
                <w:lang w:val="en-US" w:eastAsia="zh-CN"/>
              </w:rPr>
              <w:instrText xml:space="preserve"> = average(D11:D13) \* MERGEFORMAT </w:instrText>
            </w:r>
            <w:r>
              <w:rPr>
                <w:rFonts w:hint="default" w:ascii="Times New Roman" w:hAnsi="Times New Roman" w:eastAsia="宋体" w:cs="Times New Roman"/>
                <w:sz w:val="21"/>
                <w:szCs w:val="21"/>
                <w:vertAlign w:val="baseline"/>
                <w:lang w:val="en-US" w:eastAsia="zh-CN"/>
              </w:rPr>
              <w:fldChar w:fldCharType="separate"/>
            </w:r>
            <w:r>
              <w:rPr>
                <w:rFonts w:hint="default" w:ascii="Times New Roman" w:hAnsi="Times New Roman" w:eastAsia="宋体" w:cs="Times New Roman"/>
                <w:sz w:val="21"/>
                <w:szCs w:val="21"/>
                <w:vertAlign w:val="baseline"/>
                <w:lang w:val="en-US" w:eastAsia="zh-CN"/>
              </w:rPr>
              <w:t>1.49</w:t>
            </w:r>
            <w:r>
              <w:rPr>
                <w:rFonts w:hint="default" w:ascii="Times New Roman" w:hAnsi="Times New Roman" w:eastAsia="宋体" w:cs="Times New Roman"/>
                <w:sz w:val="21"/>
                <w:szCs w:val="21"/>
                <w:vertAlign w:val="baseline"/>
                <w:lang w:val="en-US" w:eastAsia="zh-CN"/>
              </w:rPr>
              <w:fldChar w:fldCharType="end"/>
            </w:r>
            <w:r>
              <w:rPr>
                <w:rFonts w:hint="default" w:ascii="Times New Roman" w:hAnsi="Times New Roman" w:eastAsia="宋体" w:cs="Times New Roman"/>
                <w:i w:val="0"/>
                <w:iCs w:val="0"/>
                <w:color w:val="auto"/>
                <w:kern w:val="0"/>
                <w:sz w:val="21"/>
                <w:szCs w:val="21"/>
                <w:u w:val="none"/>
                <w:lang w:val="en-US" w:eastAsia="zh-CN" w:bidi="ar"/>
              </w:rPr>
              <w:t>×10</w:t>
            </w:r>
            <w:r>
              <w:rPr>
                <w:rFonts w:hint="eastAsia" w:ascii="Times New Roman" w:hAnsi="Times New Roman" w:eastAsia="宋体" w:cs="Times New Roman"/>
                <w:i w:val="0"/>
                <w:iCs w:val="0"/>
                <w:color w:val="auto"/>
                <w:kern w:val="0"/>
                <w:sz w:val="21"/>
                <w:szCs w:val="21"/>
                <w:u w:val="none"/>
                <w:vertAlign w:val="superscript"/>
                <w:lang w:val="en-US" w:eastAsia="zh-CN" w:bidi="ar"/>
              </w:rPr>
              <w:t>4</w:t>
            </w:r>
          </w:p>
        </w:tc>
        <w:tc>
          <w:tcPr>
            <w:tcW w:w="511" w:type="pct"/>
            <w:tcBorders>
              <w:tl2br w:val="nil"/>
              <w:tr2bl w:val="nil"/>
            </w:tcBorders>
            <w:noWrap w:val="0"/>
            <w:vAlign w:val="center"/>
          </w:tcPr>
          <w:p w14:paraId="70293C04">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fldChar w:fldCharType="begin"/>
            </w:r>
            <w:r>
              <w:rPr>
                <w:rFonts w:hint="default" w:ascii="Times New Roman" w:hAnsi="Times New Roman" w:eastAsia="宋体" w:cs="Times New Roman"/>
                <w:sz w:val="21"/>
                <w:szCs w:val="21"/>
                <w:vertAlign w:val="baseline"/>
                <w:lang w:val="en-US" w:eastAsia="zh-CN"/>
              </w:rPr>
              <w:instrText xml:space="preserve"> = average(E11:E13) \* MERGEFORMAT </w:instrText>
            </w:r>
            <w:r>
              <w:rPr>
                <w:rFonts w:hint="default" w:ascii="Times New Roman" w:hAnsi="Times New Roman" w:eastAsia="宋体" w:cs="Times New Roman"/>
                <w:sz w:val="21"/>
                <w:szCs w:val="21"/>
                <w:vertAlign w:val="baseline"/>
                <w:lang w:val="en-US" w:eastAsia="zh-CN"/>
              </w:rPr>
              <w:fldChar w:fldCharType="separate"/>
            </w:r>
            <w:r>
              <w:rPr>
                <w:rFonts w:hint="default" w:ascii="Times New Roman" w:hAnsi="Times New Roman" w:eastAsia="宋体" w:cs="Times New Roman"/>
                <w:sz w:val="21"/>
                <w:szCs w:val="21"/>
                <w:vertAlign w:val="baseline"/>
                <w:lang w:val="en-US" w:eastAsia="zh-CN"/>
              </w:rPr>
              <w:t>7.86</w:t>
            </w:r>
            <w:r>
              <w:rPr>
                <w:rFonts w:hint="default" w:ascii="Times New Roman" w:hAnsi="Times New Roman" w:eastAsia="宋体" w:cs="Times New Roman"/>
                <w:sz w:val="21"/>
                <w:szCs w:val="21"/>
                <w:vertAlign w:val="baseline"/>
                <w:lang w:val="en-US" w:eastAsia="zh-CN"/>
              </w:rPr>
              <w:fldChar w:fldCharType="end"/>
            </w:r>
          </w:p>
        </w:tc>
        <w:tc>
          <w:tcPr>
            <w:tcW w:w="511" w:type="pct"/>
            <w:tcBorders>
              <w:tl2br w:val="nil"/>
              <w:tr2bl w:val="nil"/>
            </w:tcBorders>
            <w:noWrap w:val="0"/>
            <w:vAlign w:val="center"/>
          </w:tcPr>
          <w:p w14:paraId="117022E3">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0.117</w:t>
            </w:r>
          </w:p>
        </w:tc>
        <w:tc>
          <w:tcPr>
            <w:tcW w:w="511" w:type="pct"/>
            <w:tcBorders>
              <w:tl2br w:val="nil"/>
              <w:tr2bl w:val="nil"/>
            </w:tcBorders>
            <w:noWrap w:val="0"/>
            <w:vAlign w:val="center"/>
          </w:tcPr>
          <w:p w14:paraId="7262C412">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highlight w:val="none"/>
                <w:vertAlign w:val="baseline"/>
                <w:lang w:val="en-US" w:eastAsia="zh-CN"/>
              </w:rPr>
              <w:t>&lt;3</w:t>
            </w:r>
          </w:p>
        </w:tc>
        <w:tc>
          <w:tcPr>
            <w:tcW w:w="511" w:type="pct"/>
            <w:tcBorders>
              <w:tl2br w:val="nil"/>
              <w:tr2bl w:val="nil"/>
            </w:tcBorders>
            <w:noWrap w:val="0"/>
            <w:vAlign w:val="center"/>
          </w:tcPr>
          <w:p w14:paraId="26AB1D8D">
            <w:pPr>
              <w:adjustRightInd/>
              <w:snapToGrid/>
              <w:spacing w:line="240" w:lineRule="auto"/>
              <w:ind w:firstLine="0" w:firstLineChars="0"/>
              <w:jc w:val="center"/>
              <w:rPr>
                <w:rFonts w:hint="default" w:ascii="Times New Roman" w:hAnsi="Times New Roman" w:eastAsia="宋体" w:cs="Times New Roman"/>
                <w:strike w:val="0"/>
                <w:dstrike w:val="0"/>
                <w:color w:val="FF0000"/>
                <w:sz w:val="21"/>
                <w:szCs w:val="21"/>
                <w:highlight w:val="none"/>
                <w:vertAlign w:val="baseline"/>
                <w:lang w:val="en-US" w:eastAsia="zh-CN"/>
              </w:rPr>
            </w:pPr>
            <w:r>
              <w:rPr>
                <w:rFonts w:hint="eastAsia" w:cs="Times New Roman"/>
                <w:strike w:val="0"/>
                <w:dstrike w:val="0"/>
                <w:color w:val="FF0000"/>
                <w:sz w:val="21"/>
                <w:szCs w:val="21"/>
                <w:highlight w:val="none"/>
                <w:vertAlign w:val="baseline"/>
                <w:lang w:val="en-US" w:eastAsia="zh-CN"/>
              </w:rPr>
              <w:t>/</w:t>
            </w:r>
          </w:p>
        </w:tc>
        <w:tc>
          <w:tcPr>
            <w:tcW w:w="511" w:type="pct"/>
            <w:tcBorders>
              <w:tl2br w:val="nil"/>
              <w:tr2bl w:val="nil"/>
            </w:tcBorders>
            <w:noWrap w:val="0"/>
            <w:vAlign w:val="center"/>
          </w:tcPr>
          <w:p w14:paraId="7B51CECF">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highlight w:val="none"/>
                <w:vertAlign w:val="baseline"/>
                <w:lang w:val="en-US" w:eastAsia="zh-CN"/>
              </w:rPr>
              <w:t>&lt;</w:t>
            </w:r>
            <w:r>
              <w:rPr>
                <w:rFonts w:hint="eastAsia" w:ascii="Times New Roman" w:hAnsi="Times New Roman" w:eastAsia="宋体" w:cs="Times New Roman"/>
                <w:color w:val="auto"/>
                <w:sz w:val="21"/>
                <w:szCs w:val="21"/>
                <w:lang w:val="en-US" w:eastAsia="zh-CN"/>
              </w:rPr>
              <w:t>5</w:t>
            </w:r>
            <w:r>
              <w:rPr>
                <w:rFonts w:hint="default" w:ascii="Times New Roman" w:hAnsi="Times New Roman" w:eastAsia="宋体"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-3</w:t>
            </w:r>
          </w:p>
        </w:tc>
        <w:tc>
          <w:tcPr>
            <w:tcW w:w="511" w:type="pct"/>
            <w:tcBorders>
              <w:tl2br w:val="nil"/>
              <w:tr2bl w:val="nil"/>
            </w:tcBorders>
            <w:noWrap w:val="0"/>
            <w:vAlign w:val="center"/>
          </w:tcPr>
          <w:p w14:paraId="47CE0A2A">
            <w:pPr>
              <w:adjustRightInd/>
              <w:snapToGrid/>
              <w:spacing w:line="240" w:lineRule="auto"/>
              <w:ind w:firstLine="0" w:firstLineChars="0"/>
              <w:jc w:val="center"/>
              <w:rPr>
                <w:rFonts w:hint="eastAsia" w:ascii="Times New Roman" w:hAnsi="Times New Roman" w:eastAsia="宋体" w:cs="Times New Roman"/>
                <w:strike w:val="0"/>
                <w:dstrike w:val="0"/>
                <w:color w:val="FF0000"/>
                <w:sz w:val="21"/>
                <w:szCs w:val="21"/>
                <w:highlight w:val="none"/>
                <w:vertAlign w:val="baseline"/>
                <w:lang w:val="en-US" w:eastAsia="zh-CN"/>
              </w:rPr>
            </w:pPr>
            <w:r>
              <w:rPr>
                <w:rFonts w:hint="eastAsia" w:cs="Times New Roman"/>
                <w:strike w:val="0"/>
                <w:dstrike w:val="0"/>
                <w:color w:val="FF0000"/>
                <w:sz w:val="21"/>
                <w:szCs w:val="21"/>
                <w:highlight w:val="none"/>
                <w:vertAlign w:val="baseline"/>
                <w:lang w:val="en-US" w:eastAsia="zh-CN"/>
              </w:rPr>
              <w:t>/</w:t>
            </w:r>
          </w:p>
        </w:tc>
      </w:tr>
      <w:tr w14:paraId="1D8DF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76" w:type="pct"/>
            <w:vMerge w:val="continue"/>
            <w:tcBorders>
              <w:tl2br w:val="nil"/>
              <w:tr2bl w:val="nil"/>
            </w:tcBorders>
            <w:noWrap w:val="0"/>
            <w:vAlign w:val="center"/>
          </w:tcPr>
          <w:p w14:paraId="2E711A03">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eastAsia" w:ascii="Times New Roman" w:hAnsi="Times New Roman" w:eastAsia="宋体" w:cs="Times New Roman"/>
                <w:sz w:val="21"/>
                <w:szCs w:val="21"/>
                <w:vertAlign w:val="baseline"/>
                <w:lang w:val="en-US" w:eastAsia="zh-CN"/>
              </w:rPr>
            </w:pPr>
          </w:p>
        </w:tc>
        <w:tc>
          <w:tcPr>
            <w:tcW w:w="521" w:type="pct"/>
            <w:vMerge w:val="restart"/>
            <w:tcBorders>
              <w:tl2br w:val="nil"/>
              <w:tr2bl w:val="nil"/>
            </w:tcBorders>
            <w:noWrap w:val="0"/>
            <w:vAlign w:val="center"/>
          </w:tcPr>
          <w:p w14:paraId="363D1B79">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DA006汽车配件挂镀锌线废气处理设施出口</w:t>
            </w:r>
          </w:p>
        </w:tc>
        <w:tc>
          <w:tcPr>
            <w:tcW w:w="446" w:type="pct"/>
            <w:tcBorders>
              <w:tl2br w:val="nil"/>
              <w:tr2bl w:val="nil"/>
            </w:tcBorders>
            <w:noWrap w:val="0"/>
            <w:vAlign w:val="center"/>
          </w:tcPr>
          <w:p w14:paraId="6CE1401F">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w:t>
            </w:r>
          </w:p>
        </w:tc>
        <w:tc>
          <w:tcPr>
            <w:tcW w:w="488" w:type="pct"/>
            <w:tcBorders>
              <w:tl2br w:val="nil"/>
              <w:tr2bl w:val="nil"/>
            </w:tcBorders>
            <w:noWrap w:val="0"/>
            <w:vAlign w:val="center"/>
          </w:tcPr>
          <w:p w14:paraId="2D3F87EC">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1.50</w:t>
            </w:r>
            <w:r>
              <w:rPr>
                <w:rFonts w:hint="default" w:ascii="Times New Roman" w:hAnsi="Times New Roman" w:eastAsia="宋体" w:cs="Times New Roman"/>
                <w:i w:val="0"/>
                <w:iCs w:val="0"/>
                <w:color w:val="auto"/>
                <w:kern w:val="0"/>
                <w:sz w:val="21"/>
                <w:szCs w:val="21"/>
                <w:u w:val="none"/>
                <w:lang w:val="en-US" w:eastAsia="zh-CN" w:bidi="ar"/>
              </w:rPr>
              <w:t>×10</w:t>
            </w:r>
            <w:r>
              <w:rPr>
                <w:rFonts w:hint="eastAsia" w:ascii="Times New Roman" w:hAnsi="Times New Roman" w:eastAsia="宋体" w:cs="Times New Roman"/>
                <w:i w:val="0"/>
                <w:iCs w:val="0"/>
                <w:color w:val="auto"/>
                <w:kern w:val="0"/>
                <w:sz w:val="21"/>
                <w:szCs w:val="21"/>
                <w:u w:val="none"/>
                <w:vertAlign w:val="superscript"/>
                <w:lang w:val="en-US" w:eastAsia="zh-CN" w:bidi="ar"/>
              </w:rPr>
              <w:t>4</w:t>
            </w:r>
            <w:r>
              <w:rPr>
                <w:rFonts w:hint="eastAsia" w:ascii="Times New Roman" w:hAnsi="Times New Roman" w:eastAsia="宋体" w:cs="Times New Roman"/>
                <w:sz w:val="21"/>
                <w:szCs w:val="21"/>
                <w:vertAlign w:val="baseline"/>
                <w:lang w:val="en-US" w:eastAsia="zh-CN"/>
              </w:rPr>
              <w:t xml:space="preserve"> </w:t>
            </w:r>
          </w:p>
        </w:tc>
        <w:tc>
          <w:tcPr>
            <w:tcW w:w="511" w:type="pct"/>
            <w:tcBorders>
              <w:tl2br w:val="nil"/>
              <w:tr2bl w:val="nil"/>
            </w:tcBorders>
            <w:noWrap w:val="0"/>
            <w:vAlign w:val="center"/>
          </w:tcPr>
          <w:p w14:paraId="6F596540">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0.29</w:t>
            </w:r>
          </w:p>
        </w:tc>
        <w:tc>
          <w:tcPr>
            <w:tcW w:w="511" w:type="pct"/>
            <w:tcBorders>
              <w:tl2br w:val="nil"/>
              <w:tr2bl w:val="nil"/>
            </w:tcBorders>
            <w:noWrap w:val="0"/>
            <w:vAlign w:val="center"/>
          </w:tcPr>
          <w:p w14:paraId="716D51A0">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4.35</w:t>
            </w:r>
            <w:r>
              <w:rPr>
                <w:rFonts w:hint="default" w:ascii="Times New Roman" w:hAnsi="Times New Roman" w:eastAsia="宋体" w:cs="Times New Roman"/>
                <w:i w:val="0"/>
                <w:iCs w:val="0"/>
                <w:color w:val="auto"/>
                <w:kern w:val="0"/>
                <w:sz w:val="21"/>
                <w:szCs w:val="21"/>
                <w:u w:val="none"/>
                <w:lang w:val="en-US" w:eastAsia="zh-CN" w:bidi="ar"/>
              </w:rPr>
              <w:t>×10</w:t>
            </w:r>
            <w:r>
              <w:rPr>
                <w:rFonts w:hint="eastAsia" w:ascii="Times New Roman" w:hAnsi="Times New Roman" w:eastAsia="宋体" w:cs="Times New Roman"/>
                <w:i w:val="0"/>
                <w:iCs w:val="0"/>
                <w:color w:val="auto"/>
                <w:kern w:val="0"/>
                <w:sz w:val="21"/>
                <w:szCs w:val="21"/>
                <w:u w:val="none"/>
                <w:vertAlign w:val="superscript"/>
                <w:lang w:val="en-US" w:eastAsia="zh-CN" w:bidi="ar"/>
              </w:rPr>
              <w:t>-3</w:t>
            </w:r>
          </w:p>
        </w:tc>
        <w:tc>
          <w:tcPr>
            <w:tcW w:w="511" w:type="pct"/>
            <w:tcBorders>
              <w:tl2br w:val="nil"/>
              <w:tr2bl w:val="nil"/>
            </w:tcBorders>
            <w:noWrap w:val="0"/>
            <w:vAlign w:val="center"/>
          </w:tcPr>
          <w:p w14:paraId="23E190CC">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highlight w:val="none"/>
                <w:vertAlign w:val="baseline"/>
                <w:lang w:val="en-US" w:eastAsia="zh-CN"/>
              </w:rPr>
              <w:t>&lt;3</w:t>
            </w:r>
          </w:p>
        </w:tc>
        <w:tc>
          <w:tcPr>
            <w:tcW w:w="511" w:type="pct"/>
            <w:tcBorders>
              <w:tl2br w:val="nil"/>
              <w:tr2bl w:val="nil"/>
            </w:tcBorders>
            <w:noWrap w:val="0"/>
            <w:vAlign w:val="center"/>
          </w:tcPr>
          <w:p w14:paraId="277E858E">
            <w:pPr>
              <w:adjustRightInd/>
              <w:snapToGrid/>
              <w:spacing w:line="240" w:lineRule="auto"/>
              <w:ind w:firstLine="0" w:firstLineChars="0"/>
              <w:jc w:val="center"/>
              <w:rPr>
                <w:rFonts w:hint="default" w:ascii="Times New Roman" w:hAnsi="Times New Roman" w:eastAsia="宋体" w:cs="Times New Roman"/>
                <w:strike w:val="0"/>
                <w:dstrike w:val="0"/>
                <w:color w:val="FF0000"/>
                <w:sz w:val="21"/>
                <w:szCs w:val="21"/>
                <w:highlight w:val="none"/>
                <w:vertAlign w:val="baseline"/>
                <w:lang w:val="en-US" w:eastAsia="zh-CN"/>
              </w:rPr>
            </w:pPr>
            <w:r>
              <w:rPr>
                <w:rFonts w:hint="eastAsia" w:cs="Times New Roman"/>
                <w:strike w:val="0"/>
                <w:dstrike w:val="0"/>
                <w:color w:val="FF0000"/>
                <w:sz w:val="21"/>
                <w:szCs w:val="21"/>
                <w:highlight w:val="none"/>
                <w:vertAlign w:val="baseline"/>
                <w:lang w:val="en-US" w:eastAsia="zh-CN"/>
              </w:rPr>
              <w:t>/</w:t>
            </w:r>
          </w:p>
        </w:tc>
        <w:tc>
          <w:tcPr>
            <w:tcW w:w="511" w:type="pct"/>
            <w:tcBorders>
              <w:tl2br w:val="nil"/>
              <w:tr2bl w:val="nil"/>
            </w:tcBorders>
            <w:noWrap w:val="0"/>
            <w:vAlign w:val="center"/>
          </w:tcPr>
          <w:p w14:paraId="30DE897F">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highlight w:val="none"/>
                <w:vertAlign w:val="baseline"/>
                <w:lang w:val="en-US" w:eastAsia="zh-CN"/>
              </w:rPr>
              <w:t>&lt;</w:t>
            </w:r>
            <w:r>
              <w:rPr>
                <w:rFonts w:hint="eastAsia" w:ascii="Times New Roman" w:hAnsi="Times New Roman" w:eastAsia="宋体" w:cs="Times New Roman"/>
                <w:color w:val="auto"/>
                <w:sz w:val="21"/>
                <w:szCs w:val="21"/>
                <w:lang w:val="en-US" w:eastAsia="zh-CN"/>
              </w:rPr>
              <w:t>5</w:t>
            </w:r>
            <w:r>
              <w:rPr>
                <w:rFonts w:hint="default" w:ascii="Times New Roman" w:hAnsi="Times New Roman" w:eastAsia="宋体"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-3</w:t>
            </w:r>
          </w:p>
        </w:tc>
        <w:tc>
          <w:tcPr>
            <w:tcW w:w="511" w:type="pct"/>
            <w:tcBorders>
              <w:tl2br w:val="nil"/>
              <w:tr2bl w:val="nil"/>
            </w:tcBorders>
            <w:noWrap w:val="0"/>
            <w:vAlign w:val="center"/>
          </w:tcPr>
          <w:p w14:paraId="0793AA53">
            <w:pPr>
              <w:adjustRightInd/>
              <w:snapToGrid/>
              <w:spacing w:line="240" w:lineRule="auto"/>
              <w:ind w:firstLine="0" w:firstLineChars="0"/>
              <w:jc w:val="center"/>
              <w:rPr>
                <w:rFonts w:hint="eastAsia" w:ascii="Times New Roman" w:hAnsi="Times New Roman" w:eastAsia="宋体" w:cs="Times New Roman"/>
                <w:strike w:val="0"/>
                <w:dstrike w:val="0"/>
                <w:color w:val="FF0000"/>
                <w:sz w:val="21"/>
                <w:szCs w:val="21"/>
                <w:highlight w:val="none"/>
                <w:vertAlign w:val="baseline"/>
                <w:lang w:val="en-US" w:eastAsia="zh-CN"/>
              </w:rPr>
            </w:pPr>
            <w:r>
              <w:rPr>
                <w:rFonts w:hint="eastAsia" w:cs="Times New Roman"/>
                <w:strike w:val="0"/>
                <w:dstrike w:val="0"/>
                <w:color w:val="FF0000"/>
                <w:sz w:val="21"/>
                <w:szCs w:val="21"/>
                <w:highlight w:val="none"/>
                <w:vertAlign w:val="baseline"/>
                <w:lang w:val="en-US" w:eastAsia="zh-CN"/>
              </w:rPr>
              <w:t>/</w:t>
            </w:r>
          </w:p>
        </w:tc>
      </w:tr>
      <w:tr w14:paraId="7D76E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76" w:type="pct"/>
            <w:vMerge w:val="continue"/>
            <w:tcBorders>
              <w:tl2br w:val="nil"/>
              <w:tr2bl w:val="nil"/>
            </w:tcBorders>
            <w:noWrap w:val="0"/>
            <w:vAlign w:val="center"/>
          </w:tcPr>
          <w:p w14:paraId="46742873">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521" w:type="pct"/>
            <w:vMerge w:val="continue"/>
            <w:tcBorders>
              <w:tl2br w:val="nil"/>
              <w:tr2bl w:val="nil"/>
            </w:tcBorders>
            <w:noWrap w:val="0"/>
            <w:vAlign w:val="center"/>
          </w:tcPr>
          <w:p w14:paraId="7122729B">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446" w:type="pct"/>
            <w:tcBorders>
              <w:tl2br w:val="nil"/>
              <w:tr2bl w:val="nil"/>
            </w:tcBorders>
            <w:noWrap w:val="0"/>
            <w:vAlign w:val="center"/>
          </w:tcPr>
          <w:p w14:paraId="49905C46">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w:t>
            </w:r>
          </w:p>
        </w:tc>
        <w:tc>
          <w:tcPr>
            <w:tcW w:w="488" w:type="pct"/>
            <w:tcBorders>
              <w:tl2br w:val="nil"/>
              <w:tr2bl w:val="nil"/>
            </w:tcBorders>
            <w:noWrap w:val="0"/>
            <w:vAlign w:val="center"/>
          </w:tcPr>
          <w:p w14:paraId="7540103D">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1.52</w:t>
            </w:r>
            <w:r>
              <w:rPr>
                <w:rFonts w:hint="default" w:ascii="Times New Roman" w:hAnsi="Times New Roman" w:eastAsia="宋体" w:cs="Times New Roman"/>
                <w:i w:val="0"/>
                <w:iCs w:val="0"/>
                <w:color w:val="auto"/>
                <w:kern w:val="0"/>
                <w:sz w:val="21"/>
                <w:szCs w:val="21"/>
                <w:u w:val="none"/>
                <w:lang w:val="en-US" w:eastAsia="zh-CN" w:bidi="ar"/>
              </w:rPr>
              <w:t>×10</w:t>
            </w:r>
            <w:r>
              <w:rPr>
                <w:rFonts w:hint="eastAsia" w:ascii="Times New Roman" w:hAnsi="Times New Roman" w:eastAsia="宋体" w:cs="Times New Roman"/>
                <w:i w:val="0"/>
                <w:iCs w:val="0"/>
                <w:color w:val="auto"/>
                <w:kern w:val="0"/>
                <w:sz w:val="21"/>
                <w:szCs w:val="21"/>
                <w:u w:val="none"/>
                <w:vertAlign w:val="superscript"/>
                <w:lang w:val="en-US" w:eastAsia="zh-CN" w:bidi="ar"/>
              </w:rPr>
              <w:t>4</w:t>
            </w:r>
            <w:r>
              <w:rPr>
                <w:rFonts w:hint="eastAsia" w:ascii="Times New Roman" w:hAnsi="Times New Roman" w:eastAsia="宋体" w:cs="Times New Roman"/>
                <w:sz w:val="21"/>
                <w:szCs w:val="21"/>
                <w:vertAlign w:val="baseline"/>
                <w:lang w:val="en-US" w:eastAsia="zh-CN"/>
              </w:rPr>
              <w:t xml:space="preserve"> </w:t>
            </w:r>
          </w:p>
        </w:tc>
        <w:tc>
          <w:tcPr>
            <w:tcW w:w="511" w:type="pct"/>
            <w:tcBorders>
              <w:tl2br w:val="nil"/>
              <w:tr2bl w:val="nil"/>
            </w:tcBorders>
            <w:noWrap w:val="0"/>
            <w:vAlign w:val="center"/>
          </w:tcPr>
          <w:p w14:paraId="11119A91">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0.42</w:t>
            </w:r>
          </w:p>
        </w:tc>
        <w:tc>
          <w:tcPr>
            <w:tcW w:w="511" w:type="pct"/>
            <w:tcBorders>
              <w:tl2br w:val="nil"/>
              <w:tr2bl w:val="nil"/>
            </w:tcBorders>
            <w:noWrap w:val="0"/>
            <w:vAlign w:val="center"/>
          </w:tcPr>
          <w:p w14:paraId="14635153">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6.38</w:t>
            </w:r>
            <w:r>
              <w:rPr>
                <w:rFonts w:hint="default" w:ascii="Times New Roman" w:hAnsi="Times New Roman" w:eastAsia="宋体" w:cs="Times New Roman"/>
                <w:i w:val="0"/>
                <w:iCs w:val="0"/>
                <w:color w:val="auto"/>
                <w:kern w:val="0"/>
                <w:sz w:val="21"/>
                <w:szCs w:val="21"/>
                <w:u w:val="none"/>
                <w:lang w:val="en-US" w:eastAsia="zh-CN" w:bidi="ar"/>
              </w:rPr>
              <w:t>×10</w:t>
            </w:r>
            <w:r>
              <w:rPr>
                <w:rFonts w:hint="eastAsia" w:ascii="Times New Roman" w:hAnsi="Times New Roman" w:eastAsia="宋体" w:cs="Times New Roman"/>
                <w:i w:val="0"/>
                <w:iCs w:val="0"/>
                <w:color w:val="auto"/>
                <w:kern w:val="0"/>
                <w:sz w:val="21"/>
                <w:szCs w:val="21"/>
                <w:u w:val="none"/>
                <w:vertAlign w:val="superscript"/>
                <w:lang w:val="en-US" w:eastAsia="zh-CN" w:bidi="ar"/>
              </w:rPr>
              <w:t>-3</w:t>
            </w:r>
          </w:p>
        </w:tc>
        <w:tc>
          <w:tcPr>
            <w:tcW w:w="511" w:type="pct"/>
            <w:tcBorders>
              <w:tl2br w:val="nil"/>
              <w:tr2bl w:val="nil"/>
            </w:tcBorders>
            <w:noWrap w:val="0"/>
            <w:vAlign w:val="center"/>
          </w:tcPr>
          <w:p w14:paraId="0FE0DBCE">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highlight w:val="none"/>
                <w:vertAlign w:val="baseline"/>
                <w:lang w:val="en-US" w:eastAsia="zh-CN"/>
              </w:rPr>
              <w:t>&lt;3</w:t>
            </w:r>
          </w:p>
        </w:tc>
        <w:tc>
          <w:tcPr>
            <w:tcW w:w="511" w:type="pct"/>
            <w:tcBorders>
              <w:tl2br w:val="nil"/>
              <w:tr2bl w:val="nil"/>
            </w:tcBorders>
            <w:noWrap w:val="0"/>
            <w:vAlign w:val="center"/>
          </w:tcPr>
          <w:p w14:paraId="1B139145">
            <w:pPr>
              <w:adjustRightInd/>
              <w:snapToGrid/>
              <w:spacing w:line="240" w:lineRule="auto"/>
              <w:ind w:firstLine="0" w:firstLineChars="0"/>
              <w:jc w:val="center"/>
              <w:rPr>
                <w:rFonts w:hint="default" w:ascii="Times New Roman" w:hAnsi="Times New Roman" w:eastAsia="宋体" w:cs="Times New Roman"/>
                <w:strike w:val="0"/>
                <w:dstrike w:val="0"/>
                <w:color w:val="FF0000"/>
                <w:sz w:val="21"/>
                <w:szCs w:val="21"/>
                <w:highlight w:val="none"/>
                <w:vertAlign w:val="baseline"/>
                <w:lang w:val="en-US" w:eastAsia="zh-CN"/>
              </w:rPr>
            </w:pPr>
            <w:r>
              <w:rPr>
                <w:rFonts w:hint="eastAsia" w:cs="Times New Roman"/>
                <w:strike w:val="0"/>
                <w:dstrike w:val="0"/>
                <w:color w:val="FF0000"/>
                <w:sz w:val="21"/>
                <w:szCs w:val="21"/>
                <w:highlight w:val="none"/>
                <w:vertAlign w:val="baseline"/>
                <w:lang w:val="en-US" w:eastAsia="zh-CN"/>
              </w:rPr>
              <w:t>/</w:t>
            </w:r>
          </w:p>
        </w:tc>
        <w:tc>
          <w:tcPr>
            <w:tcW w:w="511" w:type="pct"/>
            <w:tcBorders>
              <w:tl2br w:val="nil"/>
              <w:tr2bl w:val="nil"/>
            </w:tcBorders>
            <w:noWrap w:val="0"/>
            <w:vAlign w:val="center"/>
          </w:tcPr>
          <w:p w14:paraId="7B77BA62">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highlight w:val="none"/>
                <w:vertAlign w:val="baseline"/>
                <w:lang w:val="en-US" w:eastAsia="zh-CN"/>
              </w:rPr>
              <w:t>&lt;</w:t>
            </w:r>
            <w:r>
              <w:rPr>
                <w:rFonts w:hint="eastAsia" w:ascii="Times New Roman" w:hAnsi="Times New Roman" w:eastAsia="宋体" w:cs="Times New Roman"/>
                <w:color w:val="auto"/>
                <w:sz w:val="21"/>
                <w:szCs w:val="21"/>
                <w:lang w:val="en-US" w:eastAsia="zh-CN"/>
              </w:rPr>
              <w:t>5</w:t>
            </w:r>
            <w:r>
              <w:rPr>
                <w:rFonts w:hint="default" w:ascii="Times New Roman" w:hAnsi="Times New Roman" w:eastAsia="宋体"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-3</w:t>
            </w:r>
          </w:p>
        </w:tc>
        <w:tc>
          <w:tcPr>
            <w:tcW w:w="511" w:type="pct"/>
            <w:tcBorders>
              <w:tl2br w:val="nil"/>
              <w:tr2bl w:val="nil"/>
            </w:tcBorders>
            <w:noWrap w:val="0"/>
            <w:vAlign w:val="center"/>
          </w:tcPr>
          <w:p w14:paraId="45995246">
            <w:pPr>
              <w:adjustRightInd/>
              <w:snapToGrid/>
              <w:spacing w:line="240" w:lineRule="auto"/>
              <w:ind w:firstLine="0" w:firstLineChars="0"/>
              <w:jc w:val="center"/>
              <w:rPr>
                <w:rFonts w:hint="default" w:ascii="Times New Roman" w:hAnsi="Times New Roman" w:eastAsia="宋体" w:cs="Times New Roman"/>
                <w:strike w:val="0"/>
                <w:dstrike w:val="0"/>
                <w:color w:val="FF0000"/>
                <w:sz w:val="21"/>
                <w:szCs w:val="21"/>
                <w:highlight w:val="none"/>
                <w:vertAlign w:val="baseline"/>
                <w:lang w:val="en-US" w:eastAsia="zh-CN"/>
              </w:rPr>
            </w:pPr>
            <w:r>
              <w:rPr>
                <w:rFonts w:hint="eastAsia" w:cs="Times New Roman"/>
                <w:strike w:val="0"/>
                <w:dstrike w:val="0"/>
                <w:color w:val="FF0000"/>
                <w:sz w:val="21"/>
                <w:szCs w:val="21"/>
                <w:highlight w:val="none"/>
                <w:vertAlign w:val="baseline"/>
                <w:lang w:val="en-US" w:eastAsia="zh-CN"/>
              </w:rPr>
              <w:t>/</w:t>
            </w:r>
          </w:p>
        </w:tc>
      </w:tr>
      <w:tr w14:paraId="38E84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76" w:type="pct"/>
            <w:vMerge w:val="continue"/>
            <w:tcBorders>
              <w:tl2br w:val="nil"/>
              <w:tr2bl w:val="nil"/>
            </w:tcBorders>
            <w:noWrap w:val="0"/>
            <w:vAlign w:val="center"/>
          </w:tcPr>
          <w:p w14:paraId="76737A76">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521" w:type="pct"/>
            <w:vMerge w:val="continue"/>
            <w:tcBorders>
              <w:tl2br w:val="nil"/>
              <w:tr2bl w:val="nil"/>
            </w:tcBorders>
            <w:noWrap w:val="0"/>
            <w:vAlign w:val="center"/>
          </w:tcPr>
          <w:p w14:paraId="57B56C51">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446" w:type="pct"/>
            <w:tcBorders>
              <w:tl2br w:val="nil"/>
              <w:tr2bl w:val="nil"/>
            </w:tcBorders>
            <w:noWrap w:val="0"/>
            <w:vAlign w:val="center"/>
          </w:tcPr>
          <w:p w14:paraId="2D1C9A06">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3</w:t>
            </w:r>
          </w:p>
        </w:tc>
        <w:tc>
          <w:tcPr>
            <w:tcW w:w="488" w:type="pct"/>
            <w:tcBorders>
              <w:tl2br w:val="nil"/>
              <w:tr2bl w:val="nil"/>
            </w:tcBorders>
            <w:noWrap w:val="0"/>
            <w:vAlign w:val="center"/>
          </w:tcPr>
          <w:p w14:paraId="768BA67C">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1.50</w:t>
            </w:r>
            <w:r>
              <w:rPr>
                <w:rFonts w:hint="default" w:ascii="Times New Roman" w:hAnsi="Times New Roman" w:eastAsia="宋体" w:cs="Times New Roman"/>
                <w:i w:val="0"/>
                <w:iCs w:val="0"/>
                <w:color w:val="auto"/>
                <w:kern w:val="0"/>
                <w:sz w:val="21"/>
                <w:szCs w:val="21"/>
                <w:u w:val="none"/>
                <w:lang w:val="en-US" w:eastAsia="zh-CN" w:bidi="ar"/>
              </w:rPr>
              <w:t>×10</w:t>
            </w:r>
            <w:r>
              <w:rPr>
                <w:rFonts w:hint="eastAsia" w:ascii="Times New Roman" w:hAnsi="Times New Roman" w:eastAsia="宋体" w:cs="Times New Roman"/>
                <w:i w:val="0"/>
                <w:iCs w:val="0"/>
                <w:color w:val="auto"/>
                <w:kern w:val="0"/>
                <w:sz w:val="21"/>
                <w:szCs w:val="21"/>
                <w:u w:val="none"/>
                <w:vertAlign w:val="superscript"/>
                <w:lang w:val="en-US" w:eastAsia="zh-CN" w:bidi="ar"/>
              </w:rPr>
              <w:t>4</w:t>
            </w:r>
          </w:p>
        </w:tc>
        <w:tc>
          <w:tcPr>
            <w:tcW w:w="511" w:type="pct"/>
            <w:tcBorders>
              <w:tl2br w:val="nil"/>
              <w:tr2bl w:val="nil"/>
            </w:tcBorders>
            <w:noWrap w:val="0"/>
            <w:vAlign w:val="center"/>
          </w:tcPr>
          <w:p w14:paraId="545801EF">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0.38</w:t>
            </w:r>
          </w:p>
        </w:tc>
        <w:tc>
          <w:tcPr>
            <w:tcW w:w="511" w:type="pct"/>
            <w:tcBorders>
              <w:tl2br w:val="nil"/>
              <w:tr2bl w:val="nil"/>
            </w:tcBorders>
            <w:noWrap w:val="0"/>
            <w:vAlign w:val="center"/>
          </w:tcPr>
          <w:p w14:paraId="16A25A8E">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5.70</w:t>
            </w:r>
            <w:r>
              <w:rPr>
                <w:rFonts w:hint="default" w:ascii="Times New Roman" w:hAnsi="Times New Roman" w:eastAsia="宋体" w:cs="Times New Roman"/>
                <w:i w:val="0"/>
                <w:iCs w:val="0"/>
                <w:color w:val="auto"/>
                <w:kern w:val="0"/>
                <w:sz w:val="21"/>
                <w:szCs w:val="21"/>
                <w:u w:val="none"/>
                <w:lang w:val="en-US" w:eastAsia="zh-CN" w:bidi="ar"/>
              </w:rPr>
              <w:t>×10</w:t>
            </w:r>
            <w:r>
              <w:rPr>
                <w:rFonts w:hint="eastAsia" w:ascii="Times New Roman" w:hAnsi="Times New Roman" w:eastAsia="宋体" w:cs="Times New Roman"/>
                <w:i w:val="0"/>
                <w:iCs w:val="0"/>
                <w:color w:val="auto"/>
                <w:kern w:val="0"/>
                <w:sz w:val="21"/>
                <w:szCs w:val="21"/>
                <w:u w:val="none"/>
                <w:vertAlign w:val="superscript"/>
                <w:lang w:val="en-US" w:eastAsia="zh-CN" w:bidi="ar"/>
              </w:rPr>
              <w:t>-3</w:t>
            </w:r>
            <w:r>
              <w:rPr>
                <w:rFonts w:hint="eastAsia" w:ascii="Times New Roman" w:hAnsi="Times New Roman" w:eastAsia="宋体" w:cs="Times New Roman"/>
                <w:sz w:val="21"/>
                <w:szCs w:val="21"/>
                <w:vertAlign w:val="baseline"/>
                <w:lang w:val="en-US" w:eastAsia="zh-CN"/>
              </w:rPr>
              <w:t xml:space="preserve"> </w:t>
            </w:r>
          </w:p>
        </w:tc>
        <w:tc>
          <w:tcPr>
            <w:tcW w:w="511" w:type="pct"/>
            <w:tcBorders>
              <w:tl2br w:val="nil"/>
              <w:tr2bl w:val="nil"/>
            </w:tcBorders>
            <w:noWrap w:val="0"/>
            <w:vAlign w:val="center"/>
          </w:tcPr>
          <w:p w14:paraId="4D8C7A88">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highlight w:val="none"/>
                <w:vertAlign w:val="baseline"/>
                <w:lang w:val="en-US" w:eastAsia="zh-CN"/>
              </w:rPr>
              <w:t>&lt;3</w:t>
            </w:r>
          </w:p>
        </w:tc>
        <w:tc>
          <w:tcPr>
            <w:tcW w:w="511" w:type="pct"/>
            <w:tcBorders>
              <w:tl2br w:val="nil"/>
              <w:tr2bl w:val="nil"/>
            </w:tcBorders>
            <w:noWrap w:val="0"/>
            <w:vAlign w:val="center"/>
          </w:tcPr>
          <w:p w14:paraId="4B5113CB">
            <w:pPr>
              <w:adjustRightInd/>
              <w:snapToGrid/>
              <w:spacing w:line="240" w:lineRule="auto"/>
              <w:ind w:firstLine="0" w:firstLineChars="0"/>
              <w:jc w:val="center"/>
              <w:rPr>
                <w:rFonts w:hint="default" w:ascii="Times New Roman" w:hAnsi="Times New Roman" w:eastAsia="宋体" w:cs="Times New Roman"/>
                <w:strike w:val="0"/>
                <w:dstrike w:val="0"/>
                <w:color w:val="FF0000"/>
                <w:sz w:val="21"/>
                <w:szCs w:val="21"/>
                <w:highlight w:val="none"/>
                <w:vertAlign w:val="baseline"/>
                <w:lang w:val="en-US" w:eastAsia="zh-CN"/>
              </w:rPr>
            </w:pPr>
            <w:r>
              <w:rPr>
                <w:rFonts w:hint="eastAsia" w:cs="Times New Roman"/>
                <w:strike w:val="0"/>
                <w:dstrike w:val="0"/>
                <w:color w:val="FF0000"/>
                <w:sz w:val="21"/>
                <w:szCs w:val="21"/>
                <w:highlight w:val="none"/>
                <w:vertAlign w:val="baseline"/>
                <w:lang w:val="en-US" w:eastAsia="zh-CN"/>
              </w:rPr>
              <w:t>/</w:t>
            </w:r>
          </w:p>
        </w:tc>
        <w:tc>
          <w:tcPr>
            <w:tcW w:w="511" w:type="pct"/>
            <w:tcBorders>
              <w:tl2br w:val="nil"/>
              <w:tr2bl w:val="nil"/>
            </w:tcBorders>
            <w:noWrap w:val="0"/>
            <w:vAlign w:val="center"/>
          </w:tcPr>
          <w:p w14:paraId="4B6850DD">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highlight w:val="none"/>
                <w:vertAlign w:val="baseline"/>
                <w:lang w:val="en-US" w:eastAsia="zh-CN"/>
              </w:rPr>
              <w:t>&lt;</w:t>
            </w:r>
            <w:r>
              <w:rPr>
                <w:rFonts w:hint="eastAsia" w:ascii="Times New Roman" w:hAnsi="Times New Roman" w:eastAsia="宋体" w:cs="Times New Roman"/>
                <w:color w:val="auto"/>
                <w:sz w:val="21"/>
                <w:szCs w:val="21"/>
                <w:lang w:val="en-US" w:eastAsia="zh-CN"/>
              </w:rPr>
              <w:t>5</w:t>
            </w:r>
            <w:r>
              <w:rPr>
                <w:rFonts w:hint="default" w:ascii="Times New Roman" w:hAnsi="Times New Roman" w:eastAsia="宋体"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-3</w:t>
            </w:r>
          </w:p>
        </w:tc>
        <w:tc>
          <w:tcPr>
            <w:tcW w:w="511" w:type="pct"/>
            <w:tcBorders>
              <w:tl2br w:val="nil"/>
              <w:tr2bl w:val="nil"/>
            </w:tcBorders>
            <w:noWrap w:val="0"/>
            <w:vAlign w:val="center"/>
          </w:tcPr>
          <w:p w14:paraId="31B951FB">
            <w:pPr>
              <w:adjustRightInd/>
              <w:snapToGrid/>
              <w:spacing w:line="240" w:lineRule="auto"/>
              <w:ind w:firstLine="0" w:firstLineChars="0"/>
              <w:jc w:val="center"/>
              <w:rPr>
                <w:rFonts w:hint="eastAsia" w:ascii="Times New Roman" w:hAnsi="Times New Roman" w:eastAsia="宋体" w:cs="Times New Roman"/>
                <w:strike w:val="0"/>
                <w:dstrike w:val="0"/>
                <w:color w:val="FF0000"/>
                <w:sz w:val="21"/>
                <w:szCs w:val="21"/>
                <w:highlight w:val="none"/>
                <w:vertAlign w:val="baseline"/>
                <w:lang w:val="en-US" w:eastAsia="zh-CN"/>
              </w:rPr>
            </w:pPr>
            <w:r>
              <w:rPr>
                <w:rFonts w:hint="eastAsia" w:cs="Times New Roman"/>
                <w:strike w:val="0"/>
                <w:dstrike w:val="0"/>
                <w:color w:val="FF0000"/>
                <w:sz w:val="21"/>
                <w:szCs w:val="21"/>
                <w:highlight w:val="none"/>
                <w:vertAlign w:val="baseline"/>
                <w:lang w:val="en-US" w:eastAsia="zh-CN"/>
              </w:rPr>
              <w:t>/</w:t>
            </w:r>
          </w:p>
        </w:tc>
      </w:tr>
      <w:tr w14:paraId="0C378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76" w:type="pct"/>
            <w:vMerge w:val="continue"/>
            <w:tcBorders>
              <w:tl2br w:val="nil"/>
              <w:tr2bl w:val="nil"/>
            </w:tcBorders>
            <w:noWrap w:val="0"/>
            <w:vAlign w:val="center"/>
          </w:tcPr>
          <w:p w14:paraId="59FCCB69">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521" w:type="pct"/>
            <w:vMerge w:val="continue"/>
            <w:tcBorders>
              <w:tl2br w:val="nil"/>
              <w:tr2bl w:val="nil"/>
            </w:tcBorders>
            <w:noWrap w:val="0"/>
            <w:vAlign w:val="center"/>
          </w:tcPr>
          <w:p w14:paraId="76BE52D0">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446" w:type="pct"/>
            <w:tcBorders>
              <w:tl2br w:val="nil"/>
              <w:tr2bl w:val="nil"/>
            </w:tcBorders>
            <w:noWrap w:val="0"/>
            <w:vAlign w:val="center"/>
          </w:tcPr>
          <w:p w14:paraId="61679BCD">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均值</w:t>
            </w:r>
          </w:p>
        </w:tc>
        <w:tc>
          <w:tcPr>
            <w:tcW w:w="488" w:type="pct"/>
            <w:tcBorders>
              <w:tl2br w:val="nil"/>
              <w:tr2bl w:val="nil"/>
            </w:tcBorders>
            <w:noWrap w:val="0"/>
            <w:vAlign w:val="center"/>
          </w:tcPr>
          <w:p w14:paraId="09893FFA">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fldChar w:fldCharType="begin"/>
            </w:r>
            <w:r>
              <w:rPr>
                <w:rFonts w:hint="default" w:ascii="Times New Roman" w:hAnsi="Times New Roman" w:eastAsia="宋体" w:cs="Times New Roman"/>
                <w:sz w:val="21"/>
                <w:szCs w:val="21"/>
                <w:vertAlign w:val="baseline"/>
                <w:lang w:val="en-US" w:eastAsia="zh-CN"/>
              </w:rPr>
              <w:instrText xml:space="preserve"> = average(D15:D17) \* MERGEFORMAT </w:instrText>
            </w:r>
            <w:r>
              <w:rPr>
                <w:rFonts w:hint="default" w:ascii="Times New Roman" w:hAnsi="Times New Roman" w:eastAsia="宋体" w:cs="Times New Roman"/>
                <w:sz w:val="21"/>
                <w:szCs w:val="21"/>
                <w:vertAlign w:val="baseline"/>
                <w:lang w:val="en-US" w:eastAsia="zh-CN"/>
              </w:rPr>
              <w:fldChar w:fldCharType="separate"/>
            </w:r>
            <w:r>
              <w:rPr>
                <w:rFonts w:hint="default" w:ascii="Times New Roman" w:hAnsi="Times New Roman" w:eastAsia="宋体" w:cs="Times New Roman"/>
                <w:sz w:val="21"/>
                <w:szCs w:val="21"/>
                <w:vertAlign w:val="baseline"/>
                <w:lang w:val="en-US" w:eastAsia="zh-CN"/>
              </w:rPr>
              <w:t>1.5</w:t>
            </w:r>
            <w:r>
              <w:rPr>
                <w:rFonts w:hint="eastAsia" w:ascii="Times New Roman" w:hAnsi="Times New Roman" w:eastAsia="宋体" w:cs="Times New Roman"/>
                <w:sz w:val="21"/>
                <w:szCs w:val="21"/>
                <w:vertAlign w:val="baseline"/>
                <w:lang w:val="en-US" w:eastAsia="zh-CN"/>
              </w:rPr>
              <w:t>1</w:t>
            </w:r>
            <w:r>
              <w:rPr>
                <w:rFonts w:hint="default" w:ascii="Times New Roman" w:hAnsi="Times New Roman" w:eastAsia="宋体" w:cs="Times New Roman"/>
                <w:sz w:val="21"/>
                <w:szCs w:val="21"/>
                <w:vertAlign w:val="baseline"/>
                <w:lang w:val="en-US" w:eastAsia="zh-CN"/>
              </w:rPr>
              <w:fldChar w:fldCharType="end"/>
            </w:r>
            <w:r>
              <w:rPr>
                <w:rFonts w:hint="default" w:ascii="Times New Roman" w:hAnsi="Times New Roman" w:eastAsia="宋体" w:cs="Times New Roman"/>
                <w:i w:val="0"/>
                <w:iCs w:val="0"/>
                <w:color w:val="auto"/>
                <w:kern w:val="0"/>
                <w:sz w:val="21"/>
                <w:szCs w:val="21"/>
                <w:u w:val="none"/>
                <w:lang w:val="en-US" w:eastAsia="zh-CN" w:bidi="ar"/>
              </w:rPr>
              <w:t>×10</w:t>
            </w:r>
            <w:r>
              <w:rPr>
                <w:rFonts w:hint="eastAsia" w:ascii="Times New Roman" w:hAnsi="Times New Roman" w:eastAsia="宋体" w:cs="Times New Roman"/>
                <w:i w:val="0"/>
                <w:iCs w:val="0"/>
                <w:color w:val="auto"/>
                <w:kern w:val="0"/>
                <w:sz w:val="21"/>
                <w:szCs w:val="21"/>
                <w:u w:val="none"/>
                <w:vertAlign w:val="superscript"/>
                <w:lang w:val="en-US" w:eastAsia="zh-CN" w:bidi="ar"/>
              </w:rPr>
              <w:t>4</w:t>
            </w:r>
          </w:p>
        </w:tc>
        <w:tc>
          <w:tcPr>
            <w:tcW w:w="511" w:type="pct"/>
            <w:tcBorders>
              <w:tl2br w:val="nil"/>
              <w:tr2bl w:val="nil"/>
            </w:tcBorders>
            <w:noWrap w:val="0"/>
            <w:vAlign w:val="center"/>
          </w:tcPr>
          <w:p w14:paraId="0ED7413A">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fldChar w:fldCharType="begin"/>
            </w:r>
            <w:r>
              <w:rPr>
                <w:rFonts w:hint="default" w:ascii="Times New Roman" w:hAnsi="Times New Roman" w:eastAsia="宋体" w:cs="Times New Roman"/>
                <w:sz w:val="21"/>
                <w:szCs w:val="21"/>
                <w:vertAlign w:val="baseline"/>
                <w:lang w:val="en-US" w:eastAsia="zh-CN"/>
              </w:rPr>
              <w:instrText xml:space="preserve"> = average(E15:E17) \* MERGEFORMAT </w:instrText>
            </w:r>
            <w:r>
              <w:rPr>
                <w:rFonts w:hint="default" w:ascii="Times New Roman" w:hAnsi="Times New Roman" w:eastAsia="宋体" w:cs="Times New Roman"/>
                <w:sz w:val="21"/>
                <w:szCs w:val="21"/>
                <w:vertAlign w:val="baseline"/>
                <w:lang w:val="en-US" w:eastAsia="zh-CN"/>
              </w:rPr>
              <w:fldChar w:fldCharType="separate"/>
            </w:r>
            <w:r>
              <w:rPr>
                <w:rFonts w:hint="default" w:ascii="Times New Roman" w:hAnsi="Times New Roman" w:eastAsia="宋体" w:cs="Times New Roman"/>
                <w:sz w:val="21"/>
                <w:szCs w:val="21"/>
                <w:vertAlign w:val="baseline"/>
                <w:lang w:val="en-US" w:eastAsia="zh-CN"/>
              </w:rPr>
              <w:t>0.36</w:t>
            </w:r>
            <w:r>
              <w:rPr>
                <w:rFonts w:hint="default" w:ascii="Times New Roman" w:hAnsi="Times New Roman" w:eastAsia="宋体" w:cs="Times New Roman"/>
                <w:sz w:val="21"/>
                <w:szCs w:val="21"/>
                <w:vertAlign w:val="baseline"/>
                <w:lang w:val="en-US" w:eastAsia="zh-CN"/>
              </w:rPr>
              <w:fldChar w:fldCharType="end"/>
            </w:r>
          </w:p>
        </w:tc>
        <w:tc>
          <w:tcPr>
            <w:tcW w:w="511" w:type="pct"/>
            <w:tcBorders>
              <w:tl2br w:val="nil"/>
              <w:tr2bl w:val="nil"/>
            </w:tcBorders>
            <w:noWrap w:val="0"/>
            <w:vAlign w:val="center"/>
          </w:tcPr>
          <w:p w14:paraId="43922AD9">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5.44</w:t>
            </w:r>
            <w:r>
              <w:rPr>
                <w:rFonts w:hint="default" w:ascii="Times New Roman" w:hAnsi="Times New Roman" w:eastAsia="宋体" w:cs="Times New Roman"/>
                <w:i w:val="0"/>
                <w:iCs w:val="0"/>
                <w:color w:val="auto"/>
                <w:kern w:val="0"/>
                <w:sz w:val="21"/>
                <w:szCs w:val="21"/>
                <w:u w:val="none"/>
                <w:lang w:val="en-US" w:eastAsia="zh-CN" w:bidi="ar"/>
              </w:rPr>
              <w:t>×10</w:t>
            </w:r>
            <w:r>
              <w:rPr>
                <w:rFonts w:hint="eastAsia" w:ascii="Times New Roman" w:hAnsi="Times New Roman" w:eastAsia="宋体" w:cs="Times New Roman"/>
                <w:i w:val="0"/>
                <w:iCs w:val="0"/>
                <w:color w:val="auto"/>
                <w:kern w:val="0"/>
                <w:sz w:val="21"/>
                <w:szCs w:val="21"/>
                <w:u w:val="none"/>
                <w:vertAlign w:val="superscript"/>
                <w:lang w:val="en-US" w:eastAsia="zh-CN" w:bidi="ar"/>
              </w:rPr>
              <w:t>-3</w:t>
            </w:r>
          </w:p>
        </w:tc>
        <w:tc>
          <w:tcPr>
            <w:tcW w:w="511" w:type="pct"/>
            <w:tcBorders>
              <w:tl2br w:val="nil"/>
              <w:tr2bl w:val="nil"/>
            </w:tcBorders>
            <w:noWrap w:val="0"/>
            <w:vAlign w:val="center"/>
          </w:tcPr>
          <w:p w14:paraId="68306307">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highlight w:val="none"/>
                <w:vertAlign w:val="baseline"/>
                <w:lang w:val="en-US" w:eastAsia="zh-CN"/>
              </w:rPr>
              <w:t>&lt;3</w:t>
            </w:r>
          </w:p>
        </w:tc>
        <w:tc>
          <w:tcPr>
            <w:tcW w:w="511" w:type="pct"/>
            <w:tcBorders>
              <w:tl2br w:val="nil"/>
              <w:tr2bl w:val="nil"/>
            </w:tcBorders>
            <w:noWrap w:val="0"/>
            <w:vAlign w:val="center"/>
          </w:tcPr>
          <w:p w14:paraId="3F5AB075">
            <w:pPr>
              <w:adjustRightInd/>
              <w:snapToGrid/>
              <w:spacing w:line="240" w:lineRule="auto"/>
              <w:ind w:firstLine="0" w:firstLineChars="0"/>
              <w:jc w:val="center"/>
              <w:rPr>
                <w:rFonts w:hint="default" w:ascii="Times New Roman" w:hAnsi="Times New Roman" w:eastAsia="宋体" w:cs="Times New Roman"/>
                <w:strike w:val="0"/>
                <w:dstrike w:val="0"/>
                <w:color w:val="FF0000"/>
                <w:sz w:val="21"/>
                <w:szCs w:val="21"/>
                <w:highlight w:val="none"/>
                <w:vertAlign w:val="baseline"/>
                <w:lang w:val="en-US" w:eastAsia="zh-CN"/>
              </w:rPr>
            </w:pPr>
            <w:r>
              <w:rPr>
                <w:rFonts w:hint="eastAsia" w:cs="Times New Roman"/>
                <w:strike w:val="0"/>
                <w:dstrike w:val="0"/>
                <w:color w:val="FF0000"/>
                <w:sz w:val="21"/>
                <w:szCs w:val="21"/>
                <w:highlight w:val="none"/>
                <w:vertAlign w:val="baseline"/>
                <w:lang w:val="en-US" w:eastAsia="zh-CN"/>
              </w:rPr>
              <w:t>/</w:t>
            </w:r>
          </w:p>
        </w:tc>
        <w:tc>
          <w:tcPr>
            <w:tcW w:w="511" w:type="pct"/>
            <w:tcBorders>
              <w:tl2br w:val="nil"/>
              <w:tr2bl w:val="nil"/>
            </w:tcBorders>
            <w:noWrap w:val="0"/>
            <w:vAlign w:val="center"/>
          </w:tcPr>
          <w:p w14:paraId="1D513552">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highlight w:val="none"/>
                <w:vertAlign w:val="baseline"/>
                <w:lang w:val="en-US" w:eastAsia="zh-CN"/>
              </w:rPr>
              <w:t>&lt;</w:t>
            </w:r>
            <w:r>
              <w:rPr>
                <w:rFonts w:hint="eastAsia" w:ascii="Times New Roman" w:hAnsi="Times New Roman" w:eastAsia="宋体" w:cs="Times New Roman"/>
                <w:color w:val="auto"/>
                <w:sz w:val="21"/>
                <w:szCs w:val="21"/>
                <w:lang w:val="en-US" w:eastAsia="zh-CN"/>
              </w:rPr>
              <w:t>5</w:t>
            </w:r>
            <w:r>
              <w:rPr>
                <w:rFonts w:hint="default" w:ascii="Times New Roman" w:hAnsi="Times New Roman" w:eastAsia="宋体"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-3</w:t>
            </w:r>
          </w:p>
        </w:tc>
        <w:tc>
          <w:tcPr>
            <w:tcW w:w="511" w:type="pct"/>
            <w:tcBorders>
              <w:tl2br w:val="nil"/>
              <w:tr2bl w:val="nil"/>
            </w:tcBorders>
            <w:noWrap w:val="0"/>
            <w:vAlign w:val="center"/>
          </w:tcPr>
          <w:p w14:paraId="6391B8D6">
            <w:pPr>
              <w:adjustRightInd/>
              <w:snapToGrid/>
              <w:spacing w:line="240" w:lineRule="auto"/>
              <w:ind w:firstLine="0" w:firstLineChars="0"/>
              <w:jc w:val="center"/>
              <w:rPr>
                <w:rFonts w:hint="eastAsia" w:ascii="Times New Roman" w:hAnsi="Times New Roman" w:eastAsia="宋体" w:cs="Times New Roman"/>
                <w:strike w:val="0"/>
                <w:dstrike w:val="0"/>
                <w:color w:val="FF0000"/>
                <w:sz w:val="21"/>
                <w:szCs w:val="21"/>
                <w:highlight w:val="none"/>
                <w:vertAlign w:val="baseline"/>
                <w:lang w:val="en-US" w:eastAsia="zh-CN"/>
              </w:rPr>
            </w:pPr>
            <w:r>
              <w:rPr>
                <w:rFonts w:hint="eastAsia" w:cs="Times New Roman"/>
                <w:strike w:val="0"/>
                <w:dstrike w:val="0"/>
                <w:color w:val="FF0000"/>
                <w:sz w:val="21"/>
                <w:szCs w:val="21"/>
                <w:highlight w:val="none"/>
                <w:vertAlign w:val="baseline"/>
                <w:lang w:val="en-US" w:eastAsia="zh-CN"/>
              </w:rPr>
              <w:t>/</w:t>
            </w:r>
          </w:p>
        </w:tc>
      </w:tr>
    </w:tbl>
    <w:p w14:paraId="3F985391">
      <w:pPr>
        <w:pStyle w:val="40"/>
        <w:spacing w:beforeLines="0" w:line="520" w:lineRule="exact"/>
        <w:rPr>
          <w:rFonts w:hint="eastAsia" w:eastAsia="黑体"/>
          <w:color w:val="auto"/>
          <w:lang w:eastAsia="zh-CN"/>
        </w:rPr>
      </w:pPr>
      <w:r>
        <w:rPr>
          <w:color w:val="auto"/>
        </w:rPr>
        <w:t>表9-</w:t>
      </w:r>
      <w:r>
        <w:rPr>
          <w:rFonts w:hint="eastAsia"/>
          <w:color w:val="auto"/>
        </w:rPr>
        <w:t>5</w:t>
      </w:r>
      <w:r>
        <w:rPr>
          <w:color w:val="auto"/>
        </w:rPr>
        <w:t xml:space="preserve">            </w:t>
      </w:r>
      <w:r>
        <w:rPr>
          <w:rFonts w:hint="eastAsia"/>
          <w:color w:val="auto"/>
          <w:lang w:val="en-US" w:eastAsia="zh-CN"/>
        </w:rPr>
        <w:t xml:space="preserve">                                   </w:t>
      </w:r>
      <w:r>
        <w:rPr>
          <w:color w:val="auto"/>
        </w:rPr>
        <w:t xml:space="preserve">                    有组织废气监测结果</w:t>
      </w:r>
      <w:r>
        <w:rPr>
          <w:rFonts w:hint="eastAsia"/>
          <w:color w:val="auto"/>
          <w:lang w:eastAsia="zh-CN"/>
        </w:rPr>
        <w:t>（</w:t>
      </w:r>
      <w:r>
        <w:rPr>
          <w:rFonts w:hint="eastAsia"/>
          <w:color w:val="auto"/>
          <w:lang w:val="en-US" w:eastAsia="zh-CN"/>
        </w:rPr>
        <w:t>三</w:t>
      </w:r>
      <w:r>
        <w:rPr>
          <w:rFonts w:hint="eastAsia"/>
          <w:color w:val="auto"/>
          <w:lang w:eastAsia="zh-CN"/>
        </w:rPr>
        <w:t>）</w:t>
      </w:r>
    </w:p>
    <w:tbl>
      <w:tblPr>
        <w:tblStyle w:val="27"/>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3"/>
        <w:gridCol w:w="1482"/>
        <w:gridCol w:w="1252"/>
        <w:gridCol w:w="1377"/>
        <w:gridCol w:w="1451"/>
        <w:gridCol w:w="1457"/>
        <w:gridCol w:w="1451"/>
        <w:gridCol w:w="1457"/>
        <w:gridCol w:w="1451"/>
        <w:gridCol w:w="1468"/>
      </w:tblGrid>
      <w:tr w14:paraId="36249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79" w:type="pct"/>
            <w:vMerge w:val="restart"/>
            <w:tcBorders>
              <w:tl2br w:val="nil"/>
              <w:tr2bl w:val="nil"/>
            </w:tcBorders>
            <w:noWrap w:val="0"/>
            <w:vAlign w:val="center"/>
          </w:tcPr>
          <w:p w14:paraId="7735D35A">
            <w:pPr>
              <w:keepNext w:val="0"/>
              <w:keepLines w:val="0"/>
              <w:pageBreakBefore w:val="0"/>
              <w:widowControl/>
              <w:kinsoku/>
              <w:wordWrap/>
              <w:overflowPunct/>
              <w:topLinePunct w:val="0"/>
              <w:autoSpaceDE/>
              <w:autoSpaceDN/>
              <w:bidi w:val="0"/>
              <w:adjustRightInd/>
              <w:snapToGrid/>
              <w:spacing w:line="240" w:lineRule="auto"/>
              <w:ind w:left="-240" w:leftChars="-100" w:right="-240" w:rightChars="-100" w:firstLine="0" w:firstLineChars="0"/>
              <w:jc w:val="center"/>
              <w:textAlignment w:val="auto"/>
              <w:rPr>
                <w:rFonts w:hint="default" w:eastAsia="宋体" w:cs="Times New Roman"/>
                <w:b/>
                <w:bCs/>
                <w:sz w:val="21"/>
                <w:szCs w:val="21"/>
                <w:vertAlign w:val="baseline"/>
                <w:lang w:val="en-US" w:eastAsia="zh-CN"/>
              </w:rPr>
            </w:pPr>
            <w:r>
              <w:rPr>
                <w:rFonts w:hint="eastAsia" w:cs="Times New Roman"/>
                <w:b/>
                <w:bCs/>
                <w:sz w:val="21"/>
                <w:szCs w:val="21"/>
                <w:vertAlign w:val="baseline"/>
                <w:lang w:val="en-US" w:eastAsia="zh-CN"/>
              </w:rPr>
              <w:t>采样日期</w:t>
            </w:r>
          </w:p>
        </w:tc>
        <w:tc>
          <w:tcPr>
            <w:tcW w:w="521" w:type="pct"/>
            <w:vMerge w:val="restart"/>
            <w:tcBorders>
              <w:tl2br w:val="nil"/>
              <w:tr2bl w:val="nil"/>
            </w:tcBorders>
            <w:noWrap w:val="0"/>
            <w:vAlign w:val="center"/>
          </w:tcPr>
          <w:p w14:paraId="215E127F">
            <w:pPr>
              <w:keepNext w:val="0"/>
              <w:keepLines w:val="0"/>
              <w:pageBreakBefore w:val="0"/>
              <w:widowControl/>
              <w:kinsoku/>
              <w:wordWrap/>
              <w:overflowPunct/>
              <w:topLinePunct w:val="0"/>
              <w:autoSpaceDE/>
              <w:autoSpaceDN/>
              <w:bidi w:val="0"/>
              <w:adjustRightInd/>
              <w:snapToGrid/>
              <w:spacing w:line="240" w:lineRule="auto"/>
              <w:ind w:left="-240" w:leftChars="-100" w:right="-240" w:rightChars="-100" w:firstLine="0" w:firstLineChars="0"/>
              <w:jc w:val="center"/>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采样点位</w:t>
            </w:r>
          </w:p>
        </w:tc>
        <w:tc>
          <w:tcPr>
            <w:tcW w:w="440" w:type="pct"/>
            <w:vMerge w:val="restart"/>
            <w:tcBorders>
              <w:tl2br w:val="nil"/>
              <w:tr2bl w:val="nil"/>
            </w:tcBorders>
            <w:noWrap w:val="0"/>
            <w:vAlign w:val="center"/>
          </w:tcPr>
          <w:p w14:paraId="3C61CA88">
            <w:pPr>
              <w:keepNext w:val="0"/>
              <w:keepLines w:val="0"/>
              <w:pageBreakBefore w:val="0"/>
              <w:widowControl/>
              <w:kinsoku/>
              <w:wordWrap/>
              <w:overflowPunct/>
              <w:topLinePunct w:val="0"/>
              <w:autoSpaceDE/>
              <w:autoSpaceDN/>
              <w:bidi w:val="0"/>
              <w:adjustRightInd/>
              <w:snapToGrid/>
              <w:spacing w:line="240" w:lineRule="auto"/>
              <w:ind w:left="-240" w:leftChars="-100" w:right="-240" w:rightChars="-100" w:firstLine="0" w:firstLineChars="0"/>
              <w:jc w:val="center"/>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采样频次</w:t>
            </w:r>
          </w:p>
        </w:tc>
        <w:tc>
          <w:tcPr>
            <w:tcW w:w="484" w:type="pct"/>
            <w:vMerge w:val="restart"/>
            <w:tcBorders>
              <w:tl2br w:val="nil"/>
              <w:tr2bl w:val="nil"/>
            </w:tcBorders>
            <w:noWrap w:val="0"/>
            <w:vAlign w:val="center"/>
          </w:tcPr>
          <w:p w14:paraId="118AF230">
            <w:pPr>
              <w:keepNext w:val="0"/>
              <w:keepLines w:val="0"/>
              <w:pageBreakBefore w:val="0"/>
              <w:widowControl/>
              <w:kinsoku/>
              <w:wordWrap/>
              <w:overflowPunct/>
              <w:topLinePunct w:val="0"/>
              <w:autoSpaceDE/>
              <w:autoSpaceDN/>
              <w:bidi w:val="0"/>
              <w:adjustRightInd/>
              <w:snapToGrid/>
              <w:spacing w:line="240" w:lineRule="auto"/>
              <w:ind w:left="-240" w:leftChars="-100" w:right="-240" w:rightChars="-100" w:firstLine="0" w:firstLineChars="0"/>
              <w:jc w:val="center"/>
              <w:textAlignment w:val="auto"/>
              <w:rPr>
                <w:rFonts w:hint="eastAsia" w:cs="Times New Roman"/>
                <w:b/>
                <w:bCs/>
                <w:sz w:val="21"/>
                <w:szCs w:val="21"/>
                <w:vertAlign w:val="baseline"/>
                <w:lang w:val="en-US" w:eastAsia="zh-CN"/>
              </w:rPr>
            </w:pPr>
            <w:r>
              <w:rPr>
                <w:rFonts w:hint="eastAsia" w:cs="Times New Roman"/>
                <w:b/>
                <w:bCs/>
                <w:sz w:val="21"/>
                <w:szCs w:val="21"/>
                <w:vertAlign w:val="baseline"/>
                <w:lang w:val="en-US" w:eastAsia="zh-CN"/>
              </w:rPr>
              <w:t>标干流量</w:t>
            </w:r>
          </w:p>
          <w:p w14:paraId="4167E5B2">
            <w:pPr>
              <w:keepNext w:val="0"/>
              <w:keepLines w:val="0"/>
              <w:pageBreakBefore w:val="0"/>
              <w:widowControl/>
              <w:kinsoku/>
              <w:wordWrap/>
              <w:overflowPunct/>
              <w:topLinePunct w:val="0"/>
              <w:autoSpaceDE/>
              <w:autoSpaceDN/>
              <w:bidi w:val="0"/>
              <w:adjustRightInd/>
              <w:snapToGrid/>
              <w:spacing w:line="240" w:lineRule="auto"/>
              <w:ind w:left="-240" w:leftChars="-100" w:right="-240" w:rightChars="-100" w:firstLine="0" w:firstLineChars="0"/>
              <w:jc w:val="center"/>
              <w:textAlignment w:val="auto"/>
              <w:rPr>
                <w:rFonts w:hint="eastAsia" w:ascii="宋体" w:hAnsi="宋体" w:eastAsia="宋体" w:cs="宋体"/>
                <w:b/>
                <w:bCs/>
                <w:sz w:val="21"/>
                <w:szCs w:val="21"/>
                <w:vertAlign w:val="baseline"/>
                <w:lang w:val="en-US" w:eastAsia="zh-CN"/>
              </w:rPr>
            </w:pPr>
            <w:r>
              <w:rPr>
                <w:rFonts w:hint="eastAsia" w:cs="Times New Roman"/>
                <w:b/>
                <w:bCs/>
                <w:sz w:val="21"/>
                <w:szCs w:val="21"/>
                <w:vertAlign w:val="baseline"/>
                <w:lang w:val="en-US" w:eastAsia="zh-CN"/>
              </w:rPr>
              <w:t>（Nm</w:t>
            </w:r>
            <w:r>
              <w:rPr>
                <w:rFonts w:hint="default" w:ascii="Times New Roman" w:hAnsi="Times New Roman" w:cs="Times New Roman"/>
                <w:b/>
                <w:bCs/>
                <w:sz w:val="21"/>
                <w:szCs w:val="21"/>
                <w:vertAlign w:val="baseline"/>
                <w:lang w:val="en-US" w:eastAsia="zh-CN"/>
              </w:rPr>
              <w:t>³</w:t>
            </w:r>
            <w:r>
              <w:rPr>
                <w:rFonts w:hint="eastAsia" w:cs="Times New Roman"/>
                <w:b/>
                <w:bCs/>
                <w:sz w:val="21"/>
                <w:szCs w:val="21"/>
                <w:vertAlign w:val="baseline"/>
                <w:lang w:val="en-US" w:eastAsia="zh-CN"/>
              </w:rPr>
              <w:t>/h）</w:t>
            </w:r>
          </w:p>
        </w:tc>
        <w:tc>
          <w:tcPr>
            <w:tcW w:w="1022" w:type="pct"/>
            <w:gridSpan w:val="2"/>
            <w:tcBorders>
              <w:tl2br w:val="nil"/>
              <w:tr2bl w:val="nil"/>
            </w:tcBorders>
            <w:noWrap w:val="0"/>
            <w:vAlign w:val="center"/>
          </w:tcPr>
          <w:p w14:paraId="163057F3">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auto"/>
              <w:rPr>
                <w:rFonts w:hint="default" w:eastAsia="宋体" w:cs="Times New Roman"/>
                <w:b/>
                <w:bCs/>
                <w:sz w:val="21"/>
                <w:szCs w:val="21"/>
                <w:vertAlign w:val="baseline"/>
                <w:lang w:val="en-US" w:eastAsia="zh-CN"/>
              </w:rPr>
            </w:pPr>
            <w:r>
              <w:rPr>
                <w:rFonts w:hint="eastAsia" w:ascii="Times New Roman" w:hAnsi="Times New Roman" w:eastAsia="宋体" w:cs="Times New Roman"/>
                <w:b/>
                <w:bCs/>
                <w:sz w:val="22"/>
                <w:szCs w:val="22"/>
                <w:vertAlign w:val="baseline"/>
                <w:lang w:val="en-US" w:eastAsia="zh-CN"/>
              </w:rPr>
              <w:t>氨</w:t>
            </w:r>
          </w:p>
        </w:tc>
        <w:tc>
          <w:tcPr>
            <w:tcW w:w="1022" w:type="pct"/>
            <w:gridSpan w:val="2"/>
            <w:tcBorders>
              <w:tl2br w:val="nil"/>
              <w:tr2bl w:val="nil"/>
            </w:tcBorders>
            <w:noWrap w:val="0"/>
            <w:vAlign w:val="center"/>
          </w:tcPr>
          <w:p w14:paraId="05D2E4E9">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auto"/>
              <w:rPr>
                <w:rFonts w:hint="eastAsia" w:cs="Times New Roman"/>
                <w:b/>
                <w:bCs/>
                <w:sz w:val="21"/>
                <w:szCs w:val="21"/>
                <w:vertAlign w:val="baseline"/>
                <w:lang w:val="en-US" w:eastAsia="zh-CN"/>
              </w:rPr>
            </w:pPr>
            <w:r>
              <w:rPr>
                <w:rFonts w:hint="eastAsia" w:ascii="Times New Roman" w:hAnsi="Times New Roman" w:eastAsia="宋体" w:cs="Times New Roman"/>
                <w:b/>
                <w:bCs/>
                <w:sz w:val="22"/>
                <w:szCs w:val="22"/>
                <w:vertAlign w:val="baseline"/>
                <w:lang w:val="en-US" w:eastAsia="zh-CN"/>
              </w:rPr>
              <w:t>硫化氢</w:t>
            </w:r>
          </w:p>
        </w:tc>
        <w:tc>
          <w:tcPr>
            <w:tcW w:w="1026" w:type="pct"/>
            <w:gridSpan w:val="2"/>
            <w:tcBorders>
              <w:tl2br w:val="nil"/>
              <w:tr2bl w:val="nil"/>
            </w:tcBorders>
            <w:noWrap w:val="0"/>
            <w:vAlign w:val="center"/>
          </w:tcPr>
          <w:p w14:paraId="0A755D00">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auto"/>
              <w:rPr>
                <w:rFonts w:hint="default" w:cs="Times New Roman"/>
                <w:b/>
                <w:bCs/>
                <w:sz w:val="21"/>
                <w:szCs w:val="21"/>
                <w:vertAlign w:val="baseline"/>
                <w:lang w:val="en-US" w:eastAsia="zh-CN"/>
              </w:rPr>
            </w:pPr>
            <w:r>
              <w:rPr>
                <w:rFonts w:hint="eastAsia" w:ascii="Times New Roman" w:hAnsi="Times New Roman" w:eastAsia="宋体" w:cs="Times New Roman"/>
                <w:b/>
                <w:bCs/>
                <w:sz w:val="22"/>
                <w:szCs w:val="22"/>
                <w:vertAlign w:val="baseline"/>
                <w:lang w:val="en-US" w:eastAsia="zh-CN"/>
              </w:rPr>
              <w:t>臭气浓度（无量纲）</w:t>
            </w:r>
          </w:p>
        </w:tc>
      </w:tr>
      <w:tr w14:paraId="223E1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79" w:type="pct"/>
            <w:vMerge w:val="continue"/>
            <w:tcBorders>
              <w:tl2br w:val="nil"/>
              <w:tr2bl w:val="nil"/>
            </w:tcBorders>
            <w:noWrap w:val="0"/>
            <w:vAlign w:val="center"/>
          </w:tcPr>
          <w:p w14:paraId="19F4777E">
            <w:pPr>
              <w:adjustRightInd/>
              <w:snapToGrid/>
              <w:spacing w:line="240" w:lineRule="auto"/>
              <w:ind w:firstLine="0" w:firstLineChars="0"/>
              <w:jc w:val="center"/>
              <w:rPr>
                <w:rFonts w:cs="Times New Roman"/>
                <w:b/>
                <w:bCs/>
                <w:sz w:val="21"/>
                <w:szCs w:val="21"/>
              </w:rPr>
            </w:pPr>
          </w:p>
        </w:tc>
        <w:tc>
          <w:tcPr>
            <w:tcW w:w="521" w:type="pct"/>
            <w:vMerge w:val="continue"/>
            <w:tcBorders>
              <w:tl2br w:val="nil"/>
              <w:tr2bl w:val="nil"/>
            </w:tcBorders>
            <w:noWrap w:val="0"/>
            <w:vAlign w:val="center"/>
          </w:tcPr>
          <w:p w14:paraId="7B18F643">
            <w:pPr>
              <w:adjustRightInd/>
              <w:snapToGrid/>
              <w:spacing w:line="240" w:lineRule="auto"/>
              <w:ind w:firstLine="0" w:firstLineChars="0"/>
              <w:jc w:val="center"/>
              <w:rPr>
                <w:rFonts w:cs="Times New Roman"/>
                <w:b/>
                <w:bCs/>
                <w:sz w:val="21"/>
                <w:szCs w:val="21"/>
              </w:rPr>
            </w:pPr>
          </w:p>
        </w:tc>
        <w:tc>
          <w:tcPr>
            <w:tcW w:w="440" w:type="pct"/>
            <w:vMerge w:val="continue"/>
            <w:tcBorders>
              <w:tl2br w:val="nil"/>
              <w:tr2bl w:val="nil"/>
            </w:tcBorders>
            <w:noWrap w:val="0"/>
            <w:vAlign w:val="center"/>
          </w:tcPr>
          <w:p w14:paraId="6E601111">
            <w:pPr>
              <w:adjustRightInd/>
              <w:snapToGrid/>
              <w:spacing w:line="240" w:lineRule="auto"/>
              <w:ind w:firstLine="0" w:firstLineChars="0"/>
              <w:jc w:val="center"/>
              <w:rPr>
                <w:rFonts w:cs="Times New Roman"/>
                <w:b/>
                <w:bCs/>
                <w:sz w:val="21"/>
                <w:szCs w:val="21"/>
              </w:rPr>
            </w:pPr>
          </w:p>
        </w:tc>
        <w:tc>
          <w:tcPr>
            <w:tcW w:w="484" w:type="pct"/>
            <w:vMerge w:val="continue"/>
            <w:tcBorders>
              <w:tl2br w:val="nil"/>
              <w:tr2bl w:val="nil"/>
            </w:tcBorders>
            <w:noWrap w:val="0"/>
            <w:vAlign w:val="center"/>
          </w:tcPr>
          <w:p w14:paraId="70DBA545">
            <w:pPr>
              <w:adjustRightInd/>
              <w:snapToGrid/>
              <w:spacing w:line="240" w:lineRule="auto"/>
              <w:ind w:firstLine="0" w:firstLineChars="0"/>
              <w:jc w:val="center"/>
              <w:rPr>
                <w:rFonts w:cs="Times New Roman"/>
                <w:b/>
                <w:bCs/>
                <w:sz w:val="21"/>
                <w:szCs w:val="21"/>
              </w:rPr>
            </w:pPr>
          </w:p>
        </w:tc>
        <w:tc>
          <w:tcPr>
            <w:tcW w:w="510" w:type="pct"/>
            <w:tcBorders>
              <w:tl2br w:val="nil"/>
              <w:tr2bl w:val="nil"/>
            </w:tcBorders>
            <w:noWrap w:val="0"/>
            <w:vAlign w:val="center"/>
          </w:tcPr>
          <w:p w14:paraId="2066FD17">
            <w:pPr>
              <w:adjustRightInd/>
              <w:snapToGrid/>
              <w:spacing w:line="240" w:lineRule="auto"/>
              <w:ind w:firstLine="0" w:firstLineChars="0"/>
              <w:jc w:val="center"/>
              <w:rPr>
                <w:rFonts w:hint="default" w:cs="Times New Roman"/>
                <w:b/>
                <w:bCs/>
                <w:sz w:val="21"/>
                <w:szCs w:val="21"/>
                <w:vertAlign w:val="baseline"/>
                <w:lang w:val="en-US" w:eastAsia="zh-CN"/>
              </w:rPr>
            </w:pPr>
            <w:r>
              <w:rPr>
                <w:rFonts w:hint="eastAsia" w:cs="Times New Roman"/>
                <w:b/>
                <w:bCs/>
                <w:sz w:val="21"/>
                <w:szCs w:val="21"/>
                <w:vertAlign w:val="baseline"/>
                <w:lang w:val="en-US" w:eastAsia="zh-CN"/>
              </w:rPr>
              <w:t>排放浓度</w:t>
            </w:r>
            <w:r>
              <w:rPr>
                <w:rFonts w:hint="default" w:ascii="Times New Roman" w:hAnsi="Times New Roman" w:cs="Times New Roman"/>
                <w:b/>
                <w:bCs/>
                <w:sz w:val="21"/>
                <w:szCs w:val="21"/>
                <w:vertAlign w:val="baseline"/>
                <w:lang w:val="en-US" w:eastAsia="zh-CN"/>
              </w:rPr>
              <w:t>（mg/m</w:t>
            </w:r>
            <w:r>
              <w:rPr>
                <w:rFonts w:hint="default" w:ascii="Times New Roman" w:hAnsi="Times New Roman" w:eastAsia="宋体" w:cs="Times New Roman"/>
                <w:b/>
                <w:bCs/>
                <w:sz w:val="21"/>
                <w:szCs w:val="21"/>
                <w:vertAlign w:val="superscript"/>
                <w:lang w:val="en-US" w:eastAsia="zh-CN" w:bidi="ar"/>
              </w:rPr>
              <w:t>3</w:t>
            </w:r>
            <w:r>
              <w:rPr>
                <w:rFonts w:hint="default" w:ascii="Times New Roman" w:hAnsi="Times New Roman" w:cs="Times New Roman"/>
                <w:b/>
                <w:bCs/>
                <w:sz w:val="21"/>
                <w:szCs w:val="21"/>
                <w:vertAlign w:val="baseline"/>
                <w:lang w:val="en-US" w:eastAsia="zh-CN"/>
              </w:rPr>
              <w:t>）</w:t>
            </w:r>
          </w:p>
        </w:tc>
        <w:tc>
          <w:tcPr>
            <w:tcW w:w="511" w:type="pct"/>
            <w:tcBorders>
              <w:tl2br w:val="nil"/>
              <w:tr2bl w:val="nil"/>
            </w:tcBorders>
            <w:noWrap w:val="0"/>
            <w:vAlign w:val="center"/>
          </w:tcPr>
          <w:p w14:paraId="453F043B">
            <w:pPr>
              <w:adjustRightInd/>
              <w:snapToGrid/>
              <w:spacing w:line="240" w:lineRule="auto"/>
              <w:ind w:firstLine="0" w:firstLineChars="0"/>
              <w:jc w:val="center"/>
              <w:rPr>
                <w:rFonts w:hint="eastAsia" w:ascii="Times New Roman" w:hAnsi="Times New Roman" w:cs="Times New Roman"/>
                <w:b/>
                <w:bCs/>
                <w:sz w:val="21"/>
                <w:szCs w:val="21"/>
                <w:vertAlign w:val="baseline"/>
                <w:lang w:val="en-US" w:eastAsia="zh-CN"/>
              </w:rPr>
            </w:pPr>
            <w:r>
              <w:rPr>
                <w:rFonts w:hint="eastAsia" w:ascii="Times New Roman" w:hAnsi="Times New Roman" w:cs="Times New Roman"/>
                <w:b/>
                <w:bCs/>
                <w:sz w:val="21"/>
                <w:szCs w:val="21"/>
                <w:vertAlign w:val="baseline"/>
                <w:lang w:val="en-US" w:eastAsia="zh-CN"/>
              </w:rPr>
              <w:t>排放速率</w:t>
            </w:r>
          </w:p>
          <w:p w14:paraId="0BBA1957">
            <w:pPr>
              <w:adjustRightInd/>
              <w:snapToGrid/>
              <w:spacing w:line="240" w:lineRule="auto"/>
              <w:ind w:firstLine="0" w:firstLineChars="0"/>
              <w:jc w:val="center"/>
              <w:rPr>
                <w:rFonts w:hint="eastAsia" w:cs="Times New Roman"/>
                <w:b/>
                <w:bCs/>
                <w:sz w:val="21"/>
                <w:szCs w:val="21"/>
                <w:vertAlign w:val="baseline"/>
                <w:lang w:val="en-US" w:eastAsia="zh-CN"/>
              </w:rPr>
            </w:pPr>
            <w:r>
              <w:rPr>
                <w:rFonts w:hint="default" w:ascii="Times New Roman" w:hAnsi="Times New Roman" w:cs="Times New Roman"/>
                <w:b/>
                <w:bCs/>
                <w:sz w:val="21"/>
                <w:szCs w:val="21"/>
                <w:vertAlign w:val="baseline"/>
                <w:lang w:val="en-US" w:eastAsia="zh-CN"/>
              </w:rPr>
              <w:t>（</w:t>
            </w:r>
            <w:r>
              <w:rPr>
                <w:rFonts w:hint="eastAsia" w:ascii="Times New Roman" w:hAnsi="Times New Roman" w:cs="Times New Roman"/>
                <w:b/>
                <w:bCs/>
                <w:sz w:val="21"/>
                <w:szCs w:val="21"/>
                <w:vertAlign w:val="baseline"/>
                <w:lang w:val="en-US" w:eastAsia="zh-CN"/>
              </w:rPr>
              <w:t>kg</w:t>
            </w:r>
            <w:r>
              <w:rPr>
                <w:rFonts w:hint="default" w:ascii="Times New Roman" w:hAnsi="Times New Roman" w:cs="Times New Roman"/>
                <w:b/>
                <w:bCs/>
                <w:sz w:val="21"/>
                <w:szCs w:val="21"/>
                <w:vertAlign w:val="baseline"/>
                <w:lang w:val="en-US" w:eastAsia="zh-CN"/>
              </w:rPr>
              <w:t>/</w:t>
            </w:r>
            <w:r>
              <w:rPr>
                <w:rFonts w:hint="eastAsia" w:ascii="Times New Roman" w:hAnsi="Times New Roman" w:cs="Times New Roman"/>
                <w:b/>
                <w:bCs/>
                <w:sz w:val="21"/>
                <w:szCs w:val="21"/>
                <w:vertAlign w:val="baseline"/>
                <w:lang w:val="en-US" w:eastAsia="zh-CN"/>
              </w:rPr>
              <w:t>h</w:t>
            </w:r>
            <w:r>
              <w:rPr>
                <w:rFonts w:hint="default" w:ascii="Times New Roman" w:hAnsi="Times New Roman" w:cs="Times New Roman"/>
                <w:b/>
                <w:bCs/>
                <w:sz w:val="21"/>
                <w:szCs w:val="21"/>
                <w:vertAlign w:val="baseline"/>
                <w:lang w:val="en-US" w:eastAsia="zh-CN"/>
              </w:rPr>
              <w:t>）</w:t>
            </w:r>
          </w:p>
        </w:tc>
        <w:tc>
          <w:tcPr>
            <w:tcW w:w="510" w:type="pct"/>
            <w:tcBorders>
              <w:tl2br w:val="nil"/>
              <w:tr2bl w:val="nil"/>
            </w:tcBorders>
            <w:noWrap w:val="0"/>
            <w:vAlign w:val="center"/>
          </w:tcPr>
          <w:p w14:paraId="76144B34">
            <w:pPr>
              <w:adjustRightInd/>
              <w:snapToGrid/>
              <w:spacing w:line="240" w:lineRule="auto"/>
              <w:ind w:firstLine="0" w:firstLineChars="0"/>
              <w:jc w:val="center"/>
              <w:rPr>
                <w:rFonts w:hint="default" w:ascii="Times New Roman" w:hAnsi="Times New Roman" w:cs="Times New Roman"/>
                <w:b/>
                <w:bCs/>
                <w:sz w:val="21"/>
                <w:szCs w:val="21"/>
                <w:vertAlign w:val="baseline"/>
                <w:lang w:val="en-US" w:eastAsia="zh-CN"/>
              </w:rPr>
            </w:pPr>
            <w:r>
              <w:rPr>
                <w:rFonts w:hint="eastAsia" w:cs="Times New Roman"/>
                <w:b/>
                <w:bCs/>
                <w:sz w:val="21"/>
                <w:szCs w:val="21"/>
                <w:vertAlign w:val="baseline"/>
                <w:lang w:val="en-US" w:eastAsia="zh-CN"/>
              </w:rPr>
              <w:t>排放浓度</w:t>
            </w:r>
            <w:r>
              <w:rPr>
                <w:rFonts w:hint="default" w:ascii="Times New Roman" w:hAnsi="Times New Roman" w:cs="Times New Roman"/>
                <w:b/>
                <w:bCs/>
                <w:sz w:val="21"/>
                <w:szCs w:val="21"/>
                <w:vertAlign w:val="baseline"/>
                <w:lang w:val="en-US" w:eastAsia="zh-CN"/>
              </w:rPr>
              <w:t>（mg/m</w:t>
            </w:r>
            <w:r>
              <w:rPr>
                <w:rFonts w:hint="default" w:ascii="Times New Roman" w:hAnsi="Times New Roman" w:eastAsia="宋体" w:cs="Times New Roman"/>
                <w:b/>
                <w:bCs/>
                <w:sz w:val="21"/>
                <w:szCs w:val="21"/>
                <w:vertAlign w:val="superscript"/>
                <w:lang w:val="en-US" w:eastAsia="zh-CN" w:bidi="ar"/>
              </w:rPr>
              <w:t>3</w:t>
            </w:r>
            <w:r>
              <w:rPr>
                <w:rFonts w:hint="default" w:ascii="Times New Roman" w:hAnsi="Times New Roman" w:cs="Times New Roman"/>
                <w:b/>
                <w:bCs/>
                <w:sz w:val="21"/>
                <w:szCs w:val="21"/>
                <w:vertAlign w:val="baseline"/>
                <w:lang w:val="en-US" w:eastAsia="zh-CN"/>
              </w:rPr>
              <w:t>）</w:t>
            </w:r>
          </w:p>
        </w:tc>
        <w:tc>
          <w:tcPr>
            <w:tcW w:w="511" w:type="pct"/>
            <w:tcBorders>
              <w:tl2br w:val="nil"/>
              <w:tr2bl w:val="nil"/>
            </w:tcBorders>
            <w:noWrap w:val="0"/>
            <w:vAlign w:val="center"/>
          </w:tcPr>
          <w:p w14:paraId="07D1D5B5">
            <w:pPr>
              <w:adjustRightInd/>
              <w:snapToGrid/>
              <w:spacing w:line="240" w:lineRule="auto"/>
              <w:ind w:firstLine="0" w:firstLineChars="0"/>
              <w:jc w:val="center"/>
              <w:rPr>
                <w:rFonts w:hint="eastAsia" w:ascii="Times New Roman" w:hAnsi="Times New Roman" w:cs="Times New Roman"/>
                <w:b/>
                <w:bCs/>
                <w:sz w:val="21"/>
                <w:szCs w:val="21"/>
                <w:vertAlign w:val="baseline"/>
                <w:lang w:val="en-US" w:eastAsia="zh-CN"/>
              </w:rPr>
            </w:pPr>
            <w:r>
              <w:rPr>
                <w:rFonts w:hint="eastAsia" w:ascii="Times New Roman" w:hAnsi="Times New Roman" w:cs="Times New Roman"/>
                <w:b/>
                <w:bCs/>
                <w:sz w:val="21"/>
                <w:szCs w:val="21"/>
                <w:vertAlign w:val="baseline"/>
                <w:lang w:val="en-US" w:eastAsia="zh-CN"/>
              </w:rPr>
              <w:t>排放速率</w:t>
            </w:r>
          </w:p>
          <w:p w14:paraId="4A0D4E4B">
            <w:pPr>
              <w:adjustRightInd/>
              <w:snapToGrid/>
              <w:spacing w:line="240" w:lineRule="auto"/>
              <w:ind w:firstLine="0" w:firstLineChars="0"/>
              <w:jc w:val="center"/>
              <w:rPr>
                <w:rFonts w:hint="default" w:ascii="Times New Roman" w:hAnsi="Times New Roman" w:cs="Times New Roman"/>
                <w:b/>
                <w:bCs/>
                <w:sz w:val="21"/>
                <w:szCs w:val="21"/>
                <w:vertAlign w:val="baseline"/>
                <w:lang w:val="en-US" w:eastAsia="zh-CN"/>
              </w:rPr>
            </w:pPr>
            <w:r>
              <w:rPr>
                <w:rFonts w:hint="default" w:ascii="Times New Roman" w:hAnsi="Times New Roman" w:cs="Times New Roman"/>
                <w:b/>
                <w:bCs/>
                <w:sz w:val="21"/>
                <w:szCs w:val="21"/>
                <w:vertAlign w:val="baseline"/>
                <w:lang w:val="en-US" w:eastAsia="zh-CN"/>
              </w:rPr>
              <w:t>（</w:t>
            </w:r>
            <w:r>
              <w:rPr>
                <w:rFonts w:hint="eastAsia" w:ascii="Times New Roman" w:hAnsi="Times New Roman" w:cs="Times New Roman"/>
                <w:b/>
                <w:bCs/>
                <w:sz w:val="21"/>
                <w:szCs w:val="21"/>
                <w:vertAlign w:val="baseline"/>
                <w:lang w:val="en-US" w:eastAsia="zh-CN"/>
              </w:rPr>
              <w:t>kg</w:t>
            </w:r>
            <w:r>
              <w:rPr>
                <w:rFonts w:hint="default" w:ascii="Times New Roman" w:hAnsi="Times New Roman" w:cs="Times New Roman"/>
                <w:b/>
                <w:bCs/>
                <w:sz w:val="21"/>
                <w:szCs w:val="21"/>
                <w:vertAlign w:val="baseline"/>
                <w:lang w:val="en-US" w:eastAsia="zh-CN"/>
              </w:rPr>
              <w:t>/</w:t>
            </w:r>
            <w:r>
              <w:rPr>
                <w:rFonts w:hint="eastAsia" w:ascii="Times New Roman" w:hAnsi="Times New Roman" w:cs="Times New Roman"/>
                <w:b/>
                <w:bCs/>
                <w:sz w:val="21"/>
                <w:szCs w:val="21"/>
                <w:vertAlign w:val="baseline"/>
                <w:lang w:val="en-US" w:eastAsia="zh-CN"/>
              </w:rPr>
              <w:t>h</w:t>
            </w:r>
            <w:r>
              <w:rPr>
                <w:rFonts w:hint="default" w:ascii="Times New Roman" w:hAnsi="Times New Roman" w:cs="Times New Roman"/>
                <w:b/>
                <w:bCs/>
                <w:sz w:val="21"/>
                <w:szCs w:val="21"/>
                <w:vertAlign w:val="baseline"/>
                <w:lang w:val="en-US" w:eastAsia="zh-CN"/>
              </w:rPr>
              <w:t>）</w:t>
            </w:r>
          </w:p>
        </w:tc>
        <w:tc>
          <w:tcPr>
            <w:tcW w:w="510" w:type="pct"/>
            <w:tcBorders>
              <w:tl2br w:val="nil"/>
              <w:tr2bl w:val="nil"/>
            </w:tcBorders>
            <w:noWrap w:val="0"/>
            <w:vAlign w:val="center"/>
          </w:tcPr>
          <w:p w14:paraId="63AFCA3D">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default" w:ascii="Times New Roman" w:hAnsi="Times New Roman" w:cs="Times New Roman"/>
                <w:b/>
                <w:bCs/>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排放浓度</w:t>
            </w:r>
          </w:p>
        </w:tc>
        <w:tc>
          <w:tcPr>
            <w:tcW w:w="515" w:type="pct"/>
            <w:tcBorders>
              <w:tl2br w:val="nil"/>
              <w:tr2bl w:val="nil"/>
            </w:tcBorders>
            <w:noWrap w:val="0"/>
            <w:vAlign w:val="center"/>
          </w:tcPr>
          <w:p w14:paraId="2B244E15">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eastAsia" w:ascii="Times New Roman" w:hAnsi="Times New Roman" w:eastAsia="宋体" w:cs="Times New Roman"/>
                <w:b/>
                <w:bCs/>
                <w:color w:val="auto"/>
                <w:sz w:val="21"/>
                <w:szCs w:val="21"/>
                <w:vertAlign w:val="baseline"/>
                <w:lang w:val="en-US" w:eastAsia="zh-CN"/>
              </w:rPr>
            </w:pPr>
            <w:r>
              <w:rPr>
                <w:rFonts w:hint="eastAsia" w:ascii="Times New Roman" w:hAnsi="Times New Roman" w:eastAsia="宋体" w:cs="Times New Roman"/>
                <w:b/>
                <w:bCs/>
                <w:color w:val="auto"/>
                <w:sz w:val="21"/>
                <w:szCs w:val="21"/>
                <w:vertAlign w:val="baseline"/>
                <w:lang w:val="en-US" w:eastAsia="zh-CN"/>
              </w:rPr>
              <w:t>最大</w:t>
            </w:r>
          </w:p>
          <w:p w14:paraId="02D19ED1">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default" w:ascii="Times New Roman" w:hAnsi="Times New Roman" w:cs="Times New Roman"/>
                <w:b/>
                <w:bCs/>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排放浓度</w:t>
            </w:r>
          </w:p>
        </w:tc>
      </w:tr>
      <w:tr w14:paraId="0F438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79" w:type="pct"/>
            <w:vMerge w:val="restart"/>
            <w:tcBorders>
              <w:tl2br w:val="nil"/>
              <w:tr2bl w:val="nil"/>
            </w:tcBorders>
            <w:noWrap w:val="0"/>
            <w:vAlign w:val="center"/>
          </w:tcPr>
          <w:p w14:paraId="1F04322B">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2026.05.07</w:t>
            </w:r>
          </w:p>
        </w:tc>
        <w:tc>
          <w:tcPr>
            <w:tcW w:w="521" w:type="pct"/>
            <w:vMerge w:val="restart"/>
            <w:tcBorders>
              <w:tl2br w:val="nil"/>
              <w:tr2bl w:val="nil"/>
            </w:tcBorders>
            <w:noWrap w:val="0"/>
            <w:vAlign w:val="center"/>
          </w:tcPr>
          <w:p w14:paraId="79F7E948">
            <w:pPr>
              <w:adjustRightInd/>
              <w:snapToGrid/>
              <w:spacing w:line="240" w:lineRule="auto"/>
              <w:ind w:firstLine="0" w:firstLineChars="0"/>
              <w:jc w:val="center"/>
              <w:rPr>
                <w:rFonts w:hint="default"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DA007</w:t>
            </w:r>
            <w:r>
              <w:rPr>
                <w:rFonts w:hint="default" w:ascii="Times New Roman" w:hAnsi="Times New Roman" w:eastAsia="宋体" w:cs="Times New Roman"/>
                <w:sz w:val="21"/>
                <w:szCs w:val="21"/>
                <w:highlight w:val="none"/>
                <w:vertAlign w:val="baseline"/>
                <w:lang w:val="en-US" w:eastAsia="zh-CN"/>
              </w:rPr>
              <w:t>污水处理及污泥间</w:t>
            </w:r>
            <w:r>
              <w:rPr>
                <w:rFonts w:hint="eastAsia" w:ascii="Times New Roman" w:hAnsi="Times New Roman" w:eastAsia="宋体" w:cs="Times New Roman"/>
                <w:sz w:val="21"/>
                <w:szCs w:val="21"/>
                <w:highlight w:val="none"/>
                <w:vertAlign w:val="baseline"/>
                <w:lang w:val="en-US" w:eastAsia="zh-CN"/>
              </w:rPr>
              <w:t>废气处理设施</w:t>
            </w:r>
            <w:r>
              <w:rPr>
                <w:rFonts w:hint="default" w:ascii="Times New Roman" w:hAnsi="Times New Roman" w:eastAsia="宋体" w:cs="Times New Roman"/>
                <w:sz w:val="21"/>
                <w:szCs w:val="21"/>
                <w:highlight w:val="none"/>
                <w:vertAlign w:val="baseline"/>
                <w:lang w:val="en-US" w:eastAsia="zh-CN"/>
              </w:rPr>
              <w:t>进口</w:t>
            </w:r>
          </w:p>
        </w:tc>
        <w:tc>
          <w:tcPr>
            <w:tcW w:w="440" w:type="pct"/>
            <w:tcBorders>
              <w:tl2br w:val="nil"/>
              <w:tr2bl w:val="nil"/>
            </w:tcBorders>
            <w:noWrap w:val="0"/>
            <w:vAlign w:val="center"/>
          </w:tcPr>
          <w:p w14:paraId="589951D7">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w:t>
            </w:r>
          </w:p>
        </w:tc>
        <w:tc>
          <w:tcPr>
            <w:tcW w:w="484" w:type="pct"/>
            <w:tcBorders>
              <w:tl2br w:val="nil"/>
              <w:tr2bl w:val="nil"/>
            </w:tcBorders>
            <w:noWrap w:val="0"/>
            <w:vAlign w:val="center"/>
          </w:tcPr>
          <w:p w14:paraId="70C18225">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1.63</w:t>
            </w:r>
            <w:r>
              <w:rPr>
                <w:rFonts w:hint="default" w:ascii="Times New Roman" w:hAnsi="Times New Roman" w:eastAsia="宋体" w:cs="Times New Roman"/>
                <w:i w:val="0"/>
                <w:iCs w:val="0"/>
                <w:color w:val="auto"/>
                <w:kern w:val="0"/>
                <w:sz w:val="21"/>
                <w:szCs w:val="21"/>
                <w:u w:val="none"/>
                <w:lang w:val="en-US" w:eastAsia="zh-CN" w:bidi="ar"/>
              </w:rPr>
              <w:t>×10</w:t>
            </w:r>
            <w:r>
              <w:rPr>
                <w:rFonts w:hint="default" w:ascii="Times New Roman" w:hAnsi="Times New Roman" w:eastAsia="宋体" w:cs="Times New Roman"/>
                <w:i w:val="0"/>
                <w:iCs w:val="0"/>
                <w:color w:val="auto"/>
                <w:kern w:val="0"/>
                <w:sz w:val="21"/>
                <w:szCs w:val="21"/>
                <w:u w:val="none"/>
                <w:vertAlign w:val="superscript"/>
                <w:lang w:val="en-US" w:eastAsia="zh-CN" w:bidi="ar"/>
              </w:rPr>
              <w:t>3</w:t>
            </w:r>
            <w:r>
              <w:rPr>
                <w:rFonts w:hint="eastAsia" w:ascii="Times New Roman" w:hAnsi="Times New Roman" w:eastAsia="宋体" w:cs="Times New Roman"/>
                <w:sz w:val="21"/>
                <w:szCs w:val="21"/>
                <w:vertAlign w:val="baseline"/>
                <w:lang w:val="en-US" w:eastAsia="zh-CN"/>
              </w:rPr>
              <w:t xml:space="preserve"> </w:t>
            </w:r>
          </w:p>
        </w:tc>
        <w:tc>
          <w:tcPr>
            <w:tcW w:w="510" w:type="pct"/>
            <w:tcBorders>
              <w:tl2br w:val="nil"/>
              <w:tr2bl w:val="nil"/>
            </w:tcBorders>
            <w:noWrap w:val="0"/>
            <w:vAlign w:val="center"/>
          </w:tcPr>
          <w:p w14:paraId="2F85AD97">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1.45</w:t>
            </w:r>
          </w:p>
        </w:tc>
        <w:tc>
          <w:tcPr>
            <w:tcW w:w="511" w:type="pct"/>
            <w:tcBorders>
              <w:tl2br w:val="nil"/>
              <w:tr2bl w:val="nil"/>
            </w:tcBorders>
            <w:noWrap w:val="0"/>
            <w:vAlign w:val="center"/>
          </w:tcPr>
          <w:p w14:paraId="5D0A470C">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2.36</w:t>
            </w:r>
            <w:r>
              <w:rPr>
                <w:rFonts w:hint="default" w:ascii="Times New Roman" w:hAnsi="Times New Roman" w:eastAsia="宋体"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-3</w:t>
            </w:r>
            <w:r>
              <w:rPr>
                <w:rFonts w:hint="eastAsia" w:ascii="Times New Roman" w:hAnsi="Times New Roman" w:eastAsia="宋体" w:cs="Times New Roman"/>
                <w:sz w:val="21"/>
                <w:szCs w:val="21"/>
                <w:vertAlign w:val="baseline"/>
                <w:lang w:val="en-US" w:eastAsia="zh-CN"/>
              </w:rPr>
              <w:t xml:space="preserve"> </w:t>
            </w:r>
          </w:p>
        </w:tc>
        <w:tc>
          <w:tcPr>
            <w:tcW w:w="510" w:type="pct"/>
            <w:tcBorders>
              <w:tl2br w:val="nil"/>
              <w:tr2bl w:val="nil"/>
            </w:tcBorders>
            <w:noWrap w:val="0"/>
            <w:vAlign w:val="center"/>
          </w:tcPr>
          <w:p w14:paraId="0108DACF">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0.050</w:t>
            </w:r>
          </w:p>
        </w:tc>
        <w:tc>
          <w:tcPr>
            <w:tcW w:w="511" w:type="pct"/>
            <w:tcBorders>
              <w:tl2br w:val="nil"/>
              <w:tr2bl w:val="nil"/>
            </w:tcBorders>
            <w:noWrap w:val="0"/>
            <w:vAlign w:val="center"/>
          </w:tcPr>
          <w:p w14:paraId="7FE2FCB1">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8.15</w:t>
            </w:r>
            <w:r>
              <w:rPr>
                <w:rFonts w:hint="default" w:ascii="Times New Roman" w:hAnsi="Times New Roman" w:eastAsia="宋体"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-5</w:t>
            </w:r>
            <w:r>
              <w:rPr>
                <w:rFonts w:hint="eastAsia" w:ascii="Times New Roman" w:hAnsi="Times New Roman" w:eastAsia="宋体" w:cs="Times New Roman"/>
                <w:sz w:val="21"/>
                <w:szCs w:val="21"/>
                <w:vertAlign w:val="baseline"/>
                <w:lang w:val="en-US" w:eastAsia="zh-CN"/>
              </w:rPr>
              <w:t xml:space="preserve"> </w:t>
            </w:r>
          </w:p>
        </w:tc>
        <w:tc>
          <w:tcPr>
            <w:tcW w:w="510" w:type="pct"/>
            <w:tcBorders>
              <w:tl2br w:val="nil"/>
              <w:tr2bl w:val="nil"/>
            </w:tcBorders>
            <w:noWrap w:val="0"/>
            <w:vAlign w:val="center"/>
          </w:tcPr>
          <w:p w14:paraId="5F4C5E44">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4168</w:t>
            </w:r>
          </w:p>
        </w:tc>
        <w:tc>
          <w:tcPr>
            <w:tcW w:w="515" w:type="pct"/>
            <w:vMerge w:val="restart"/>
            <w:tcBorders>
              <w:tl2br w:val="nil"/>
              <w:tr2bl w:val="nil"/>
            </w:tcBorders>
            <w:noWrap w:val="0"/>
            <w:vAlign w:val="center"/>
          </w:tcPr>
          <w:p w14:paraId="2002AE3D">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5495</w:t>
            </w:r>
          </w:p>
        </w:tc>
      </w:tr>
      <w:tr w14:paraId="71C14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79" w:type="pct"/>
            <w:vMerge w:val="continue"/>
            <w:tcBorders>
              <w:tl2br w:val="nil"/>
              <w:tr2bl w:val="nil"/>
            </w:tcBorders>
            <w:noWrap w:val="0"/>
            <w:vAlign w:val="center"/>
          </w:tcPr>
          <w:p w14:paraId="7F052CDD">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eastAsia" w:ascii="Times New Roman" w:hAnsi="Times New Roman" w:eastAsia="宋体" w:cs="Times New Roman"/>
                <w:sz w:val="21"/>
                <w:szCs w:val="21"/>
                <w:vertAlign w:val="baseline"/>
                <w:lang w:val="en-US" w:eastAsia="zh-CN"/>
              </w:rPr>
            </w:pPr>
          </w:p>
        </w:tc>
        <w:tc>
          <w:tcPr>
            <w:tcW w:w="521" w:type="pct"/>
            <w:vMerge w:val="continue"/>
            <w:tcBorders>
              <w:tl2br w:val="nil"/>
              <w:tr2bl w:val="nil"/>
            </w:tcBorders>
            <w:noWrap w:val="0"/>
            <w:vAlign w:val="center"/>
          </w:tcPr>
          <w:p w14:paraId="617F4A73">
            <w:pPr>
              <w:adjustRightInd/>
              <w:snapToGrid/>
              <w:spacing w:line="240" w:lineRule="auto"/>
              <w:ind w:firstLine="0" w:firstLineChars="0"/>
              <w:jc w:val="center"/>
              <w:rPr>
                <w:rFonts w:hint="eastAsia" w:ascii="Times New Roman" w:hAnsi="Times New Roman" w:eastAsia="宋体" w:cs="Times New Roman"/>
                <w:sz w:val="21"/>
                <w:szCs w:val="21"/>
                <w:highlight w:val="none"/>
                <w:vertAlign w:val="baseline"/>
                <w:lang w:val="en-US" w:eastAsia="zh-CN"/>
              </w:rPr>
            </w:pPr>
          </w:p>
        </w:tc>
        <w:tc>
          <w:tcPr>
            <w:tcW w:w="440" w:type="pct"/>
            <w:tcBorders>
              <w:tl2br w:val="nil"/>
              <w:tr2bl w:val="nil"/>
            </w:tcBorders>
            <w:noWrap w:val="0"/>
            <w:vAlign w:val="center"/>
          </w:tcPr>
          <w:p w14:paraId="54A4BBA1">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w:t>
            </w:r>
          </w:p>
        </w:tc>
        <w:tc>
          <w:tcPr>
            <w:tcW w:w="484" w:type="pct"/>
            <w:tcBorders>
              <w:tl2br w:val="nil"/>
              <w:tr2bl w:val="nil"/>
            </w:tcBorders>
            <w:noWrap w:val="0"/>
            <w:vAlign w:val="center"/>
          </w:tcPr>
          <w:p w14:paraId="1143BC95">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1.59</w:t>
            </w:r>
            <w:r>
              <w:rPr>
                <w:rFonts w:hint="default" w:ascii="Times New Roman" w:hAnsi="Times New Roman" w:eastAsia="宋体" w:cs="Times New Roman"/>
                <w:i w:val="0"/>
                <w:iCs w:val="0"/>
                <w:color w:val="auto"/>
                <w:kern w:val="0"/>
                <w:sz w:val="21"/>
                <w:szCs w:val="21"/>
                <w:u w:val="none"/>
                <w:lang w:val="en-US" w:eastAsia="zh-CN" w:bidi="ar"/>
              </w:rPr>
              <w:t>×10</w:t>
            </w:r>
            <w:r>
              <w:rPr>
                <w:rFonts w:hint="default" w:ascii="Times New Roman" w:hAnsi="Times New Roman" w:eastAsia="宋体" w:cs="Times New Roman"/>
                <w:i w:val="0"/>
                <w:iCs w:val="0"/>
                <w:color w:val="auto"/>
                <w:kern w:val="0"/>
                <w:sz w:val="21"/>
                <w:szCs w:val="21"/>
                <w:u w:val="none"/>
                <w:vertAlign w:val="superscript"/>
                <w:lang w:val="en-US" w:eastAsia="zh-CN" w:bidi="ar"/>
              </w:rPr>
              <w:t>3</w:t>
            </w:r>
          </w:p>
        </w:tc>
        <w:tc>
          <w:tcPr>
            <w:tcW w:w="510" w:type="pct"/>
            <w:tcBorders>
              <w:tl2br w:val="nil"/>
              <w:tr2bl w:val="nil"/>
            </w:tcBorders>
            <w:noWrap w:val="0"/>
            <w:vAlign w:val="center"/>
          </w:tcPr>
          <w:p w14:paraId="299E418E">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1.29</w:t>
            </w:r>
          </w:p>
        </w:tc>
        <w:tc>
          <w:tcPr>
            <w:tcW w:w="511" w:type="pct"/>
            <w:tcBorders>
              <w:tl2br w:val="nil"/>
              <w:tr2bl w:val="nil"/>
            </w:tcBorders>
            <w:noWrap w:val="0"/>
            <w:vAlign w:val="center"/>
          </w:tcPr>
          <w:p w14:paraId="21477964">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2.05</w:t>
            </w:r>
            <w:r>
              <w:rPr>
                <w:rFonts w:hint="default" w:ascii="Times New Roman" w:hAnsi="Times New Roman" w:eastAsia="宋体"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-3</w:t>
            </w:r>
          </w:p>
        </w:tc>
        <w:tc>
          <w:tcPr>
            <w:tcW w:w="510" w:type="pct"/>
            <w:tcBorders>
              <w:tl2br w:val="nil"/>
              <w:tr2bl w:val="nil"/>
            </w:tcBorders>
            <w:noWrap w:val="0"/>
            <w:vAlign w:val="center"/>
          </w:tcPr>
          <w:p w14:paraId="00560B4C">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0.059</w:t>
            </w:r>
          </w:p>
        </w:tc>
        <w:tc>
          <w:tcPr>
            <w:tcW w:w="511" w:type="pct"/>
            <w:tcBorders>
              <w:tl2br w:val="nil"/>
              <w:tr2bl w:val="nil"/>
            </w:tcBorders>
            <w:noWrap w:val="0"/>
            <w:vAlign w:val="center"/>
          </w:tcPr>
          <w:p w14:paraId="397F313E">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9.38</w:t>
            </w:r>
            <w:r>
              <w:rPr>
                <w:rFonts w:hint="default" w:ascii="Times New Roman" w:hAnsi="Times New Roman" w:eastAsia="宋体"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-5</w:t>
            </w:r>
            <w:r>
              <w:rPr>
                <w:rFonts w:hint="eastAsia" w:ascii="Times New Roman" w:hAnsi="Times New Roman" w:eastAsia="宋体" w:cs="Times New Roman"/>
                <w:sz w:val="21"/>
                <w:szCs w:val="21"/>
                <w:vertAlign w:val="baseline"/>
                <w:lang w:val="en-US" w:eastAsia="zh-CN"/>
              </w:rPr>
              <w:t xml:space="preserve"> </w:t>
            </w:r>
          </w:p>
        </w:tc>
        <w:tc>
          <w:tcPr>
            <w:tcW w:w="510" w:type="pct"/>
            <w:tcBorders>
              <w:tl2br w:val="nil"/>
              <w:tr2bl w:val="nil"/>
            </w:tcBorders>
            <w:noWrap w:val="0"/>
            <w:vAlign w:val="center"/>
          </w:tcPr>
          <w:p w14:paraId="16B0AAE2">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4786</w:t>
            </w:r>
          </w:p>
        </w:tc>
        <w:tc>
          <w:tcPr>
            <w:tcW w:w="515" w:type="pct"/>
            <w:vMerge w:val="continue"/>
            <w:tcBorders>
              <w:tl2br w:val="nil"/>
              <w:tr2bl w:val="nil"/>
            </w:tcBorders>
            <w:noWrap w:val="0"/>
            <w:vAlign w:val="center"/>
          </w:tcPr>
          <w:p w14:paraId="4F692E90">
            <w:pPr>
              <w:keepNext w:val="0"/>
              <w:keepLines w:val="0"/>
              <w:widowControl/>
              <w:suppressLineNumbers w:val="0"/>
              <w:adjustRightInd/>
              <w:snapToGrid/>
              <w:spacing w:line="240" w:lineRule="auto"/>
              <w:ind w:firstLine="0" w:firstLineChars="0"/>
              <w:jc w:val="center"/>
              <w:textAlignment w:val="center"/>
              <w:rPr>
                <w:rFonts w:hint="eastAsia" w:ascii="Times New Roman" w:hAnsi="Times New Roman" w:eastAsia="宋体" w:cs="Times New Roman"/>
                <w:sz w:val="21"/>
                <w:szCs w:val="21"/>
                <w:vertAlign w:val="baseline"/>
                <w:lang w:val="en-US" w:eastAsia="zh-CN"/>
              </w:rPr>
            </w:pPr>
          </w:p>
        </w:tc>
      </w:tr>
      <w:tr w14:paraId="6A161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79" w:type="pct"/>
            <w:vMerge w:val="continue"/>
            <w:tcBorders>
              <w:tl2br w:val="nil"/>
              <w:tr2bl w:val="nil"/>
            </w:tcBorders>
            <w:noWrap w:val="0"/>
            <w:vAlign w:val="center"/>
          </w:tcPr>
          <w:p w14:paraId="2EF85C18">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eastAsia" w:ascii="Times New Roman" w:hAnsi="Times New Roman" w:eastAsia="宋体" w:cs="Times New Roman"/>
                <w:sz w:val="21"/>
                <w:szCs w:val="21"/>
                <w:vertAlign w:val="baseline"/>
                <w:lang w:val="en-US" w:eastAsia="zh-CN"/>
              </w:rPr>
            </w:pPr>
          </w:p>
        </w:tc>
        <w:tc>
          <w:tcPr>
            <w:tcW w:w="521" w:type="pct"/>
            <w:vMerge w:val="continue"/>
            <w:tcBorders>
              <w:tl2br w:val="nil"/>
              <w:tr2bl w:val="nil"/>
            </w:tcBorders>
            <w:noWrap w:val="0"/>
            <w:vAlign w:val="center"/>
          </w:tcPr>
          <w:p w14:paraId="53764353">
            <w:pPr>
              <w:adjustRightInd/>
              <w:snapToGrid/>
              <w:spacing w:line="240" w:lineRule="auto"/>
              <w:ind w:firstLine="0" w:firstLineChars="0"/>
              <w:jc w:val="center"/>
              <w:rPr>
                <w:rFonts w:hint="eastAsia" w:ascii="Times New Roman" w:hAnsi="Times New Roman" w:eastAsia="宋体" w:cs="Times New Roman"/>
                <w:sz w:val="21"/>
                <w:szCs w:val="21"/>
                <w:highlight w:val="none"/>
                <w:vertAlign w:val="baseline"/>
                <w:lang w:val="en-US" w:eastAsia="zh-CN"/>
              </w:rPr>
            </w:pPr>
          </w:p>
        </w:tc>
        <w:tc>
          <w:tcPr>
            <w:tcW w:w="440" w:type="pct"/>
            <w:tcBorders>
              <w:tl2br w:val="nil"/>
              <w:tr2bl w:val="nil"/>
            </w:tcBorders>
            <w:noWrap w:val="0"/>
            <w:vAlign w:val="center"/>
          </w:tcPr>
          <w:p w14:paraId="14BD6C51">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3</w:t>
            </w:r>
          </w:p>
        </w:tc>
        <w:tc>
          <w:tcPr>
            <w:tcW w:w="484" w:type="pct"/>
            <w:tcBorders>
              <w:tl2br w:val="nil"/>
              <w:tr2bl w:val="nil"/>
            </w:tcBorders>
            <w:noWrap w:val="0"/>
            <w:vAlign w:val="center"/>
          </w:tcPr>
          <w:p w14:paraId="5DE8CA11">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1.67</w:t>
            </w:r>
            <w:r>
              <w:rPr>
                <w:rFonts w:hint="default" w:ascii="Times New Roman" w:hAnsi="Times New Roman" w:eastAsia="宋体" w:cs="Times New Roman"/>
                <w:i w:val="0"/>
                <w:iCs w:val="0"/>
                <w:color w:val="auto"/>
                <w:kern w:val="0"/>
                <w:sz w:val="21"/>
                <w:szCs w:val="21"/>
                <w:u w:val="none"/>
                <w:lang w:val="en-US" w:eastAsia="zh-CN" w:bidi="ar"/>
              </w:rPr>
              <w:t>×10</w:t>
            </w:r>
            <w:r>
              <w:rPr>
                <w:rFonts w:hint="default" w:ascii="Times New Roman" w:hAnsi="Times New Roman" w:eastAsia="宋体" w:cs="Times New Roman"/>
                <w:i w:val="0"/>
                <w:iCs w:val="0"/>
                <w:color w:val="auto"/>
                <w:kern w:val="0"/>
                <w:sz w:val="21"/>
                <w:szCs w:val="21"/>
                <w:u w:val="none"/>
                <w:vertAlign w:val="superscript"/>
                <w:lang w:val="en-US" w:eastAsia="zh-CN" w:bidi="ar"/>
              </w:rPr>
              <w:t>3</w:t>
            </w:r>
          </w:p>
        </w:tc>
        <w:tc>
          <w:tcPr>
            <w:tcW w:w="510" w:type="pct"/>
            <w:tcBorders>
              <w:tl2br w:val="nil"/>
              <w:tr2bl w:val="nil"/>
            </w:tcBorders>
            <w:noWrap w:val="0"/>
            <w:vAlign w:val="center"/>
          </w:tcPr>
          <w:p w14:paraId="3F449B03">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1.57</w:t>
            </w:r>
          </w:p>
        </w:tc>
        <w:tc>
          <w:tcPr>
            <w:tcW w:w="511" w:type="pct"/>
            <w:tcBorders>
              <w:tl2br w:val="nil"/>
              <w:tr2bl w:val="nil"/>
            </w:tcBorders>
            <w:noWrap w:val="0"/>
            <w:vAlign w:val="center"/>
          </w:tcPr>
          <w:p w14:paraId="7113C8FF">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2.62</w:t>
            </w:r>
            <w:r>
              <w:rPr>
                <w:rFonts w:hint="default" w:ascii="Times New Roman" w:hAnsi="Times New Roman" w:eastAsia="宋体"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-3</w:t>
            </w:r>
          </w:p>
        </w:tc>
        <w:tc>
          <w:tcPr>
            <w:tcW w:w="510" w:type="pct"/>
            <w:tcBorders>
              <w:tl2br w:val="nil"/>
              <w:tr2bl w:val="nil"/>
            </w:tcBorders>
            <w:noWrap w:val="0"/>
            <w:vAlign w:val="center"/>
          </w:tcPr>
          <w:p w14:paraId="42F57E39">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0.064</w:t>
            </w:r>
          </w:p>
        </w:tc>
        <w:tc>
          <w:tcPr>
            <w:tcW w:w="511" w:type="pct"/>
            <w:tcBorders>
              <w:tl2br w:val="nil"/>
              <w:tr2bl w:val="nil"/>
            </w:tcBorders>
            <w:noWrap w:val="0"/>
            <w:vAlign w:val="center"/>
          </w:tcPr>
          <w:p w14:paraId="2484CEE6">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1.07</w:t>
            </w:r>
            <w:r>
              <w:rPr>
                <w:rFonts w:hint="default" w:ascii="Times New Roman" w:hAnsi="Times New Roman" w:eastAsia="宋体"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-4</w:t>
            </w:r>
            <w:r>
              <w:rPr>
                <w:rFonts w:hint="eastAsia" w:ascii="Times New Roman" w:hAnsi="Times New Roman" w:eastAsia="宋体" w:cs="Times New Roman"/>
                <w:sz w:val="21"/>
                <w:szCs w:val="21"/>
                <w:vertAlign w:val="baseline"/>
                <w:lang w:val="en-US" w:eastAsia="zh-CN"/>
              </w:rPr>
              <w:t xml:space="preserve"> </w:t>
            </w:r>
          </w:p>
        </w:tc>
        <w:tc>
          <w:tcPr>
            <w:tcW w:w="510" w:type="pct"/>
            <w:tcBorders>
              <w:tl2br w:val="nil"/>
              <w:tr2bl w:val="nil"/>
            </w:tcBorders>
            <w:noWrap w:val="0"/>
            <w:vAlign w:val="center"/>
          </w:tcPr>
          <w:p w14:paraId="1639101E">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5495</w:t>
            </w:r>
          </w:p>
        </w:tc>
        <w:tc>
          <w:tcPr>
            <w:tcW w:w="515" w:type="pct"/>
            <w:vMerge w:val="continue"/>
            <w:tcBorders>
              <w:tl2br w:val="nil"/>
              <w:tr2bl w:val="nil"/>
            </w:tcBorders>
            <w:noWrap w:val="0"/>
            <w:vAlign w:val="center"/>
          </w:tcPr>
          <w:p w14:paraId="07C7BEF7">
            <w:pPr>
              <w:keepNext w:val="0"/>
              <w:keepLines w:val="0"/>
              <w:widowControl/>
              <w:suppressLineNumbers w:val="0"/>
              <w:adjustRightInd/>
              <w:snapToGrid/>
              <w:spacing w:line="240" w:lineRule="auto"/>
              <w:ind w:firstLine="0" w:firstLineChars="0"/>
              <w:jc w:val="center"/>
              <w:textAlignment w:val="center"/>
              <w:rPr>
                <w:rFonts w:hint="eastAsia" w:ascii="Times New Roman" w:hAnsi="Times New Roman" w:eastAsia="宋体" w:cs="Times New Roman"/>
                <w:sz w:val="21"/>
                <w:szCs w:val="21"/>
                <w:vertAlign w:val="baseline"/>
                <w:lang w:val="en-US" w:eastAsia="zh-CN"/>
              </w:rPr>
            </w:pPr>
          </w:p>
        </w:tc>
      </w:tr>
      <w:tr w14:paraId="3C872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79" w:type="pct"/>
            <w:vMerge w:val="continue"/>
            <w:tcBorders>
              <w:tl2br w:val="nil"/>
              <w:tr2bl w:val="nil"/>
            </w:tcBorders>
            <w:noWrap w:val="0"/>
            <w:vAlign w:val="center"/>
          </w:tcPr>
          <w:p w14:paraId="5D7984F0">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549</w:t>
            </w:r>
          </w:p>
        </w:tc>
        <w:tc>
          <w:tcPr>
            <w:tcW w:w="521" w:type="pct"/>
            <w:vMerge w:val="continue"/>
            <w:tcBorders>
              <w:tl2br w:val="nil"/>
              <w:tr2bl w:val="nil"/>
            </w:tcBorders>
            <w:noWrap w:val="0"/>
            <w:vAlign w:val="center"/>
          </w:tcPr>
          <w:p w14:paraId="60973280">
            <w:pPr>
              <w:adjustRightInd/>
              <w:snapToGrid/>
              <w:spacing w:line="240" w:lineRule="auto"/>
              <w:ind w:firstLine="0" w:firstLineChars="0"/>
              <w:jc w:val="center"/>
              <w:rPr>
                <w:rFonts w:hint="eastAsia" w:ascii="Times New Roman" w:hAnsi="Times New Roman" w:eastAsia="宋体" w:cs="Times New Roman"/>
                <w:sz w:val="21"/>
                <w:szCs w:val="21"/>
                <w:highlight w:val="none"/>
                <w:vertAlign w:val="baseline"/>
                <w:lang w:val="en-US" w:eastAsia="zh-CN"/>
              </w:rPr>
            </w:pPr>
          </w:p>
        </w:tc>
        <w:tc>
          <w:tcPr>
            <w:tcW w:w="440" w:type="pct"/>
            <w:tcBorders>
              <w:tl2br w:val="nil"/>
              <w:tr2bl w:val="nil"/>
            </w:tcBorders>
            <w:noWrap w:val="0"/>
            <w:vAlign w:val="center"/>
          </w:tcPr>
          <w:p w14:paraId="6B613819">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均值</w:t>
            </w:r>
          </w:p>
        </w:tc>
        <w:tc>
          <w:tcPr>
            <w:tcW w:w="484" w:type="pct"/>
            <w:tcBorders>
              <w:tl2br w:val="nil"/>
              <w:tr2bl w:val="nil"/>
            </w:tcBorders>
            <w:noWrap w:val="0"/>
            <w:vAlign w:val="center"/>
          </w:tcPr>
          <w:p w14:paraId="28BF1052">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fldChar w:fldCharType="begin"/>
            </w:r>
            <w:r>
              <w:rPr>
                <w:rFonts w:hint="default" w:ascii="Times New Roman" w:hAnsi="Times New Roman" w:eastAsia="宋体" w:cs="Times New Roman"/>
                <w:sz w:val="21"/>
                <w:szCs w:val="21"/>
                <w:vertAlign w:val="baseline"/>
                <w:lang w:val="en-US" w:eastAsia="zh-CN"/>
              </w:rPr>
              <w:instrText xml:space="preserve"> = average(D3:D5) \* MERGEFORMAT </w:instrText>
            </w:r>
            <w:r>
              <w:rPr>
                <w:rFonts w:hint="default" w:ascii="Times New Roman" w:hAnsi="Times New Roman" w:eastAsia="宋体" w:cs="Times New Roman"/>
                <w:sz w:val="21"/>
                <w:szCs w:val="21"/>
                <w:vertAlign w:val="baseline"/>
                <w:lang w:val="en-US" w:eastAsia="zh-CN"/>
              </w:rPr>
              <w:fldChar w:fldCharType="separate"/>
            </w:r>
            <w:r>
              <w:rPr>
                <w:rFonts w:hint="default" w:ascii="Times New Roman" w:hAnsi="Times New Roman" w:eastAsia="宋体" w:cs="Times New Roman"/>
                <w:sz w:val="21"/>
                <w:szCs w:val="21"/>
                <w:vertAlign w:val="baseline"/>
                <w:lang w:val="en-US" w:eastAsia="zh-CN"/>
              </w:rPr>
              <w:t>1.63</w:t>
            </w:r>
            <w:r>
              <w:rPr>
                <w:rFonts w:hint="default" w:ascii="Times New Roman" w:hAnsi="Times New Roman" w:eastAsia="宋体" w:cs="Times New Roman"/>
                <w:sz w:val="21"/>
                <w:szCs w:val="21"/>
                <w:vertAlign w:val="baseline"/>
                <w:lang w:val="en-US" w:eastAsia="zh-CN"/>
              </w:rPr>
              <w:fldChar w:fldCharType="end"/>
            </w:r>
            <w:r>
              <w:rPr>
                <w:rFonts w:hint="default" w:ascii="Times New Roman" w:hAnsi="Times New Roman" w:eastAsia="宋体" w:cs="Times New Roman"/>
                <w:i w:val="0"/>
                <w:iCs w:val="0"/>
                <w:color w:val="auto"/>
                <w:kern w:val="0"/>
                <w:sz w:val="21"/>
                <w:szCs w:val="21"/>
                <w:u w:val="none"/>
                <w:lang w:val="en-US" w:eastAsia="zh-CN" w:bidi="ar"/>
              </w:rPr>
              <w:t>×10</w:t>
            </w:r>
            <w:r>
              <w:rPr>
                <w:rFonts w:hint="default" w:ascii="Times New Roman" w:hAnsi="Times New Roman" w:eastAsia="宋体" w:cs="Times New Roman"/>
                <w:i w:val="0"/>
                <w:iCs w:val="0"/>
                <w:color w:val="auto"/>
                <w:kern w:val="0"/>
                <w:sz w:val="21"/>
                <w:szCs w:val="21"/>
                <w:u w:val="none"/>
                <w:vertAlign w:val="superscript"/>
                <w:lang w:val="en-US" w:eastAsia="zh-CN" w:bidi="ar"/>
              </w:rPr>
              <w:t>3</w:t>
            </w:r>
          </w:p>
        </w:tc>
        <w:tc>
          <w:tcPr>
            <w:tcW w:w="510" w:type="pct"/>
            <w:tcBorders>
              <w:tl2br w:val="nil"/>
              <w:tr2bl w:val="nil"/>
            </w:tcBorders>
            <w:noWrap w:val="0"/>
            <w:vAlign w:val="center"/>
          </w:tcPr>
          <w:p w14:paraId="083142C8">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fldChar w:fldCharType="begin"/>
            </w:r>
            <w:r>
              <w:rPr>
                <w:rFonts w:hint="default" w:ascii="Times New Roman" w:hAnsi="Times New Roman" w:eastAsia="宋体" w:cs="Times New Roman"/>
                <w:sz w:val="21"/>
                <w:szCs w:val="21"/>
                <w:vertAlign w:val="baseline"/>
                <w:lang w:val="en-US" w:eastAsia="zh-CN"/>
              </w:rPr>
              <w:instrText xml:space="preserve"> = average(E3:E5) \* MERGEFORMAT </w:instrText>
            </w:r>
            <w:r>
              <w:rPr>
                <w:rFonts w:hint="default" w:ascii="Times New Roman" w:hAnsi="Times New Roman" w:eastAsia="宋体" w:cs="Times New Roman"/>
                <w:sz w:val="21"/>
                <w:szCs w:val="21"/>
                <w:vertAlign w:val="baseline"/>
                <w:lang w:val="en-US" w:eastAsia="zh-CN"/>
              </w:rPr>
              <w:fldChar w:fldCharType="separate"/>
            </w:r>
            <w:r>
              <w:rPr>
                <w:rFonts w:hint="default" w:ascii="Times New Roman" w:hAnsi="Times New Roman" w:eastAsia="宋体" w:cs="Times New Roman"/>
                <w:sz w:val="21"/>
                <w:szCs w:val="21"/>
                <w:vertAlign w:val="baseline"/>
                <w:lang w:val="en-US" w:eastAsia="zh-CN"/>
              </w:rPr>
              <w:t>1.4</w:t>
            </w:r>
            <w:r>
              <w:rPr>
                <w:rFonts w:hint="eastAsia" w:ascii="Times New Roman" w:hAnsi="Times New Roman" w:eastAsia="宋体" w:cs="Times New Roman"/>
                <w:sz w:val="21"/>
                <w:szCs w:val="21"/>
                <w:vertAlign w:val="baseline"/>
                <w:lang w:val="en-US" w:eastAsia="zh-CN"/>
              </w:rPr>
              <w:t>4</w:t>
            </w:r>
            <w:r>
              <w:rPr>
                <w:rFonts w:hint="default" w:ascii="Times New Roman" w:hAnsi="Times New Roman" w:eastAsia="宋体" w:cs="Times New Roman"/>
                <w:sz w:val="21"/>
                <w:szCs w:val="21"/>
                <w:vertAlign w:val="baseline"/>
                <w:lang w:val="en-US" w:eastAsia="zh-CN"/>
              </w:rPr>
              <w:fldChar w:fldCharType="end"/>
            </w:r>
          </w:p>
        </w:tc>
        <w:tc>
          <w:tcPr>
            <w:tcW w:w="511" w:type="pct"/>
            <w:tcBorders>
              <w:tl2br w:val="nil"/>
              <w:tr2bl w:val="nil"/>
            </w:tcBorders>
            <w:noWrap w:val="0"/>
            <w:vAlign w:val="center"/>
          </w:tcPr>
          <w:p w14:paraId="491ABD8D">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2.35</w:t>
            </w:r>
            <w:r>
              <w:rPr>
                <w:rFonts w:hint="default" w:ascii="Times New Roman" w:hAnsi="Times New Roman" w:eastAsia="宋体"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-3</w:t>
            </w:r>
            <w:r>
              <w:rPr>
                <w:rFonts w:hint="eastAsia" w:ascii="Times New Roman" w:hAnsi="Times New Roman" w:eastAsia="宋体" w:cs="Times New Roman"/>
                <w:sz w:val="21"/>
                <w:szCs w:val="21"/>
                <w:vertAlign w:val="baseline"/>
                <w:lang w:val="en-US" w:eastAsia="zh-CN"/>
              </w:rPr>
              <w:t xml:space="preserve"> </w:t>
            </w:r>
          </w:p>
        </w:tc>
        <w:tc>
          <w:tcPr>
            <w:tcW w:w="510" w:type="pct"/>
            <w:tcBorders>
              <w:tl2br w:val="nil"/>
              <w:tr2bl w:val="nil"/>
            </w:tcBorders>
            <w:noWrap w:val="0"/>
            <w:vAlign w:val="center"/>
          </w:tcPr>
          <w:p w14:paraId="387A09B4">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fldChar w:fldCharType="begin"/>
            </w:r>
            <w:r>
              <w:rPr>
                <w:rFonts w:hint="default" w:ascii="Times New Roman" w:hAnsi="Times New Roman" w:eastAsia="宋体" w:cs="Times New Roman"/>
                <w:sz w:val="21"/>
                <w:szCs w:val="21"/>
                <w:vertAlign w:val="baseline"/>
                <w:lang w:val="en-US" w:eastAsia="zh-CN"/>
              </w:rPr>
              <w:instrText xml:space="preserve"> = average(G3:G5) \* MERGEFORMAT </w:instrText>
            </w:r>
            <w:r>
              <w:rPr>
                <w:rFonts w:hint="default" w:ascii="Times New Roman" w:hAnsi="Times New Roman" w:eastAsia="宋体" w:cs="Times New Roman"/>
                <w:sz w:val="21"/>
                <w:szCs w:val="21"/>
                <w:vertAlign w:val="baseline"/>
                <w:lang w:val="en-US" w:eastAsia="zh-CN"/>
              </w:rPr>
              <w:fldChar w:fldCharType="separate"/>
            </w:r>
            <w:r>
              <w:rPr>
                <w:rFonts w:hint="default" w:ascii="Times New Roman" w:hAnsi="Times New Roman" w:eastAsia="宋体" w:cs="Times New Roman"/>
                <w:sz w:val="21"/>
                <w:szCs w:val="21"/>
                <w:vertAlign w:val="baseline"/>
                <w:lang w:val="en-US" w:eastAsia="zh-CN"/>
              </w:rPr>
              <w:t>0.05</w:t>
            </w:r>
            <w:r>
              <w:rPr>
                <w:rFonts w:hint="eastAsia" w:ascii="Times New Roman" w:hAnsi="Times New Roman" w:eastAsia="宋体" w:cs="Times New Roman"/>
                <w:sz w:val="21"/>
                <w:szCs w:val="21"/>
                <w:vertAlign w:val="baseline"/>
                <w:lang w:val="en-US" w:eastAsia="zh-CN"/>
              </w:rPr>
              <w:t>8</w:t>
            </w:r>
            <w:r>
              <w:rPr>
                <w:rFonts w:hint="default" w:ascii="Times New Roman" w:hAnsi="Times New Roman" w:eastAsia="宋体" w:cs="Times New Roman"/>
                <w:sz w:val="21"/>
                <w:szCs w:val="21"/>
                <w:vertAlign w:val="baseline"/>
                <w:lang w:val="en-US" w:eastAsia="zh-CN"/>
              </w:rPr>
              <w:fldChar w:fldCharType="end"/>
            </w:r>
          </w:p>
        </w:tc>
        <w:tc>
          <w:tcPr>
            <w:tcW w:w="511" w:type="pct"/>
            <w:tcBorders>
              <w:tl2br w:val="nil"/>
              <w:tr2bl w:val="nil"/>
            </w:tcBorders>
            <w:noWrap w:val="0"/>
            <w:vAlign w:val="center"/>
          </w:tcPr>
          <w:p w14:paraId="6B519F95">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9.45</w:t>
            </w:r>
            <w:r>
              <w:rPr>
                <w:rFonts w:hint="default" w:ascii="Times New Roman" w:hAnsi="Times New Roman" w:eastAsia="宋体"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-5</w:t>
            </w:r>
            <w:r>
              <w:rPr>
                <w:rFonts w:hint="eastAsia" w:ascii="Times New Roman" w:hAnsi="Times New Roman" w:eastAsia="宋体" w:cs="Times New Roman"/>
                <w:sz w:val="21"/>
                <w:szCs w:val="21"/>
                <w:vertAlign w:val="baseline"/>
                <w:lang w:val="en-US" w:eastAsia="zh-CN"/>
              </w:rPr>
              <w:t xml:space="preserve"> </w:t>
            </w:r>
          </w:p>
        </w:tc>
        <w:tc>
          <w:tcPr>
            <w:tcW w:w="510" w:type="pct"/>
            <w:tcBorders>
              <w:tl2br w:val="nil"/>
              <w:tr2bl w:val="nil"/>
            </w:tcBorders>
            <w:noWrap w:val="0"/>
            <w:vAlign w:val="center"/>
          </w:tcPr>
          <w:p w14:paraId="0A5BE924">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bidi="ar-SA"/>
              </w:rPr>
              <w:t>/</w:t>
            </w:r>
          </w:p>
        </w:tc>
        <w:tc>
          <w:tcPr>
            <w:tcW w:w="515" w:type="pct"/>
            <w:tcBorders>
              <w:tl2br w:val="nil"/>
              <w:tr2bl w:val="nil"/>
            </w:tcBorders>
            <w:noWrap w:val="0"/>
            <w:vAlign w:val="center"/>
          </w:tcPr>
          <w:p w14:paraId="28004D1D">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bidi="ar-SA"/>
              </w:rPr>
              <w:t>/</w:t>
            </w:r>
          </w:p>
        </w:tc>
      </w:tr>
      <w:tr w14:paraId="72B58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79" w:type="pct"/>
            <w:vMerge w:val="continue"/>
            <w:tcBorders>
              <w:tl2br w:val="nil"/>
              <w:tr2bl w:val="nil"/>
            </w:tcBorders>
            <w:noWrap w:val="0"/>
            <w:vAlign w:val="center"/>
          </w:tcPr>
          <w:p w14:paraId="26CF4E8A">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default" w:ascii="Times New Roman" w:hAnsi="Times New Roman" w:eastAsia="宋体" w:cs="Times New Roman"/>
                <w:sz w:val="21"/>
                <w:szCs w:val="21"/>
                <w:vertAlign w:val="baseline"/>
                <w:lang w:val="en-US" w:eastAsia="zh-CN"/>
              </w:rPr>
            </w:pPr>
          </w:p>
        </w:tc>
        <w:tc>
          <w:tcPr>
            <w:tcW w:w="521" w:type="pct"/>
            <w:vMerge w:val="restart"/>
            <w:tcBorders>
              <w:tl2br w:val="nil"/>
              <w:tr2bl w:val="nil"/>
            </w:tcBorders>
            <w:noWrap w:val="0"/>
            <w:vAlign w:val="center"/>
          </w:tcPr>
          <w:p w14:paraId="5B6620AF">
            <w:pPr>
              <w:adjustRightInd/>
              <w:snapToGrid/>
              <w:spacing w:line="240" w:lineRule="auto"/>
              <w:ind w:firstLine="0" w:firstLineChars="0"/>
              <w:jc w:val="center"/>
              <w:rPr>
                <w:rFonts w:hint="eastAsia"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DA007</w:t>
            </w:r>
            <w:r>
              <w:rPr>
                <w:rFonts w:hint="default" w:ascii="Times New Roman" w:hAnsi="Times New Roman" w:eastAsia="宋体" w:cs="Times New Roman"/>
                <w:sz w:val="21"/>
                <w:szCs w:val="21"/>
                <w:highlight w:val="none"/>
                <w:vertAlign w:val="baseline"/>
                <w:lang w:val="en-US" w:eastAsia="zh-CN"/>
              </w:rPr>
              <w:t>污水处理及污泥间</w:t>
            </w:r>
            <w:r>
              <w:rPr>
                <w:rFonts w:hint="eastAsia" w:ascii="Times New Roman" w:hAnsi="Times New Roman" w:eastAsia="宋体" w:cs="Times New Roman"/>
                <w:sz w:val="21"/>
                <w:szCs w:val="21"/>
                <w:highlight w:val="none"/>
                <w:vertAlign w:val="baseline"/>
                <w:lang w:val="en-US" w:eastAsia="zh-CN"/>
              </w:rPr>
              <w:t>废气处理设施</w:t>
            </w:r>
            <w:r>
              <w:rPr>
                <w:rFonts w:hint="default" w:ascii="Times New Roman" w:hAnsi="Times New Roman" w:eastAsia="宋体" w:cs="Times New Roman"/>
                <w:sz w:val="21"/>
                <w:szCs w:val="21"/>
                <w:highlight w:val="none"/>
                <w:vertAlign w:val="baseline"/>
                <w:lang w:val="en-US" w:eastAsia="zh-CN"/>
              </w:rPr>
              <w:t>出口</w:t>
            </w:r>
          </w:p>
        </w:tc>
        <w:tc>
          <w:tcPr>
            <w:tcW w:w="440" w:type="pct"/>
            <w:tcBorders>
              <w:tl2br w:val="nil"/>
              <w:tr2bl w:val="nil"/>
            </w:tcBorders>
            <w:noWrap w:val="0"/>
            <w:vAlign w:val="center"/>
          </w:tcPr>
          <w:p w14:paraId="3B55E90C">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w:t>
            </w:r>
          </w:p>
        </w:tc>
        <w:tc>
          <w:tcPr>
            <w:tcW w:w="484" w:type="pct"/>
            <w:tcBorders>
              <w:tl2br w:val="nil"/>
              <w:tr2bl w:val="nil"/>
            </w:tcBorders>
            <w:noWrap w:val="0"/>
            <w:vAlign w:val="center"/>
          </w:tcPr>
          <w:p w14:paraId="16BE8662">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1.72</w:t>
            </w:r>
            <w:r>
              <w:rPr>
                <w:rFonts w:hint="default" w:ascii="Times New Roman" w:hAnsi="Times New Roman" w:eastAsia="宋体" w:cs="Times New Roman"/>
                <w:i w:val="0"/>
                <w:iCs w:val="0"/>
                <w:color w:val="auto"/>
                <w:kern w:val="0"/>
                <w:sz w:val="21"/>
                <w:szCs w:val="21"/>
                <w:u w:val="none"/>
                <w:lang w:val="en-US" w:eastAsia="zh-CN" w:bidi="ar"/>
              </w:rPr>
              <w:t>×10</w:t>
            </w:r>
            <w:r>
              <w:rPr>
                <w:rFonts w:hint="default" w:ascii="Times New Roman" w:hAnsi="Times New Roman" w:eastAsia="宋体" w:cs="Times New Roman"/>
                <w:i w:val="0"/>
                <w:iCs w:val="0"/>
                <w:color w:val="auto"/>
                <w:kern w:val="0"/>
                <w:sz w:val="21"/>
                <w:szCs w:val="21"/>
                <w:u w:val="none"/>
                <w:vertAlign w:val="superscript"/>
                <w:lang w:val="en-US" w:eastAsia="zh-CN" w:bidi="ar"/>
              </w:rPr>
              <w:t>3</w:t>
            </w:r>
            <w:r>
              <w:rPr>
                <w:rFonts w:hint="eastAsia" w:ascii="Times New Roman" w:hAnsi="Times New Roman" w:eastAsia="宋体" w:cs="Times New Roman"/>
                <w:sz w:val="21"/>
                <w:szCs w:val="21"/>
                <w:vertAlign w:val="baseline"/>
                <w:lang w:val="en-US" w:eastAsia="zh-CN"/>
              </w:rPr>
              <w:t xml:space="preserve"> </w:t>
            </w:r>
          </w:p>
        </w:tc>
        <w:tc>
          <w:tcPr>
            <w:tcW w:w="510" w:type="pct"/>
            <w:tcBorders>
              <w:tl2br w:val="nil"/>
              <w:tr2bl w:val="nil"/>
            </w:tcBorders>
            <w:noWrap w:val="0"/>
            <w:vAlign w:val="center"/>
          </w:tcPr>
          <w:p w14:paraId="758801FF">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highlight w:val="none"/>
                <w:vertAlign w:val="baseline"/>
                <w:lang w:val="en-US" w:eastAsia="zh-CN"/>
              </w:rPr>
              <w:t>&lt;</w:t>
            </w:r>
            <w:r>
              <w:rPr>
                <w:rFonts w:hint="default" w:ascii="Times New Roman" w:hAnsi="Times New Roman" w:eastAsia="宋体" w:cs="Times New Roman"/>
                <w:color w:val="000000"/>
                <w:sz w:val="21"/>
                <w:szCs w:val="21"/>
                <w:lang w:val="en-US" w:eastAsia="zh-CN"/>
              </w:rPr>
              <w:t>0.25</w:t>
            </w:r>
          </w:p>
        </w:tc>
        <w:tc>
          <w:tcPr>
            <w:tcW w:w="511" w:type="pct"/>
            <w:tcBorders>
              <w:tl2br w:val="nil"/>
              <w:tr2bl w:val="nil"/>
            </w:tcBorders>
            <w:noWrap w:val="0"/>
            <w:vAlign w:val="center"/>
          </w:tcPr>
          <w:p w14:paraId="2CFECF78">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cs="Times New Roman"/>
                <w:strike w:val="0"/>
                <w:dstrike w:val="0"/>
                <w:sz w:val="21"/>
                <w:szCs w:val="21"/>
                <w:highlight w:val="none"/>
                <w:vertAlign w:val="baseline"/>
                <w:lang w:val="en-US" w:eastAsia="zh-CN"/>
              </w:rPr>
              <w:t>/</w:t>
            </w:r>
          </w:p>
        </w:tc>
        <w:tc>
          <w:tcPr>
            <w:tcW w:w="510" w:type="pct"/>
            <w:tcBorders>
              <w:tl2br w:val="nil"/>
              <w:tr2bl w:val="nil"/>
            </w:tcBorders>
            <w:noWrap w:val="0"/>
            <w:vAlign w:val="center"/>
          </w:tcPr>
          <w:p w14:paraId="5EC342B8">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highlight w:val="none"/>
                <w:vertAlign w:val="baseline"/>
                <w:lang w:val="en-US" w:eastAsia="zh-CN"/>
              </w:rPr>
              <w:t>&lt;</w:t>
            </w:r>
            <w:r>
              <w:rPr>
                <w:rFonts w:hint="eastAsia" w:ascii="Times New Roman" w:hAnsi="Times New Roman" w:eastAsia="宋体" w:cs="Times New Roman"/>
                <w:sz w:val="21"/>
                <w:szCs w:val="21"/>
                <w:vertAlign w:val="baseline"/>
                <w:lang w:val="en-US" w:eastAsia="zh-CN"/>
              </w:rPr>
              <w:t>0.007</w:t>
            </w:r>
          </w:p>
        </w:tc>
        <w:tc>
          <w:tcPr>
            <w:tcW w:w="511" w:type="pct"/>
            <w:tcBorders>
              <w:tl2br w:val="nil"/>
              <w:tr2bl w:val="nil"/>
            </w:tcBorders>
            <w:noWrap w:val="0"/>
            <w:vAlign w:val="center"/>
          </w:tcPr>
          <w:p w14:paraId="5894F142">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cs="Times New Roman"/>
                <w:strike w:val="0"/>
                <w:dstrike w:val="0"/>
                <w:sz w:val="21"/>
                <w:szCs w:val="21"/>
                <w:highlight w:val="none"/>
                <w:vertAlign w:val="baseline"/>
                <w:lang w:val="en-US" w:eastAsia="zh-CN"/>
              </w:rPr>
              <w:t>/</w:t>
            </w:r>
          </w:p>
        </w:tc>
        <w:tc>
          <w:tcPr>
            <w:tcW w:w="510" w:type="pct"/>
            <w:tcBorders>
              <w:tl2br w:val="nil"/>
              <w:tr2bl w:val="nil"/>
            </w:tcBorders>
            <w:noWrap w:val="0"/>
            <w:vAlign w:val="center"/>
          </w:tcPr>
          <w:p w14:paraId="517C4626">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851</w:t>
            </w:r>
          </w:p>
        </w:tc>
        <w:tc>
          <w:tcPr>
            <w:tcW w:w="515" w:type="pct"/>
            <w:vMerge w:val="restart"/>
            <w:tcBorders>
              <w:tl2br w:val="nil"/>
              <w:tr2bl w:val="nil"/>
            </w:tcBorders>
            <w:noWrap w:val="0"/>
            <w:vAlign w:val="center"/>
          </w:tcPr>
          <w:p w14:paraId="6A170DBD">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977</w:t>
            </w:r>
          </w:p>
        </w:tc>
      </w:tr>
      <w:tr w14:paraId="41279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79" w:type="pct"/>
            <w:vMerge w:val="continue"/>
            <w:tcBorders>
              <w:tl2br w:val="nil"/>
              <w:tr2bl w:val="nil"/>
            </w:tcBorders>
            <w:noWrap w:val="0"/>
            <w:vAlign w:val="center"/>
          </w:tcPr>
          <w:p w14:paraId="61785EA0">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521" w:type="pct"/>
            <w:vMerge w:val="continue"/>
            <w:tcBorders>
              <w:tl2br w:val="nil"/>
              <w:tr2bl w:val="nil"/>
            </w:tcBorders>
            <w:noWrap w:val="0"/>
            <w:vAlign w:val="center"/>
          </w:tcPr>
          <w:p w14:paraId="3B52B173">
            <w:pPr>
              <w:adjustRightInd/>
              <w:snapToGrid/>
              <w:spacing w:line="240" w:lineRule="auto"/>
              <w:ind w:firstLine="0" w:firstLineChars="0"/>
              <w:jc w:val="center"/>
              <w:rPr>
                <w:rFonts w:hint="eastAsia" w:ascii="Times New Roman" w:hAnsi="Times New Roman" w:eastAsia="宋体" w:cs="Times New Roman"/>
                <w:sz w:val="21"/>
                <w:szCs w:val="21"/>
                <w:highlight w:val="none"/>
                <w:vertAlign w:val="baseline"/>
                <w:lang w:val="en-US" w:eastAsia="zh-CN"/>
              </w:rPr>
            </w:pPr>
          </w:p>
        </w:tc>
        <w:tc>
          <w:tcPr>
            <w:tcW w:w="440" w:type="pct"/>
            <w:tcBorders>
              <w:tl2br w:val="nil"/>
              <w:tr2bl w:val="nil"/>
            </w:tcBorders>
            <w:noWrap w:val="0"/>
            <w:vAlign w:val="center"/>
          </w:tcPr>
          <w:p w14:paraId="4E08FF0A">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w:t>
            </w:r>
          </w:p>
        </w:tc>
        <w:tc>
          <w:tcPr>
            <w:tcW w:w="484" w:type="pct"/>
            <w:tcBorders>
              <w:tl2br w:val="nil"/>
              <w:tr2bl w:val="nil"/>
            </w:tcBorders>
            <w:noWrap w:val="0"/>
            <w:vAlign w:val="center"/>
          </w:tcPr>
          <w:p w14:paraId="125851E7">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1.66</w:t>
            </w:r>
            <w:r>
              <w:rPr>
                <w:rFonts w:hint="default" w:ascii="Times New Roman" w:hAnsi="Times New Roman" w:eastAsia="宋体" w:cs="Times New Roman"/>
                <w:i w:val="0"/>
                <w:iCs w:val="0"/>
                <w:color w:val="auto"/>
                <w:kern w:val="0"/>
                <w:sz w:val="21"/>
                <w:szCs w:val="21"/>
                <w:u w:val="none"/>
                <w:lang w:val="en-US" w:eastAsia="zh-CN" w:bidi="ar"/>
              </w:rPr>
              <w:t>×10</w:t>
            </w:r>
            <w:r>
              <w:rPr>
                <w:rFonts w:hint="default" w:ascii="Times New Roman" w:hAnsi="Times New Roman" w:eastAsia="宋体" w:cs="Times New Roman"/>
                <w:i w:val="0"/>
                <w:iCs w:val="0"/>
                <w:color w:val="auto"/>
                <w:kern w:val="0"/>
                <w:sz w:val="21"/>
                <w:szCs w:val="21"/>
                <w:u w:val="none"/>
                <w:vertAlign w:val="superscript"/>
                <w:lang w:val="en-US" w:eastAsia="zh-CN" w:bidi="ar"/>
              </w:rPr>
              <w:t>3</w:t>
            </w:r>
            <w:r>
              <w:rPr>
                <w:rFonts w:hint="eastAsia" w:ascii="Times New Roman" w:hAnsi="Times New Roman" w:eastAsia="宋体" w:cs="Times New Roman"/>
                <w:sz w:val="21"/>
                <w:szCs w:val="21"/>
                <w:vertAlign w:val="baseline"/>
                <w:lang w:val="en-US" w:eastAsia="zh-CN"/>
              </w:rPr>
              <w:t xml:space="preserve"> </w:t>
            </w:r>
          </w:p>
        </w:tc>
        <w:tc>
          <w:tcPr>
            <w:tcW w:w="510" w:type="pct"/>
            <w:tcBorders>
              <w:tl2br w:val="nil"/>
              <w:tr2bl w:val="nil"/>
            </w:tcBorders>
            <w:noWrap w:val="0"/>
            <w:vAlign w:val="center"/>
          </w:tcPr>
          <w:p w14:paraId="20250E02">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highlight w:val="none"/>
                <w:vertAlign w:val="baseline"/>
                <w:lang w:val="en-US" w:eastAsia="zh-CN"/>
              </w:rPr>
              <w:t>&lt;</w:t>
            </w:r>
            <w:r>
              <w:rPr>
                <w:rFonts w:hint="default" w:ascii="Times New Roman" w:hAnsi="Times New Roman" w:eastAsia="宋体" w:cs="Times New Roman"/>
                <w:color w:val="000000"/>
                <w:sz w:val="21"/>
                <w:szCs w:val="21"/>
                <w:lang w:val="en-US" w:eastAsia="zh-CN"/>
              </w:rPr>
              <w:t>0.25</w:t>
            </w:r>
          </w:p>
        </w:tc>
        <w:tc>
          <w:tcPr>
            <w:tcW w:w="511" w:type="pct"/>
            <w:tcBorders>
              <w:tl2br w:val="nil"/>
              <w:tr2bl w:val="nil"/>
            </w:tcBorders>
            <w:noWrap w:val="0"/>
            <w:vAlign w:val="center"/>
          </w:tcPr>
          <w:p w14:paraId="1B3FC415">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cs="Times New Roman"/>
                <w:strike w:val="0"/>
                <w:dstrike w:val="0"/>
                <w:sz w:val="21"/>
                <w:szCs w:val="21"/>
                <w:highlight w:val="none"/>
                <w:vertAlign w:val="baseline"/>
                <w:lang w:val="en-US" w:eastAsia="zh-CN"/>
              </w:rPr>
              <w:t>/</w:t>
            </w:r>
          </w:p>
        </w:tc>
        <w:tc>
          <w:tcPr>
            <w:tcW w:w="510" w:type="pct"/>
            <w:tcBorders>
              <w:tl2br w:val="nil"/>
              <w:tr2bl w:val="nil"/>
            </w:tcBorders>
            <w:noWrap w:val="0"/>
            <w:vAlign w:val="center"/>
          </w:tcPr>
          <w:p w14:paraId="45252B45">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highlight w:val="none"/>
                <w:vertAlign w:val="baseline"/>
                <w:lang w:val="en-US" w:eastAsia="zh-CN"/>
              </w:rPr>
              <w:t>&lt;</w:t>
            </w:r>
            <w:r>
              <w:rPr>
                <w:rFonts w:hint="eastAsia" w:ascii="Times New Roman" w:hAnsi="Times New Roman" w:eastAsia="宋体" w:cs="Times New Roman"/>
                <w:sz w:val="21"/>
                <w:szCs w:val="21"/>
                <w:vertAlign w:val="baseline"/>
                <w:lang w:val="en-US" w:eastAsia="zh-CN"/>
              </w:rPr>
              <w:t>0.007</w:t>
            </w:r>
          </w:p>
        </w:tc>
        <w:tc>
          <w:tcPr>
            <w:tcW w:w="511" w:type="pct"/>
            <w:tcBorders>
              <w:tl2br w:val="nil"/>
              <w:tr2bl w:val="nil"/>
            </w:tcBorders>
            <w:noWrap w:val="0"/>
            <w:vAlign w:val="center"/>
          </w:tcPr>
          <w:p w14:paraId="72D0C9ED">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cs="Times New Roman"/>
                <w:strike w:val="0"/>
                <w:dstrike w:val="0"/>
                <w:sz w:val="21"/>
                <w:szCs w:val="21"/>
                <w:highlight w:val="none"/>
                <w:vertAlign w:val="baseline"/>
                <w:lang w:val="en-US" w:eastAsia="zh-CN"/>
              </w:rPr>
              <w:t>/</w:t>
            </w:r>
          </w:p>
        </w:tc>
        <w:tc>
          <w:tcPr>
            <w:tcW w:w="510" w:type="pct"/>
            <w:tcBorders>
              <w:tl2br w:val="nil"/>
              <w:tr2bl w:val="nil"/>
            </w:tcBorders>
            <w:noWrap w:val="0"/>
            <w:vAlign w:val="center"/>
          </w:tcPr>
          <w:p w14:paraId="60934C31">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741</w:t>
            </w:r>
          </w:p>
        </w:tc>
        <w:tc>
          <w:tcPr>
            <w:tcW w:w="515" w:type="pct"/>
            <w:vMerge w:val="continue"/>
            <w:tcBorders>
              <w:tl2br w:val="nil"/>
              <w:tr2bl w:val="nil"/>
            </w:tcBorders>
            <w:noWrap w:val="0"/>
            <w:vAlign w:val="center"/>
          </w:tcPr>
          <w:p w14:paraId="28117BB5">
            <w:pPr>
              <w:keepNext w:val="0"/>
              <w:keepLines w:val="0"/>
              <w:widowControl/>
              <w:suppressLineNumbers w:val="0"/>
              <w:adjustRightInd/>
              <w:snapToGrid/>
              <w:spacing w:line="240" w:lineRule="auto"/>
              <w:ind w:firstLine="0" w:firstLineChars="0"/>
              <w:jc w:val="center"/>
              <w:textAlignment w:val="center"/>
              <w:rPr>
                <w:rFonts w:hint="eastAsia" w:ascii="Times New Roman" w:hAnsi="Times New Roman" w:eastAsia="宋体" w:cs="Times New Roman"/>
                <w:sz w:val="21"/>
                <w:szCs w:val="21"/>
                <w:vertAlign w:val="baseline"/>
                <w:lang w:val="en-US" w:eastAsia="zh-CN"/>
              </w:rPr>
            </w:pPr>
          </w:p>
        </w:tc>
      </w:tr>
      <w:tr w14:paraId="3ED7A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79" w:type="pct"/>
            <w:vMerge w:val="continue"/>
            <w:tcBorders>
              <w:tl2br w:val="nil"/>
              <w:tr2bl w:val="nil"/>
            </w:tcBorders>
            <w:noWrap w:val="0"/>
            <w:vAlign w:val="center"/>
          </w:tcPr>
          <w:p w14:paraId="22E421C8">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521" w:type="pct"/>
            <w:vMerge w:val="continue"/>
            <w:tcBorders>
              <w:tl2br w:val="nil"/>
              <w:tr2bl w:val="nil"/>
            </w:tcBorders>
            <w:noWrap w:val="0"/>
            <w:vAlign w:val="center"/>
          </w:tcPr>
          <w:p w14:paraId="0B3F4B5D">
            <w:pPr>
              <w:adjustRightInd/>
              <w:snapToGrid/>
              <w:spacing w:line="240" w:lineRule="auto"/>
              <w:ind w:firstLine="0" w:firstLineChars="0"/>
              <w:jc w:val="center"/>
              <w:rPr>
                <w:rFonts w:hint="eastAsia" w:ascii="Times New Roman" w:hAnsi="Times New Roman" w:eastAsia="宋体" w:cs="Times New Roman"/>
                <w:sz w:val="21"/>
                <w:szCs w:val="21"/>
                <w:highlight w:val="none"/>
                <w:vertAlign w:val="baseline"/>
                <w:lang w:val="en-US" w:eastAsia="zh-CN"/>
              </w:rPr>
            </w:pPr>
          </w:p>
        </w:tc>
        <w:tc>
          <w:tcPr>
            <w:tcW w:w="440" w:type="pct"/>
            <w:tcBorders>
              <w:tl2br w:val="nil"/>
              <w:tr2bl w:val="nil"/>
            </w:tcBorders>
            <w:noWrap w:val="0"/>
            <w:vAlign w:val="center"/>
          </w:tcPr>
          <w:p w14:paraId="6A1EC30B">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3</w:t>
            </w:r>
          </w:p>
        </w:tc>
        <w:tc>
          <w:tcPr>
            <w:tcW w:w="484" w:type="pct"/>
            <w:tcBorders>
              <w:tl2br w:val="nil"/>
              <w:tr2bl w:val="nil"/>
            </w:tcBorders>
            <w:noWrap w:val="0"/>
            <w:vAlign w:val="center"/>
          </w:tcPr>
          <w:p w14:paraId="192F6E98">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1.75</w:t>
            </w:r>
            <w:r>
              <w:rPr>
                <w:rFonts w:hint="default" w:ascii="Times New Roman" w:hAnsi="Times New Roman" w:eastAsia="宋体" w:cs="Times New Roman"/>
                <w:i w:val="0"/>
                <w:iCs w:val="0"/>
                <w:color w:val="auto"/>
                <w:kern w:val="0"/>
                <w:sz w:val="21"/>
                <w:szCs w:val="21"/>
                <w:u w:val="none"/>
                <w:lang w:val="en-US" w:eastAsia="zh-CN" w:bidi="ar"/>
              </w:rPr>
              <w:t>×10</w:t>
            </w:r>
            <w:r>
              <w:rPr>
                <w:rFonts w:hint="default" w:ascii="Times New Roman" w:hAnsi="Times New Roman" w:eastAsia="宋体" w:cs="Times New Roman"/>
                <w:i w:val="0"/>
                <w:iCs w:val="0"/>
                <w:color w:val="auto"/>
                <w:kern w:val="0"/>
                <w:sz w:val="21"/>
                <w:szCs w:val="21"/>
                <w:u w:val="none"/>
                <w:vertAlign w:val="superscript"/>
                <w:lang w:val="en-US" w:eastAsia="zh-CN" w:bidi="ar"/>
              </w:rPr>
              <w:t>3</w:t>
            </w:r>
          </w:p>
        </w:tc>
        <w:tc>
          <w:tcPr>
            <w:tcW w:w="510" w:type="pct"/>
            <w:tcBorders>
              <w:tl2br w:val="nil"/>
              <w:tr2bl w:val="nil"/>
            </w:tcBorders>
            <w:noWrap w:val="0"/>
            <w:vAlign w:val="center"/>
          </w:tcPr>
          <w:p w14:paraId="504A14A5">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highlight w:val="none"/>
                <w:vertAlign w:val="baseline"/>
                <w:lang w:val="en-US" w:eastAsia="zh-CN"/>
              </w:rPr>
              <w:t>&lt;</w:t>
            </w:r>
            <w:r>
              <w:rPr>
                <w:rFonts w:hint="default" w:ascii="Times New Roman" w:hAnsi="Times New Roman" w:eastAsia="宋体" w:cs="Times New Roman"/>
                <w:color w:val="000000"/>
                <w:sz w:val="21"/>
                <w:szCs w:val="21"/>
                <w:lang w:val="en-US" w:eastAsia="zh-CN"/>
              </w:rPr>
              <w:t>0.25</w:t>
            </w:r>
          </w:p>
        </w:tc>
        <w:tc>
          <w:tcPr>
            <w:tcW w:w="511" w:type="pct"/>
            <w:tcBorders>
              <w:tl2br w:val="nil"/>
              <w:tr2bl w:val="nil"/>
            </w:tcBorders>
            <w:noWrap w:val="0"/>
            <w:vAlign w:val="center"/>
          </w:tcPr>
          <w:p w14:paraId="4FBA0F5B">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cs="Times New Roman"/>
                <w:strike w:val="0"/>
                <w:dstrike w:val="0"/>
                <w:sz w:val="21"/>
                <w:szCs w:val="21"/>
                <w:highlight w:val="none"/>
                <w:vertAlign w:val="baseline"/>
                <w:lang w:val="en-US" w:eastAsia="zh-CN"/>
              </w:rPr>
              <w:t>/</w:t>
            </w:r>
          </w:p>
        </w:tc>
        <w:tc>
          <w:tcPr>
            <w:tcW w:w="510" w:type="pct"/>
            <w:tcBorders>
              <w:tl2br w:val="nil"/>
              <w:tr2bl w:val="nil"/>
            </w:tcBorders>
            <w:noWrap w:val="0"/>
            <w:vAlign w:val="center"/>
          </w:tcPr>
          <w:p w14:paraId="15C2AFF0">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highlight w:val="none"/>
                <w:vertAlign w:val="baseline"/>
                <w:lang w:val="en-US" w:eastAsia="zh-CN"/>
              </w:rPr>
              <w:t>&lt;</w:t>
            </w:r>
            <w:r>
              <w:rPr>
                <w:rFonts w:hint="eastAsia" w:ascii="Times New Roman" w:hAnsi="Times New Roman" w:eastAsia="宋体" w:cs="Times New Roman"/>
                <w:sz w:val="21"/>
                <w:szCs w:val="21"/>
                <w:vertAlign w:val="baseline"/>
                <w:lang w:val="en-US" w:eastAsia="zh-CN"/>
              </w:rPr>
              <w:t>0.007</w:t>
            </w:r>
          </w:p>
        </w:tc>
        <w:tc>
          <w:tcPr>
            <w:tcW w:w="511" w:type="pct"/>
            <w:tcBorders>
              <w:tl2br w:val="nil"/>
              <w:tr2bl w:val="nil"/>
            </w:tcBorders>
            <w:noWrap w:val="0"/>
            <w:vAlign w:val="center"/>
          </w:tcPr>
          <w:p w14:paraId="4FF2B1A1">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cs="Times New Roman"/>
                <w:strike w:val="0"/>
                <w:dstrike w:val="0"/>
                <w:sz w:val="21"/>
                <w:szCs w:val="21"/>
                <w:highlight w:val="none"/>
                <w:vertAlign w:val="baseline"/>
                <w:lang w:val="en-US" w:eastAsia="zh-CN"/>
              </w:rPr>
              <w:t>/</w:t>
            </w:r>
          </w:p>
        </w:tc>
        <w:tc>
          <w:tcPr>
            <w:tcW w:w="510" w:type="pct"/>
            <w:tcBorders>
              <w:tl2br w:val="nil"/>
              <w:tr2bl w:val="nil"/>
            </w:tcBorders>
            <w:noWrap w:val="0"/>
            <w:vAlign w:val="center"/>
          </w:tcPr>
          <w:p w14:paraId="55EC8826">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977</w:t>
            </w:r>
          </w:p>
        </w:tc>
        <w:tc>
          <w:tcPr>
            <w:tcW w:w="515" w:type="pct"/>
            <w:vMerge w:val="continue"/>
            <w:tcBorders>
              <w:tl2br w:val="nil"/>
              <w:tr2bl w:val="nil"/>
            </w:tcBorders>
            <w:noWrap w:val="0"/>
            <w:vAlign w:val="center"/>
          </w:tcPr>
          <w:p w14:paraId="35B9B9C0">
            <w:pPr>
              <w:keepNext w:val="0"/>
              <w:keepLines w:val="0"/>
              <w:widowControl/>
              <w:suppressLineNumbers w:val="0"/>
              <w:adjustRightInd/>
              <w:snapToGrid/>
              <w:spacing w:line="240" w:lineRule="auto"/>
              <w:ind w:firstLine="0" w:firstLineChars="0"/>
              <w:jc w:val="center"/>
              <w:textAlignment w:val="center"/>
              <w:rPr>
                <w:rFonts w:hint="eastAsia" w:ascii="Times New Roman" w:hAnsi="Times New Roman" w:eastAsia="宋体" w:cs="Times New Roman"/>
                <w:sz w:val="21"/>
                <w:szCs w:val="21"/>
                <w:vertAlign w:val="baseline"/>
                <w:lang w:val="en-US" w:eastAsia="zh-CN"/>
              </w:rPr>
            </w:pPr>
          </w:p>
        </w:tc>
      </w:tr>
      <w:tr w14:paraId="25C7D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79" w:type="pct"/>
            <w:vMerge w:val="continue"/>
            <w:tcBorders>
              <w:tl2br w:val="nil"/>
              <w:tr2bl w:val="nil"/>
            </w:tcBorders>
            <w:noWrap w:val="0"/>
            <w:vAlign w:val="center"/>
          </w:tcPr>
          <w:p w14:paraId="19B6E713">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521" w:type="pct"/>
            <w:vMerge w:val="continue"/>
            <w:tcBorders>
              <w:tl2br w:val="nil"/>
              <w:tr2bl w:val="nil"/>
            </w:tcBorders>
            <w:noWrap w:val="0"/>
            <w:vAlign w:val="center"/>
          </w:tcPr>
          <w:p w14:paraId="1E5EF428">
            <w:pPr>
              <w:adjustRightInd/>
              <w:snapToGrid/>
              <w:spacing w:line="240" w:lineRule="auto"/>
              <w:ind w:firstLine="0" w:firstLineChars="0"/>
              <w:jc w:val="center"/>
              <w:rPr>
                <w:rFonts w:hint="eastAsia" w:ascii="Times New Roman" w:hAnsi="Times New Roman" w:eastAsia="宋体" w:cs="Times New Roman"/>
                <w:sz w:val="21"/>
                <w:szCs w:val="21"/>
                <w:highlight w:val="none"/>
                <w:vertAlign w:val="baseline"/>
                <w:lang w:val="en-US" w:eastAsia="zh-CN"/>
              </w:rPr>
            </w:pPr>
          </w:p>
        </w:tc>
        <w:tc>
          <w:tcPr>
            <w:tcW w:w="440" w:type="pct"/>
            <w:tcBorders>
              <w:tl2br w:val="nil"/>
              <w:tr2bl w:val="nil"/>
            </w:tcBorders>
            <w:noWrap w:val="0"/>
            <w:vAlign w:val="center"/>
          </w:tcPr>
          <w:p w14:paraId="3BB9801F">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均值</w:t>
            </w:r>
          </w:p>
        </w:tc>
        <w:tc>
          <w:tcPr>
            <w:tcW w:w="484" w:type="pct"/>
            <w:tcBorders>
              <w:tl2br w:val="nil"/>
              <w:tr2bl w:val="nil"/>
            </w:tcBorders>
            <w:noWrap w:val="0"/>
            <w:vAlign w:val="center"/>
          </w:tcPr>
          <w:p w14:paraId="44F50E9B">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fldChar w:fldCharType="begin"/>
            </w:r>
            <w:r>
              <w:rPr>
                <w:rFonts w:hint="default" w:ascii="Times New Roman" w:hAnsi="Times New Roman" w:eastAsia="宋体" w:cs="Times New Roman"/>
                <w:sz w:val="21"/>
                <w:szCs w:val="21"/>
                <w:vertAlign w:val="baseline"/>
                <w:lang w:val="en-US" w:eastAsia="zh-CN"/>
              </w:rPr>
              <w:instrText xml:space="preserve"> = average(D7:D9) \* MERGEFORMAT </w:instrText>
            </w:r>
            <w:r>
              <w:rPr>
                <w:rFonts w:hint="default" w:ascii="Times New Roman" w:hAnsi="Times New Roman" w:eastAsia="宋体" w:cs="Times New Roman"/>
                <w:sz w:val="21"/>
                <w:szCs w:val="21"/>
                <w:vertAlign w:val="baseline"/>
                <w:lang w:val="en-US" w:eastAsia="zh-CN"/>
              </w:rPr>
              <w:fldChar w:fldCharType="separate"/>
            </w:r>
            <w:r>
              <w:rPr>
                <w:rFonts w:hint="default" w:ascii="Times New Roman" w:hAnsi="Times New Roman" w:eastAsia="宋体" w:cs="Times New Roman"/>
                <w:sz w:val="21"/>
                <w:szCs w:val="21"/>
                <w:vertAlign w:val="baseline"/>
                <w:lang w:val="en-US" w:eastAsia="zh-CN"/>
              </w:rPr>
              <w:t>1.71</w:t>
            </w:r>
            <w:r>
              <w:rPr>
                <w:rFonts w:hint="default" w:ascii="Times New Roman" w:hAnsi="Times New Roman" w:eastAsia="宋体" w:cs="Times New Roman"/>
                <w:sz w:val="21"/>
                <w:szCs w:val="21"/>
                <w:vertAlign w:val="baseline"/>
                <w:lang w:val="en-US" w:eastAsia="zh-CN"/>
              </w:rPr>
              <w:fldChar w:fldCharType="end"/>
            </w:r>
            <w:r>
              <w:rPr>
                <w:rFonts w:hint="default" w:ascii="Times New Roman" w:hAnsi="Times New Roman" w:eastAsia="宋体" w:cs="Times New Roman"/>
                <w:i w:val="0"/>
                <w:iCs w:val="0"/>
                <w:color w:val="auto"/>
                <w:kern w:val="0"/>
                <w:sz w:val="21"/>
                <w:szCs w:val="21"/>
                <w:u w:val="none"/>
                <w:lang w:val="en-US" w:eastAsia="zh-CN" w:bidi="ar"/>
              </w:rPr>
              <w:t>×10</w:t>
            </w:r>
            <w:r>
              <w:rPr>
                <w:rFonts w:hint="default" w:ascii="Times New Roman" w:hAnsi="Times New Roman" w:eastAsia="宋体" w:cs="Times New Roman"/>
                <w:i w:val="0"/>
                <w:iCs w:val="0"/>
                <w:color w:val="auto"/>
                <w:kern w:val="0"/>
                <w:sz w:val="21"/>
                <w:szCs w:val="21"/>
                <w:u w:val="none"/>
                <w:vertAlign w:val="superscript"/>
                <w:lang w:val="en-US" w:eastAsia="zh-CN" w:bidi="ar"/>
              </w:rPr>
              <w:t>3</w:t>
            </w:r>
          </w:p>
        </w:tc>
        <w:tc>
          <w:tcPr>
            <w:tcW w:w="510" w:type="pct"/>
            <w:tcBorders>
              <w:tl2br w:val="nil"/>
              <w:tr2bl w:val="nil"/>
            </w:tcBorders>
            <w:noWrap w:val="0"/>
            <w:vAlign w:val="center"/>
          </w:tcPr>
          <w:p w14:paraId="43719458">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highlight w:val="none"/>
                <w:vertAlign w:val="baseline"/>
                <w:lang w:val="en-US" w:eastAsia="zh-CN"/>
              </w:rPr>
              <w:t>&lt;</w:t>
            </w:r>
            <w:r>
              <w:rPr>
                <w:rFonts w:hint="default" w:ascii="Times New Roman" w:hAnsi="Times New Roman" w:eastAsia="宋体" w:cs="Times New Roman"/>
                <w:color w:val="000000"/>
                <w:sz w:val="21"/>
                <w:szCs w:val="21"/>
                <w:lang w:val="en-US" w:eastAsia="zh-CN"/>
              </w:rPr>
              <w:t>0.25</w:t>
            </w:r>
          </w:p>
        </w:tc>
        <w:tc>
          <w:tcPr>
            <w:tcW w:w="511" w:type="pct"/>
            <w:tcBorders>
              <w:tl2br w:val="nil"/>
              <w:tr2bl w:val="nil"/>
            </w:tcBorders>
            <w:noWrap w:val="0"/>
            <w:vAlign w:val="center"/>
          </w:tcPr>
          <w:p w14:paraId="3C762E88">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cs="Times New Roman"/>
                <w:strike w:val="0"/>
                <w:dstrike w:val="0"/>
                <w:sz w:val="21"/>
                <w:szCs w:val="21"/>
                <w:highlight w:val="none"/>
                <w:vertAlign w:val="baseline"/>
                <w:lang w:val="en-US" w:eastAsia="zh-CN"/>
              </w:rPr>
              <w:t>/</w:t>
            </w:r>
          </w:p>
        </w:tc>
        <w:tc>
          <w:tcPr>
            <w:tcW w:w="510" w:type="pct"/>
            <w:tcBorders>
              <w:tl2br w:val="nil"/>
              <w:tr2bl w:val="nil"/>
            </w:tcBorders>
            <w:noWrap w:val="0"/>
            <w:vAlign w:val="center"/>
          </w:tcPr>
          <w:p w14:paraId="13DC2F28">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highlight w:val="none"/>
                <w:vertAlign w:val="baseline"/>
                <w:lang w:val="en-US" w:eastAsia="zh-CN"/>
              </w:rPr>
              <w:t>&lt;</w:t>
            </w:r>
            <w:r>
              <w:rPr>
                <w:rFonts w:hint="eastAsia" w:ascii="Times New Roman" w:hAnsi="Times New Roman" w:eastAsia="宋体" w:cs="Times New Roman"/>
                <w:sz w:val="21"/>
                <w:szCs w:val="21"/>
                <w:vertAlign w:val="baseline"/>
                <w:lang w:val="en-US" w:eastAsia="zh-CN"/>
              </w:rPr>
              <w:t>0.007</w:t>
            </w:r>
          </w:p>
        </w:tc>
        <w:tc>
          <w:tcPr>
            <w:tcW w:w="511" w:type="pct"/>
            <w:tcBorders>
              <w:tl2br w:val="nil"/>
              <w:tr2bl w:val="nil"/>
            </w:tcBorders>
            <w:noWrap w:val="0"/>
            <w:vAlign w:val="center"/>
          </w:tcPr>
          <w:p w14:paraId="5745EF11">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cs="Times New Roman"/>
                <w:strike w:val="0"/>
                <w:dstrike w:val="0"/>
                <w:sz w:val="21"/>
                <w:szCs w:val="21"/>
                <w:highlight w:val="none"/>
                <w:vertAlign w:val="baseline"/>
                <w:lang w:val="en-US" w:eastAsia="zh-CN"/>
              </w:rPr>
              <w:t>/</w:t>
            </w:r>
          </w:p>
        </w:tc>
        <w:tc>
          <w:tcPr>
            <w:tcW w:w="510" w:type="pct"/>
            <w:tcBorders>
              <w:tl2br w:val="nil"/>
              <w:tr2bl w:val="nil"/>
            </w:tcBorders>
            <w:noWrap w:val="0"/>
            <w:vAlign w:val="center"/>
          </w:tcPr>
          <w:p w14:paraId="11B45BAB">
            <w:pPr>
              <w:keepNext w:val="0"/>
              <w:keepLines w:val="0"/>
              <w:widowControl/>
              <w:suppressLineNumbers w:val="0"/>
              <w:adjustRightInd/>
              <w:snapToGrid/>
              <w:spacing w:line="240" w:lineRule="auto"/>
              <w:ind w:firstLine="0" w:firstLineChars="0"/>
              <w:jc w:val="center"/>
              <w:textAlignment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bidi="ar-SA"/>
              </w:rPr>
              <w:t>/</w:t>
            </w:r>
          </w:p>
        </w:tc>
        <w:tc>
          <w:tcPr>
            <w:tcW w:w="515" w:type="pct"/>
            <w:tcBorders>
              <w:tl2br w:val="nil"/>
              <w:tr2bl w:val="nil"/>
            </w:tcBorders>
            <w:noWrap w:val="0"/>
            <w:vAlign w:val="center"/>
          </w:tcPr>
          <w:p w14:paraId="48C8EB6E">
            <w:pPr>
              <w:keepNext w:val="0"/>
              <w:keepLines w:val="0"/>
              <w:widowControl/>
              <w:suppressLineNumbers w:val="0"/>
              <w:adjustRightInd/>
              <w:snapToGrid/>
              <w:spacing w:line="240" w:lineRule="auto"/>
              <w:ind w:firstLine="0" w:firstLineChars="0"/>
              <w:jc w:val="center"/>
              <w:textAlignment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bidi="ar-SA"/>
              </w:rPr>
              <w:t>/</w:t>
            </w:r>
          </w:p>
        </w:tc>
      </w:tr>
      <w:tr w14:paraId="43DD1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79" w:type="pct"/>
            <w:vMerge w:val="restart"/>
            <w:tcBorders>
              <w:tl2br w:val="nil"/>
              <w:tr2bl w:val="nil"/>
            </w:tcBorders>
            <w:noWrap w:val="0"/>
            <w:vAlign w:val="center"/>
          </w:tcPr>
          <w:p w14:paraId="6C5AF121">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2026.05.30</w:t>
            </w:r>
          </w:p>
        </w:tc>
        <w:tc>
          <w:tcPr>
            <w:tcW w:w="521" w:type="pct"/>
            <w:vMerge w:val="restart"/>
            <w:tcBorders>
              <w:tl2br w:val="nil"/>
              <w:tr2bl w:val="nil"/>
            </w:tcBorders>
            <w:noWrap w:val="0"/>
            <w:vAlign w:val="center"/>
          </w:tcPr>
          <w:p w14:paraId="13A90CBE">
            <w:pPr>
              <w:adjustRightInd/>
              <w:snapToGrid/>
              <w:spacing w:line="240" w:lineRule="auto"/>
              <w:ind w:firstLine="0" w:firstLineChars="0"/>
              <w:jc w:val="center"/>
              <w:rPr>
                <w:rFonts w:hint="eastAsia"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DA007</w:t>
            </w:r>
            <w:r>
              <w:rPr>
                <w:rFonts w:hint="default" w:ascii="Times New Roman" w:hAnsi="Times New Roman" w:eastAsia="宋体" w:cs="Times New Roman"/>
                <w:sz w:val="21"/>
                <w:szCs w:val="21"/>
                <w:highlight w:val="none"/>
                <w:vertAlign w:val="baseline"/>
                <w:lang w:val="en-US" w:eastAsia="zh-CN"/>
              </w:rPr>
              <w:t>污水处理及污泥间</w:t>
            </w:r>
            <w:r>
              <w:rPr>
                <w:rFonts w:hint="eastAsia" w:ascii="Times New Roman" w:hAnsi="Times New Roman" w:eastAsia="宋体" w:cs="Times New Roman"/>
                <w:sz w:val="21"/>
                <w:szCs w:val="21"/>
                <w:highlight w:val="none"/>
                <w:vertAlign w:val="baseline"/>
                <w:lang w:val="en-US" w:eastAsia="zh-CN"/>
              </w:rPr>
              <w:t>废气处理设施</w:t>
            </w:r>
            <w:r>
              <w:rPr>
                <w:rFonts w:hint="default" w:ascii="Times New Roman" w:hAnsi="Times New Roman" w:eastAsia="宋体" w:cs="Times New Roman"/>
                <w:sz w:val="21"/>
                <w:szCs w:val="21"/>
                <w:highlight w:val="none"/>
                <w:vertAlign w:val="baseline"/>
                <w:lang w:val="en-US" w:eastAsia="zh-CN"/>
              </w:rPr>
              <w:t>进口</w:t>
            </w:r>
          </w:p>
        </w:tc>
        <w:tc>
          <w:tcPr>
            <w:tcW w:w="440" w:type="pct"/>
            <w:tcBorders>
              <w:tl2br w:val="nil"/>
              <w:tr2bl w:val="nil"/>
            </w:tcBorders>
            <w:noWrap w:val="0"/>
            <w:vAlign w:val="center"/>
          </w:tcPr>
          <w:p w14:paraId="544896C3">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w:t>
            </w:r>
          </w:p>
        </w:tc>
        <w:tc>
          <w:tcPr>
            <w:tcW w:w="484" w:type="pct"/>
            <w:tcBorders>
              <w:tl2br w:val="nil"/>
              <w:tr2bl w:val="nil"/>
            </w:tcBorders>
            <w:noWrap w:val="0"/>
            <w:vAlign w:val="center"/>
          </w:tcPr>
          <w:p w14:paraId="1B839ACD">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1.72</w:t>
            </w:r>
            <w:r>
              <w:rPr>
                <w:rFonts w:hint="default" w:ascii="Times New Roman" w:hAnsi="Times New Roman" w:eastAsia="宋体" w:cs="Times New Roman"/>
                <w:i w:val="0"/>
                <w:iCs w:val="0"/>
                <w:color w:val="auto"/>
                <w:kern w:val="0"/>
                <w:sz w:val="21"/>
                <w:szCs w:val="21"/>
                <w:u w:val="none"/>
                <w:lang w:val="en-US" w:eastAsia="zh-CN" w:bidi="ar"/>
              </w:rPr>
              <w:t>×10</w:t>
            </w:r>
            <w:r>
              <w:rPr>
                <w:rFonts w:hint="default" w:ascii="Times New Roman" w:hAnsi="Times New Roman" w:eastAsia="宋体" w:cs="Times New Roman"/>
                <w:i w:val="0"/>
                <w:iCs w:val="0"/>
                <w:color w:val="auto"/>
                <w:kern w:val="0"/>
                <w:sz w:val="21"/>
                <w:szCs w:val="21"/>
                <w:u w:val="none"/>
                <w:vertAlign w:val="superscript"/>
                <w:lang w:val="en-US" w:eastAsia="zh-CN" w:bidi="ar"/>
              </w:rPr>
              <w:t>3</w:t>
            </w:r>
            <w:r>
              <w:rPr>
                <w:rFonts w:hint="eastAsia" w:ascii="Times New Roman" w:hAnsi="Times New Roman" w:eastAsia="宋体" w:cs="Times New Roman"/>
                <w:sz w:val="21"/>
                <w:szCs w:val="21"/>
                <w:vertAlign w:val="baseline"/>
                <w:lang w:val="en-US" w:eastAsia="zh-CN"/>
              </w:rPr>
              <w:t xml:space="preserve"> </w:t>
            </w:r>
          </w:p>
        </w:tc>
        <w:tc>
          <w:tcPr>
            <w:tcW w:w="510" w:type="pct"/>
            <w:tcBorders>
              <w:tl2br w:val="nil"/>
              <w:tr2bl w:val="nil"/>
            </w:tcBorders>
            <w:noWrap w:val="0"/>
            <w:vAlign w:val="center"/>
          </w:tcPr>
          <w:p w14:paraId="0E7E0F6E">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1.84</w:t>
            </w:r>
          </w:p>
        </w:tc>
        <w:tc>
          <w:tcPr>
            <w:tcW w:w="511" w:type="pct"/>
            <w:tcBorders>
              <w:tl2br w:val="nil"/>
              <w:tr2bl w:val="nil"/>
            </w:tcBorders>
            <w:noWrap w:val="0"/>
            <w:vAlign w:val="center"/>
          </w:tcPr>
          <w:p w14:paraId="3D1B6530">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3.16</w:t>
            </w:r>
            <w:r>
              <w:rPr>
                <w:rFonts w:hint="default" w:ascii="Times New Roman" w:hAnsi="Times New Roman" w:eastAsia="宋体"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-3</w:t>
            </w:r>
          </w:p>
        </w:tc>
        <w:tc>
          <w:tcPr>
            <w:tcW w:w="510" w:type="pct"/>
            <w:tcBorders>
              <w:tl2br w:val="nil"/>
              <w:tr2bl w:val="nil"/>
            </w:tcBorders>
            <w:noWrap w:val="0"/>
            <w:vAlign w:val="center"/>
          </w:tcPr>
          <w:p w14:paraId="67E56189">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0.062</w:t>
            </w:r>
          </w:p>
        </w:tc>
        <w:tc>
          <w:tcPr>
            <w:tcW w:w="511" w:type="pct"/>
            <w:tcBorders>
              <w:tl2br w:val="nil"/>
              <w:tr2bl w:val="nil"/>
            </w:tcBorders>
            <w:noWrap w:val="0"/>
            <w:vAlign w:val="center"/>
          </w:tcPr>
          <w:p w14:paraId="76709C87">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1.07</w:t>
            </w:r>
            <w:r>
              <w:rPr>
                <w:rFonts w:hint="default" w:ascii="Times New Roman" w:hAnsi="Times New Roman" w:eastAsia="宋体"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-4</w:t>
            </w:r>
            <w:r>
              <w:rPr>
                <w:rFonts w:hint="eastAsia" w:ascii="Times New Roman" w:hAnsi="Times New Roman" w:eastAsia="宋体" w:cs="Times New Roman"/>
                <w:sz w:val="21"/>
                <w:szCs w:val="21"/>
                <w:vertAlign w:val="baseline"/>
                <w:lang w:val="en-US" w:eastAsia="zh-CN"/>
              </w:rPr>
              <w:t xml:space="preserve"> </w:t>
            </w:r>
          </w:p>
        </w:tc>
        <w:tc>
          <w:tcPr>
            <w:tcW w:w="510" w:type="pct"/>
            <w:tcBorders>
              <w:tl2br w:val="nil"/>
              <w:tr2bl w:val="nil"/>
            </w:tcBorders>
            <w:noWrap w:val="0"/>
            <w:vAlign w:val="center"/>
          </w:tcPr>
          <w:p w14:paraId="6ED49846">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bidi="ar-SA"/>
              </w:rPr>
              <w:t>6309</w:t>
            </w:r>
          </w:p>
        </w:tc>
        <w:tc>
          <w:tcPr>
            <w:tcW w:w="515" w:type="pct"/>
            <w:vMerge w:val="restart"/>
            <w:tcBorders>
              <w:tl2br w:val="nil"/>
              <w:tr2bl w:val="nil"/>
            </w:tcBorders>
            <w:noWrap w:val="0"/>
            <w:vAlign w:val="center"/>
          </w:tcPr>
          <w:p w14:paraId="13B39EB4">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bidi="ar-SA"/>
              </w:rPr>
              <w:t>6309</w:t>
            </w:r>
          </w:p>
        </w:tc>
      </w:tr>
      <w:tr w14:paraId="01B6B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79" w:type="pct"/>
            <w:vMerge w:val="continue"/>
            <w:tcBorders>
              <w:tl2br w:val="nil"/>
              <w:tr2bl w:val="nil"/>
            </w:tcBorders>
            <w:noWrap w:val="0"/>
            <w:vAlign w:val="center"/>
          </w:tcPr>
          <w:p w14:paraId="1E058DD4">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521" w:type="pct"/>
            <w:vMerge w:val="continue"/>
            <w:tcBorders>
              <w:tl2br w:val="nil"/>
              <w:tr2bl w:val="nil"/>
            </w:tcBorders>
            <w:noWrap w:val="0"/>
            <w:vAlign w:val="center"/>
          </w:tcPr>
          <w:p w14:paraId="5D6BF8F0">
            <w:pPr>
              <w:adjustRightInd/>
              <w:snapToGrid/>
              <w:spacing w:line="240" w:lineRule="auto"/>
              <w:ind w:firstLine="0" w:firstLineChars="0"/>
              <w:jc w:val="center"/>
              <w:rPr>
                <w:rFonts w:hint="eastAsia" w:ascii="Times New Roman" w:hAnsi="Times New Roman" w:eastAsia="宋体" w:cs="Times New Roman"/>
                <w:sz w:val="21"/>
                <w:szCs w:val="21"/>
                <w:highlight w:val="none"/>
                <w:vertAlign w:val="baseline"/>
                <w:lang w:val="en-US" w:eastAsia="zh-CN"/>
              </w:rPr>
            </w:pPr>
          </w:p>
        </w:tc>
        <w:tc>
          <w:tcPr>
            <w:tcW w:w="440" w:type="pct"/>
            <w:tcBorders>
              <w:tl2br w:val="nil"/>
              <w:tr2bl w:val="nil"/>
            </w:tcBorders>
            <w:noWrap w:val="0"/>
            <w:vAlign w:val="center"/>
          </w:tcPr>
          <w:p w14:paraId="069E64DF">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w:t>
            </w:r>
          </w:p>
        </w:tc>
        <w:tc>
          <w:tcPr>
            <w:tcW w:w="484" w:type="pct"/>
            <w:tcBorders>
              <w:tl2br w:val="nil"/>
              <w:tr2bl w:val="nil"/>
            </w:tcBorders>
            <w:noWrap w:val="0"/>
            <w:vAlign w:val="center"/>
          </w:tcPr>
          <w:p w14:paraId="1C86911D">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1.69</w:t>
            </w:r>
            <w:r>
              <w:rPr>
                <w:rFonts w:hint="default" w:ascii="Times New Roman" w:hAnsi="Times New Roman" w:eastAsia="宋体" w:cs="Times New Roman"/>
                <w:i w:val="0"/>
                <w:iCs w:val="0"/>
                <w:color w:val="auto"/>
                <w:kern w:val="0"/>
                <w:sz w:val="21"/>
                <w:szCs w:val="21"/>
                <w:u w:val="none"/>
                <w:lang w:val="en-US" w:eastAsia="zh-CN" w:bidi="ar"/>
              </w:rPr>
              <w:t>×10</w:t>
            </w:r>
            <w:r>
              <w:rPr>
                <w:rFonts w:hint="default" w:ascii="Times New Roman" w:hAnsi="Times New Roman" w:eastAsia="宋体" w:cs="Times New Roman"/>
                <w:i w:val="0"/>
                <w:iCs w:val="0"/>
                <w:color w:val="auto"/>
                <w:kern w:val="0"/>
                <w:sz w:val="21"/>
                <w:szCs w:val="21"/>
                <w:u w:val="none"/>
                <w:vertAlign w:val="superscript"/>
                <w:lang w:val="en-US" w:eastAsia="zh-CN" w:bidi="ar"/>
              </w:rPr>
              <w:t>3</w:t>
            </w:r>
          </w:p>
        </w:tc>
        <w:tc>
          <w:tcPr>
            <w:tcW w:w="510" w:type="pct"/>
            <w:tcBorders>
              <w:tl2br w:val="nil"/>
              <w:tr2bl w:val="nil"/>
            </w:tcBorders>
            <w:noWrap w:val="0"/>
            <w:vAlign w:val="center"/>
          </w:tcPr>
          <w:p w14:paraId="54EA4B07">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1.76</w:t>
            </w:r>
          </w:p>
        </w:tc>
        <w:tc>
          <w:tcPr>
            <w:tcW w:w="511" w:type="pct"/>
            <w:tcBorders>
              <w:tl2br w:val="nil"/>
              <w:tr2bl w:val="nil"/>
            </w:tcBorders>
            <w:noWrap w:val="0"/>
            <w:vAlign w:val="center"/>
          </w:tcPr>
          <w:p w14:paraId="77C12188">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2.97</w:t>
            </w:r>
            <w:r>
              <w:rPr>
                <w:rFonts w:hint="default" w:ascii="Times New Roman" w:hAnsi="Times New Roman" w:eastAsia="宋体"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-3</w:t>
            </w:r>
          </w:p>
        </w:tc>
        <w:tc>
          <w:tcPr>
            <w:tcW w:w="510" w:type="pct"/>
            <w:tcBorders>
              <w:tl2br w:val="nil"/>
              <w:tr2bl w:val="nil"/>
            </w:tcBorders>
            <w:noWrap w:val="0"/>
            <w:vAlign w:val="center"/>
          </w:tcPr>
          <w:p w14:paraId="31B16055">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0.047</w:t>
            </w:r>
          </w:p>
        </w:tc>
        <w:tc>
          <w:tcPr>
            <w:tcW w:w="511" w:type="pct"/>
            <w:tcBorders>
              <w:tl2br w:val="nil"/>
              <w:tr2bl w:val="nil"/>
            </w:tcBorders>
            <w:noWrap w:val="0"/>
            <w:vAlign w:val="center"/>
          </w:tcPr>
          <w:p w14:paraId="537BB618">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7.94</w:t>
            </w:r>
            <w:r>
              <w:rPr>
                <w:rFonts w:hint="default" w:ascii="Times New Roman" w:hAnsi="Times New Roman" w:eastAsia="宋体"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-5</w:t>
            </w:r>
            <w:r>
              <w:rPr>
                <w:rFonts w:hint="eastAsia" w:ascii="Times New Roman" w:hAnsi="Times New Roman" w:eastAsia="宋体" w:cs="Times New Roman"/>
                <w:sz w:val="21"/>
                <w:szCs w:val="21"/>
                <w:vertAlign w:val="baseline"/>
                <w:lang w:val="en-US" w:eastAsia="zh-CN"/>
              </w:rPr>
              <w:t xml:space="preserve"> </w:t>
            </w:r>
          </w:p>
        </w:tc>
        <w:tc>
          <w:tcPr>
            <w:tcW w:w="510" w:type="pct"/>
            <w:tcBorders>
              <w:tl2br w:val="nil"/>
              <w:tr2bl w:val="nil"/>
            </w:tcBorders>
            <w:noWrap w:val="0"/>
            <w:vAlign w:val="center"/>
          </w:tcPr>
          <w:p w14:paraId="6E318ECB">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bidi="ar-SA"/>
              </w:rPr>
              <w:t>5495</w:t>
            </w:r>
          </w:p>
        </w:tc>
        <w:tc>
          <w:tcPr>
            <w:tcW w:w="515" w:type="pct"/>
            <w:vMerge w:val="continue"/>
            <w:tcBorders>
              <w:tl2br w:val="nil"/>
              <w:tr2bl w:val="nil"/>
            </w:tcBorders>
            <w:noWrap w:val="0"/>
            <w:vAlign w:val="center"/>
          </w:tcPr>
          <w:p w14:paraId="6A96A067">
            <w:pPr>
              <w:keepNext w:val="0"/>
              <w:keepLines w:val="0"/>
              <w:widowControl/>
              <w:suppressLineNumbers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vertAlign w:val="baseline"/>
                <w:lang w:val="en-US" w:eastAsia="zh-CN" w:bidi="ar-SA"/>
              </w:rPr>
            </w:pPr>
          </w:p>
        </w:tc>
      </w:tr>
      <w:tr w14:paraId="4E963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79" w:type="pct"/>
            <w:vMerge w:val="continue"/>
            <w:tcBorders>
              <w:tl2br w:val="nil"/>
              <w:tr2bl w:val="nil"/>
            </w:tcBorders>
            <w:noWrap w:val="0"/>
            <w:vAlign w:val="center"/>
          </w:tcPr>
          <w:p w14:paraId="15FA2BFA">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521" w:type="pct"/>
            <w:vMerge w:val="continue"/>
            <w:tcBorders>
              <w:tl2br w:val="nil"/>
              <w:tr2bl w:val="nil"/>
            </w:tcBorders>
            <w:noWrap w:val="0"/>
            <w:vAlign w:val="center"/>
          </w:tcPr>
          <w:p w14:paraId="76A675FE">
            <w:pPr>
              <w:adjustRightInd/>
              <w:snapToGrid/>
              <w:spacing w:line="240" w:lineRule="auto"/>
              <w:ind w:firstLine="0" w:firstLineChars="0"/>
              <w:jc w:val="center"/>
              <w:rPr>
                <w:rFonts w:hint="eastAsia" w:ascii="Times New Roman" w:hAnsi="Times New Roman" w:eastAsia="宋体" w:cs="Times New Roman"/>
                <w:sz w:val="21"/>
                <w:szCs w:val="21"/>
                <w:highlight w:val="none"/>
                <w:vertAlign w:val="baseline"/>
                <w:lang w:val="en-US" w:eastAsia="zh-CN"/>
              </w:rPr>
            </w:pPr>
          </w:p>
        </w:tc>
        <w:tc>
          <w:tcPr>
            <w:tcW w:w="440" w:type="pct"/>
            <w:tcBorders>
              <w:tl2br w:val="nil"/>
              <w:tr2bl w:val="nil"/>
            </w:tcBorders>
            <w:noWrap w:val="0"/>
            <w:vAlign w:val="center"/>
          </w:tcPr>
          <w:p w14:paraId="69255565">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3</w:t>
            </w:r>
          </w:p>
        </w:tc>
        <w:tc>
          <w:tcPr>
            <w:tcW w:w="484" w:type="pct"/>
            <w:tcBorders>
              <w:tl2br w:val="nil"/>
              <w:tr2bl w:val="nil"/>
            </w:tcBorders>
            <w:noWrap w:val="0"/>
            <w:vAlign w:val="center"/>
          </w:tcPr>
          <w:p w14:paraId="24F35883">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1.76</w:t>
            </w:r>
            <w:r>
              <w:rPr>
                <w:rFonts w:hint="default" w:ascii="Times New Roman" w:hAnsi="Times New Roman" w:eastAsia="宋体" w:cs="Times New Roman"/>
                <w:i w:val="0"/>
                <w:iCs w:val="0"/>
                <w:color w:val="auto"/>
                <w:kern w:val="0"/>
                <w:sz w:val="21"/>
                <w:szCs w:val="21"/>
                <w:u w:val="none"/>
                <w:lang w:val="en-US" w:eastAsia="zh-CN" w:bidi="ar"/>
              </w:rPr>
              <w:t>×10</w:t>
            </w:r>
            <w:r>
              <w:rPr>
                <w:rFonts w:hint="default" w:ascii="Times New Roman" w:hAnsi="Times New Roman" w:eastAsia="宋体" w:cs="Times New Roman"/>
                <w:i w:val="0"/>
                <w:iCs w:val="0"/>
                <w:color w:val="auto"/>
                <w:kern w:val="0"/>
                <w:sz w:val="21"/>
                <w:szCs w:val="21"/>
                <w:u w:val="none"/>
                <w:vertAlign w:val="superscript"/>
                <w:lang w:val="en-US" w:eastAsia="zh-CN" w:bidi="ar"/>
              </w:rPr>
              <w:t>3</w:t>
            </w:r>
          </w:p>
        </w:tc>
        <w:tc>
          <w:tcPr>
            <w:tcW w:w="510" w:type="pct"/>
            <w:tcBorders>
              <w:tl2br w:val="nil"/>
              <w:tr2bl w:val="nil"/>
            </w:tcBorders>
            <w:noWrap w:val="0"/>
            <w:vAlign w:val="center"/>
          </w:tcPr>
          <w:p w14:paraId="7D13850D">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1.67</w:t>
            </w:r>
          </w:p>
        </w:tc>
        <w:tc>
          <w:tcPr>
            <w:tcW w:w="511" w:type="pct"/>
            <w:tcBorders>
              <w:tl2br w:val="nil"/>
              <w:tr2bl w:val="nil"/>
            </w:tcBorders>
            <w:noWrap w:val="0"/>
            <w:vAlign w:val="center"/>
          </w:tcPr>
          <w:p w14:paraId="791F9294">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2.94</w:t>
            </w:r>
            <w:r>
              <w:rPr>
                <w:rFonts w:hint="default" w:ascii="Times New Roman" w:hAnsi="Times New Roman" w:eastAsia="宋体"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-3</w:t>
            </w:r>
          </w:p>
        </w:tc>
        <w:tc>
          <w:tcPr>
            <w:tcW w:w="510" w:type="pct"/>
            <w:tcBorders>
              <w:tl2br w:val="nil"/>
              <w:tr2bl w:val="nil"/>
            </w:tcBorders>
            <w:noWrap w:val="0"/>
            <w:vAlign w:val="center"/>
          </w:tcPr>
          <w:p w14:paraId="702FB222">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0.058</w:t>
            </w:r>
          </w:p>
        </w:tc>
        <w:tc>
          <w:tcPr>
            <w:tcW w:w="511" w:type="pct"/>
            <w:tcBorders>
              <w:tl2br w:val="nil"/>
              <w:tr2bl w:val="nil"/>
            </w:tcBorders>
            <w:noWrap w:val="0"/>
            <w:vAlign w:val="center"/>
          </w:tcPr>
          <w:p w14:paraId="327DEC3C">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1.02</w:t>
            </w:r>
            <w:r>
              <w:rPr>
                <w:rFonts w:hint="default" w:ascii="Times New Roman" w:hAnsi="Times New Roman" w:eastAsia="宋体"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-4</w:t>
            </w:r>
            <w:r>
              <w:rPr>
                <w:rFonts w:hint="eastAsia" w:ascii="Times New Roman" w:hAnsi="Times New Roman" w:eastAsia="宋体" w:cs="Times New Roman"/>
                <w:sz w:val="21"/>
                <w:szCs w:val="21"/>
                <w:vertAlign w:val="baseline"/>
                <w:lang w:val="en-US" w:eastAsia="zh-CN"/>
              </w:rPr>
              <w:t xml:space="preserve"> </w:t>
            </w:r>
          </w:p>
        </w:tc>
        <w:tc>
          <w:tcPr>
            <w:tcW w:w="510" w:type="pct"/>
            <w:tcBorders>
              <w:tl2br w:val="nil"/>
              <w:tr2bl w:val="nil"/>
            </w:tcBorders>
            <w:noWrap w:val="0"/>
            <w:vAlign w:val="center"/>
          </w:tcPr>
          <w:p w14:paraId="77FC87E2">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bidi="ar-SA"/>
              </w:rPr>
              <w:t>4786</w:t>
            </w:r>
          </w:p>
        </w:tc>
        <w:tc>
          <w:tcPr>
            <w:tcW w:w="515" w:type="pct"/>
            <w:vMerge w:val="continue"/>
            <w:tcBorders>
              <w:tl2br w:val="nil"/>
              <w:tr2bl w:val="nil"/>
            </w:tcBorders>
            <w:noWrap w:val="0"/>
            <w:vAlign w:val="center"/>
          </w:tcPr>
          <w:p w14:paraId="75D42412">
            <w:pPr>
              <w:keepNext w:val="0"/>
              <w:keepLines w:val="0"/>
              <w:widowControl/>
              <w:suppressLineNumbers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vertAlign w:val="baseline"/>
                <w:lang w:val="en-US" w:eastAsia="zh-CN" w:bidi="ar-SA"/>
              </w:rPr>
            </w:pPr>
          </w:p>
        </w:tc>
      </w:tr>
      <w:tr w14:paraId="276A0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79" w:type="pct"/>
            <w:vMerge w:val="continue"/>
            <w:tcBorders>
              <w:tl2br w:val="nil"/>
              <w:tr2bl w:val="nil"/>
            </w:tcBorders>
            <w:noWrap w:val="0"/>
            <w:vAlign w:val="center"/>
          </w:tcPr>
          <w:p w14:paraId="18A466A3">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521" w:type="pct"/>
            <w:vMerge w:val="continue"/>
            <w:tcBorders>
              <w:tl2br w:val="nil"/>
              <w:tr2bl w:val="nil"/>
            </w:tcBorders>
            <w:noWrap w:val="0"/>
            <w:vAlign w:val="center"/>
          </w:tcPr>
          <w:p w14:paraId="72F5CF2F">
            <w:pPr>
              <w:adjustRightInd/>
              <w:snapToGrid/>
              <w:spacing w:line="240" w:lineRule="auto"/>
              <w:ind w:firstLine="0" w:firstLineChars="0"/>
              <w:jc w:val="center"/>
              <w:rPr>
                <w:rFonts w:hint="eastAsia" w:ascii="Times New Roman" w:hAnsi="Times New Roman" w:eastAsia="宋体" w:cs="Times New Roman"/>
                <w:sz w:val="21"/>
                <w:szCs w:val="21"/>
                <w:highlight w:val="none"/>
                <w:vertAlign w:val="baseline"/>
                <w:lang w:val="en-US" w:eastAsia="zh-CN"/>
              </w:rPr>
            </w:pPr>
          </w:p>
        </w:tc>
        <w:tc>
          <w:tcPr>
            <w:tcW w:w="440" w:type="pct"/>
            <w:tcBorders>
              <w:tl2br w:val="nil"/>
              <w:tr2bl w:val="nil"/>
            </w:tcBorders>
            <w:noWrap w:val="0"/>
            <w:vAlign w:val="center"/>
          </w:tcPr>
          <w:p w14:paraId="1839A960">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均值</w:t>
            </w:r>
          </w:p>
        </w:tc>
        <w:tc>
          <w:tcPr>
            <w:tcW w:w="484" w:type="pct"/>
            <w:tcBorders>
              <w:tl2br w:val="nil"/>
              <w:tr2bl w:val="nil"/>
            </w:tcBorders>
            <w:noWrap w:val="0"/>
            <w:vAlign w:val="center"/>
          </w:tcPr>
          <w:p w14:paraId="5238E9E6">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fldChar w:fldCharType="begin"/>
            </w:r>
            <w:r>
              <w:rPr>
                <w:rFonts w:hint="default" w:ascii="Times New Roman" w:hAnsi="Times New Roman" w:eastAsia="宋体" w:cs="Times New Roman"/>
                <w:sz w:val="21"/>
                <w:szCs w:val="21"/>
                <w:vertAlign w:val="baseline"/>
                <w:lang w:val="en-US" w:eastAsia="zh-CN"/>
              </w:rPr>
              <w:instrText xml:space="preserve"> = average(D11:D13) \* MERGEFORMAT </w:instrText>
            </w:r>
            <w:r>
              <w:rPr>
                <w:rFonts w:hint="default" w:ascii="Times New Roman" w:hAnsi="Times New Roman" w:eastAsia="宋体" w:cs="Times New Roman"/>
                <w:sz w:val="21"/>
                <w:szCs w:val="21"/>
                <w:vertAlign w:val="baseline"/>
                <w:lang w:val="en-US" w:eastAsia="zh-CN"/>
              </w:rPr>
              <w:fldChar w:fldCharType="separate"/>
            </w:r>
            <w:r>
              <w:rPr>
                <w:rFonts w:hint="default" w:ascii="Times New Roman" w:hAnsi="Times New Roman" w:eastAsia="宋体" w:cs="Times New Roman"/>
                <w:sz w:val="21"/>
                <w:szCs w:val="21"/>
                <w:vertAlign w:val="baseline"/>
                <w:lang w:val="en-US" w:eastAsia="zh-CN"/>
              </w:rPr>
              <w:t>1.72</w:t>
            </w:r>
            <w:r>
              <w:rPr>
                <w:rFonts w:hint="default" w:ascii="Times New Roman" w:hAnsi="Times New Roman" w:eastAsia="宋体" w:cs="Times New Roman"/>
                <w:sz w:val="21"/>
                <w:szCs w:val="21"/>
                <w:vertAlign w:val="baseline"/>
                <w:lang w:val="en-US" w:eastAsia="zh-CN"/>
              </w:rPr>
              <w:fldChar w:fldCharType="end"/>
            </w:r>
            <w:r>
              <w:rPr>
                <w:rFonts w:hint="default" w:ascii="Times New Roman" w:hAnsi="Times New Roman" w:eastAsia="宋体" w:cs="Times New Roman"/>
                <w:i w:val="0"/>
                <w:iCs w:val="0"/>
                <w:color w:val="auto"/>
                <w:kern w:val="0"/>
                <w:sz w:val="21"/>
                <w:szCs w:val="21"/>
                <w:u w:val="none"/>
                <w:lang w:val="en-US" w:eastAsia="zh-CN" w:bidi="ar"/>
              </w:rPr>
              <w:t>×10</w:t>
            </w:r>
            <w:r>
              <w:rPr>
                <w:rFonts w:hint="default" w:ascii="Times New Roman" w:hAnsi="Times New Roman" w:eastAsia="宋体" w:cs="Times New Roman"/>
                <w:i w:val="0"/>
                <w:iCs w:val="0"/>
                <w:color w:val="auto"/>
                <w:kern w:val="0"/>
                <w:sz w:val="21"/>
                <w:szCs w:val="21"/>
                <w:u w:val="none"/>
                <w:vertAlign w:val="superscript"/>
                <w:lang w:val="en-US" w:eastAsia="zh-CN" w:bidi="ar"/>
              </w:rPr>
              <w:t>3</w:t>
            </w:r>
          </w:p>
        </w:tc>
        <w:tc>
          <w:tcPr>
            <w:tcW w:w="510" w:type="pct"/>
            <w:tcBorders>
              <w:tl2br w:val="nil"/>
              <w:tr2bl w:val="nil"/>
            </w:tcBorders>
            <w:noWrap w:val="0"/>
            <w:vAlign w:val="center"/>
          </w:tcPr>
          <w:p w14:paraId="22E5AD5A">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fldChar w:fldCharType="begin"/>
            </w:r>
            <w:r>
              <w:rPr>
                <w:rFonts w:hint="eastAsia" w:ascii="Times New Roman" w:hAnsi="Times New Roman" w:eastAsia="宋体" w:cs="Times New Roman"/>
                <w:sz w:val="21"/>
                <w:szCs w:val="21"/>
                <w:vertAlign w:val="baseline"/>
                <w:lang w:val="en-US" w:eastAsia="zh-CN"/>
              </w:rPr>
              <w:instrText xml:space="preserve"> = average(E11:E13) \* MERGEFORMAT </w:instrText>
            </w:r>
            <w:r>
              <w:rPr>
                <w:rFonts w:hint="eastAsia" w:ascii="Times New Roman" w:hAnsi="Times New Roman" w:eastAsia="宋体" w:cs="Times New Roman"/>
                <w:sz w:val="21"/>
                <w:szCs w:val="21"/>
                <w:vertAlign w:val="baseline"/>
                <w:lang w:val="en-US" w:eastAsia="zh-CN"/>
              </w:rPr>
              <w:fldChar w:fldCharType="separate"/>
            </w:r>
            <w:r>
              <w:rPr>
                <w:rFonts w:hint="eastAsia" w:ascii="Times New Roman" w:hAnsi="Times New Roman" w:eastAsia="宋体" w:cs="Times New Roman"/>
                <w:sz w:val="21"/>
                <w:szCs w:val="21"/>
                <w:vertAlign w:val="baseline"/>
                <w:lang w:val="en-US" w:eastAsia="zh-CN"/>
              </w:rPr>
              <w:t>1.76</w:t>
            </w:r>
            <w:r>
              <w:rPr>
                <w:rFonts w:hint="eastAsia" w:ascii="Times New Roman" w:hAnsi="Times New Roman" w:eastAsia="宋体" w:cs="Times New Roman"/>
                <w:sz w:val="21"/>
                <w:szCs w:val="21"/>
                <w:vertAlign w:val="baseline"/>
                <w:lang w:val="en-US" w:eastAsia="zh-CN"/>
              </w:rPr>
              <w:fldChar w:fldCharType="end"/>
            </w:r>
          </w:p>
        </w:tc>
        <w:tc>
          <w:tcPr>
            <w:tcW w:w="511" w:type="pct"/>
            <w:tcBorders>
              <w:tl2br w:val="nil"/>
              <w:tr2bl w:val="nil"/>
            </w:tcBorders>
            <w:noWrap w:val="0"/>
            <w:vAlign w:val="center"/>
          </w:tcPr>
          <w:p w14:paraId="6326C2F8">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3.03</w:t>
            </w:r>
            <w:r>
              <w:rPr>
                <w:rFonts w:hint="default" w:ascii="Times New Roman" w:hAnsi="Times New Roman" w:eastAsia="宋体"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-3</w:t>
            </w:r>
            <w:r>
              <w:rPr>
                <w:rFonts w:hint="eastAsia" w:ascii="Times New Roman" w:hAnsi="Times New Roman" w:eastAsia="宋体" w:cs="Times New Roman"/>
                <w:sz w:val="21"/>
                <w:szCs w:val="21"/>
                <w:vertAlign w:val="baseline"/>
                <w:lang w:val="en-US" w:eastAsia="zh-CN"/>
              </w:rPr>
              <w:t xml:space="preserve"> </w:t>
            </w:r>
          </w:p>
        </w:tc>
        <w:tc>
          <w:tcPr>
            <w:tcW w:w="510" w:type="pct"/>
            <w:tcBorders>
              <w:tl2br w:val="nil"/>
              <w:tr2bl w:val="nil"/>
            </w:tcBorders>
            <w:noWrap w:val="0"/>
            <w:vAlign w:val="center"/>
          </w:tcPr>
          <w:p w14:paraId="78E1D434">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fldChar w:fldCharType="begin"/>
            </w:r>
            <w:r>
              <w:rPr>
                <w:rFonts w:hint="default" w:ascii="Times New Roman" w:hAnsi="Times New Roman" w:eastAsia="宋体" w:cs="Times New Roman"/>
                <w:sz w:val="21"/>
                <w:szCs w:val="21"/>
                <w:vertAlign w:val="baseline"/>
                <w:lang w:val="en-US" w:eastAsia="zh-CN"/>
              </w:rPr>
              <w:instrText xml:space="preserve"> = average(G11:G13) \* MERGEFORMAT </w:instrText>
            </w:r>
            <w:r>
              <w:rPr>
                <w:rFonts w:hint="default" w:ascii="Times New Roman" w:hAnsi="Times New Roman" w:eastAsia="宋体" w:cs="Times New Roman"/>
                <w:sz w:val="21"/>
                <w:szCs w:val="21"/>
                <w:vertAlign w:val="baseline"/>
                <w:lang w:val="en-US" w:eastAsia="zh-CN"/>
              </w:rPr>
              <w:fldChar w:fldCharType="separate"/>
            </w:r>
            <w:r>
              <w:rPr>
                <w:rFonts w:hint="default" w:ascii="Times New Roman" w:hAnsi="Times New Roman" w:eastAsia="宋体" w:cs="Times New Roman"/>
                <w:sz w:val="21"/>
                <w:szCs w:val="21"/>
                <w:vertAlign w:val="baseline"/>
                <w:lang w:val="en-US" w:eastAsia="zh-CN"/>
              </w:rPr>
              <w:t>0.05</w:t>
            </w:r>
            <w:r>
              <w:rPr>
                <w:rFonts w:hint="eastAsia" w:ascii="Times New Roman" w:hAnsi="Times New Roman" w:eastAsia="宋体" w:cs="Times New Roman"/>
                <w:sz w:val="21"/>
                <w:szCs w:val="21"/>
                <w:vertAlign w:val="baseline"/>
                <w:lang w:val="en-US" w:eastAsia="zh-CN"/>
              </w:rPr>
              <w:t>6</w:t>
            </w:r>
            <w:r>
              <w:rPr>
                <w:rFonts w:hint="default" w:ascii="Times New Roman" w:hAnsi="Times New Roman" w:eastAsia="宋体" w:cs="Times New Roman"/>
                <w:sz w:val="21"/>
                <w:szCs w:val="21"/>
                <w:vertAlign w:val="baseline"/>
                <w:lang w:val="en-US" w:eastAsia="zh-CN"/>
              </w:rPr>
              <w:fldChar w:fldCharType="end"/>
            </w:r>
          </w:p>
        </w:tc>
        <w:tc>
          <w:tcPr>
            <w:tcW w:w="511" w:type="pct"/>
            <w:tcBorders>
              <w:tl2br w:val="nil"/>
              <w:tr2bl w:val="nil"/>
            </w:tcBorders>
            <w:noWrap w:val="0"/>
            <w:vAlign w:val="center"/>
          </w:tcPr>
          <w:p w14:paraId="74C9B0DB">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9.63</w:t>
            </w:r>
            <w:r>
              <w:rPr>
                <w:rFonts w:hint="default" w:ascii="Times New Roman" w:hAnsi="Times New Roman" w:eastAsia="宋体"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-5</w:t>
            </w:r>
            <w:r>
              <w:rPr>
                <w:rFonts w:hint="eastAsia" w:ascii="Times New Roman" w:hAnsi="Times New Roman" w:eastAsia="宋体" w:cs="Times New Roman"/>
                <w:sz w:val="21"/>
                <w:szCs w:val="21"/>
                <w:vertAlign w:val="baseline"/>
                <w:lang w:val="en-US" w:eastAsia="zh-CN"/>
              </w:rPr>
              <w:t xml:space="preserve"> </w:t>
            </w:r>
          </w:p>
        </w:tc>
        <w:tc>
          <w:tcPr>
            <w:tcW w:w="510" w:type="pct"/>
            <w:tcBorders>
              <w:tl2br w:val="nil"/>
              <w:tr2bl w:val="nil"/>
            </w:tcBorders>
            <w:noWrap w:val="0"/>
            <w:vAlign w:val="center"/>
          </w:tcPr>
          <w:p w14:paraId="56276BBE">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bidi="ar-SA"/>
              </w:rPr>
              <w:t>/</w:t>
            </w:r>
          </w:p>
        </w:tc>
        <w:tc>
          <w:tcPr>
            <w:tcW w:w="515" w:type="pct"/>
            <w:tcBorders>
              <w:tl2br w:val="nil"/>
              <w:tr2bl w:val="nil"/>
            </w:tcBorders>
            <w:noWrap w:val="0"/>
            <w:vAlign w:val="center"/>
          </w:tcPr>
          <w:p w14:paraId="6CE570CA">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bidi="ar-SA"/>
              </w:rPr>
              <w:t>/</w:t>
            </w:r>
          </w:p>
        </w:tc>
      </w:tr>
      <w:tr w14:paraId="65809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79" w:type="pct"/>
            <w:vMerge w:val="continue"/>
            <w:tcBorders>
              <w:tl2br w:val="nil"/>
              <w:tr2bl w:val="nil"/>
            </w:tcBorders>
            <w:noWrap w:val="0"/>
            <w:vAlign w:val="center"/>
          </w:tcPr>
          <w:p w14:paraId="276F520B">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eastAsia" w:ascii="Times New Roman" w:hAnsi="Times New Roman" w:eastAsia="宋体" w:cs="Times New Roman"/>
                <w:sz w:val="21"/>
                <w:szCs w:val="21"/>
                <w:vertAlign w:val="baseline"/>
                <w:lang w:val="en-US" w:eastAsia="zh-CN"/>
              </w:rPr>
            </w:pPr>
          </w:p>
        </w:tc>
        <w:tc>
          <w:tcPr>
            <w:tcW w:w="521" w:type="pct"/>
            <w:vMerge w:val="restart"/>
            <w:tcBorders>
              <w:tl2br w:val="nil"/>
              <w:tr2bl w:val="nil"/>
            </w:tcBorders>
            <w:noWrap w:val="0"/>
            <w:vAlign w:val="center"/>
          </w:tcPr>
          <w:p w14:paraId="04AADB84">
            <w:pPr>
              <w:adjustRightInd/>
              <w:snapToGrid/>
              <w:spacing w:line="240" w:lineRule="auto"/>
              <w:ind w:firstLine="0" w:firstLineChars="0"/>
              <w:jc w:val="center"/>
              <w:rPr>
                <w:rFonts w:hint="eastAsia"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DA007</w:t>
            </w:r>
            <w:r>
              <w:rPr>
                <w:rFonts w:hint="default" w:ascii="Times New Roman" w:hAnsi="Times New Roman" w:eastAsia="宋体" w:cs="Times New Roman"/>
                <w:sz w:val="21"/>
                <w:szCs w:val="21"/>
                <w:highlight w:val="none"/>
                <w:vertAlign w:val="baseline"/>
                <w:lang w:val="en-US" w:eastAsia="zh-CN"/>
              </w:rPr>
              <w:t>污水处理及污泥间</w:t>
            </w:r>
            <w:r>
              <w:rPr>
                <w:rFonts w:hint="eastAsia" w:ascii="Times New Roman" w:hAnsi="Times New Roman" w:eastAsia="宋体" w:cs="Times New Roman"/>
                <w:sz w:val="21"/>
                <w:szCs w:val="21"/>
                <w:highlight w:val="none"/>
                <w:vertAlign w:val="baseline"/>
                <w:lang w:val="en-US" w:eastAsia="zh-CN"/>
              </w:rPr>
              <w:t>废气处理设施</w:t>
            </w:r>
            <w:r>
              <w:rPr>
                <w:rFonts w:hint="default" w:ascii="Times New Roman" w:hAnsi="Times New Roman" w:eastAsia="宋体" w:cs="Times New Roman"/>
                <w:sz w:val="21"/>
                <w:szCs w:val="21"/>
                <w:highlight w:val="none"/>
                <w:vertAlign w:val="baseline"/>
                <w:lang w:val="en-US" w:eastAsia="zh-CN"/>
              </w:rPr>
              <w:t>出口</w:t>
            </w:r>
          </w:p>
        </w:tc>
        <w:tc>
          <w:tcPr>
            <w:tcW w:w="440" w:type="pct"/>
            <w:tcBorders>
              <w:tl2br w:val="nil"/>
              <w:tr2bl w:val="nil"/>
            </w:tcBorders>
            <w:noWrap w:val="0"/>
            <w:vAlign w:val="center"/>
          </w:tcPr>
          <w:p w14:paraId="138B4CA5">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w:t>
            </w:r>
          </w:p>
        </w:tc>
        <w:tc>
          <w:tcPr>
            <w:tcW w:w="484" w:type="pct"/>
            <w:tcBorders>
              <w:tl2br w:val="nil"/>
              <w:tr2bl w:val="nil"/>
            </w:tcBorders>
            <w:noWrap w:val="0"/>
            <w:vAlign w:val="center"/>
          </w:tcPr>
          <w:p w14:paraId="5DB24FA4">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1.80</w:t>
            </w:r>
            <w:r>
              <w:rPr>
                <w:rFonts w:hint="default" w:ascii="Times New Roman" w:hAnsi="Times New Roman" w:eastAsia="宋体" w:cs="Times New Roman"/>
                <w:i w:val="0"/>
                <w:iCs w:val="0"/>
                <w:color w:val="auto"/>
                <w:kern w:val="0"/>
                <w:sz w:val="21"/>
                <w:szCs w:val="21"/>
                <w:u w:val="none"/>
                <w:lang w:val="en-US" w:eastAsia="zh-CN" w:bidi="ar"/>
              </w:rPr>
              <w:t>×10</w:t>
            </w:r>
            <w:r>
              <w:rPr>
                <w:rFonts w:hint="default" w:ascii="Times New Roman" w:hAnsi="Times New Roman" w:eastAsia="宋体" w:cs="Times New Roman"/>
                <w:i w:val="0"/>
                <w:iCs w:val="0"/>
                <w:color w:val="auto"/>
                <w:kern w:val="0"/>
                <w:sz w:val="21"/>
                <w:szCs w:val="21"/>
                <w:u w:val="none"/>
                <w:vertAlign w:val="superscript"/>
                <w:lang w:val="en-US" w:eastAsia="zh-CN" w:bidi="ar"/>
              </w:rPr>
              <w:t>3</w:t>
            </w:r>
            <w:r>
              <w:rPr>
                <w:rFonts w:hint="eastAsia" w:ascii="Times New Roman" w:hAnsi="Times New Roman" w:eastAsia="宋体" w:cs="Times New Roman"/>
                <w:sz w:val="21"/>
                <w:szCs w:val="21"/>
                <w:vertAlign w:val="baseline"/>
                <w:lang w:val="en-US" w:eastAsia="zh-CN"/>
              </w:rPr>
              <w:t xml:space="preserve"> </w:t>
            </w:r>
          </w:p>
        </w:tc>
        <w:tc>
          <w:tcPr>
            <w:tcW w:w="510" w:type="pct"/>
            <w:tcBorders>
              <w:tl2br w:val="nil"/>
              <w:tr2bl w:val="nil"/>
            </w:tcBorders>
            <w:noWrap w:val="0"/>
            <w:vAlign w:val="center"/>
          </w:tcPr>
          <w:p w14:paraId="7090A238">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highlight w:val="none"/>
                <w:vertAlign w:val="baseline"/>
                <w:lang w:val="en-US" w:eastAsia="zh-CN"/>
              </w:rPr>
              <w:t>&lt;</w:t>
            </w:r>
            <w:r>
              <w:rPr>
                <w:rFonts w:hint="default" w:ascii="Times New Roman" w:hAnsi="Times New Roman" w:eastAsia="宋体" w:cs="Times New Roman"/>
                <w:color w:val="000000"/>
                <w:sz w:val="21"/>
                <w:szCs w:val="21"/>
                <w:lang w:val="en-US" w:eastAsia="zh-CN"/>
              </w:rPr>
              <w:t>0.25</w:t>
            </w:r>
          </w:p>
        </w:tc>
        <w:tc>
          <w:tcPr>
            <w:tcW w:w="511" w:type="pct"/>
            <w:tcBorders>
              <w:tl2br w:val="nil"/>
              <w:tr2bl w:val="nil"/>
            </w:tcBorders>
            <w:noWrap w:val="0"/>
            <w:vAlign w:val="center"/>
          </w:tcPr>
          <w:p w14:paraId="01A88242">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cs="Times New Roman"/>
                <w:strike w:val="0"/>
                <w:dstrike w:val="0"/>
                <w:sz w:val="21"/>
                <w:szCs w:val="21"/>
                <w:highlight w:val="none"/>
                <w:vertAlign w:val="baseline"/>
                <w:lang w:val="en-US" w:eastAsia="zh-CN"/>
              </w:rPr>
              <w:t>/</w:t>
            </w:r>
          </w:p>
        </w:tc>
        <w:tc>
          <w:tcPr>
            <w:tcW w:w="510" w:type="pct"/>
            <w:tcBorders>
              <w:tl2br w:val="nil"/>
              <w:tr2bl w:val="nil"/>
            </w:tcBorders>
            <w:noWrap w:val="0"/>
            <w:vAlign w:val="center"/>
          </w:tcPr>
          <w:p w14:paraId="59AE28E8">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highlight w:val="none"/>
                <w:vertAlign w:val="baseline"/>
                <w:lang w:val="en-US" w:eastAsia="zh-CN"/>
              </w:rPr>
              <w:t>&lt;</w:t>
            </w:r>
            <w:r>
              <w:rPr>
                <w:rFonts w:hint="eastAsia" w:ascii="Times New Roman" w:hAnsi="Times New Roman" w:eastAsia="宋体" w:cs="Times New Roman"/>
                <w:sz w:val="21"/>
                <w:szCs w:val="21"/>
                <w:vertAlign w:val="baseline"/>
                <w:lang w:val="en-US" w:eastAsia="zh-CN"/>
              </w:rPr>
              <w:t>0.007</w:t>
            </w:r>
          </w:p>
        </w:tc>
        <w:tc>
          <w:tcPr>
            <w:tcW w:w="511" w:type="pct"/>
            <w:tcBorders>
              <w:tl2br w:val="nil"/>
              <w:tr2bl w:val="nil"/>
            </w:tcBorders>
            <w:noWrap w:val="0"/>
            <w:vAlign w:val="center"/>
          </w:tcPr>
          <w:p w14:paraId="4CF8C13E">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cs="Times New Roman"/>
                <w:strike w:val="0"/>
                <w:dstrike w:val="0"/>
                <w:sz w:val="21"/>
                <w:szCs w:val="21"/>
                <w:highlight w:val="none"/>
                <w:vertAlign w:val="baseline"/>
                <w:lang w:val="en-US" w:eastAsia="zh-CN"/>
              </w:rPr>
              <w:t>/</w:t>
            </w:r>
          </w:p>
        </w:tc>
        <w:tc>
          <w:tcPr>
            <w:tcW w:w="510" w:type="pct"/>
            <w:tcBorders>
              <w:tl2br w:val="nil"/>
              <w:tr2bl w:val="nil"/>
            </w:tcBorders>
            <w:noWrap w:val="0"/>
            <w:vAlign w:val="center"/>
          </w:tcPr>
          <w:p w14:paraId="3E764C63">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bidi="ar-SA"/>
              </w:rPr>
              <w:t>1122</w:t>
            </w:r>
          </w:p>
        </w:tc>
        <w:tc>
          <w:tcPr>
            <w:tcW w:w="515" w:type="pct"/>
            <w:vMerge w:val="restart"/>
            <w:tcBorders>
              <w:tl2br w:val="nil"/>
              <w:tr2bl w:val="nil"/>
            </w:tcBorders>
            <w:noWrap w:val="0"/>
            <w:vAlign w:val="center"/>
          </w:tcPr>
          <w:p w14:paraId="4AABFCFB">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bidi="ar-SA"/>
              </w:rPr>
              <w:t>1122</w:t>
            </w:r>
          </w:p>
        </w:tc>
      </w:tr>
      <w:tr w14:paraId="1F84A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79" w:type="pct"/>
            <w:vMerge w:val="continue"/>
            <w:tcBorders>
              <w:tl2br w:val="nil"/>
              <w:tr2bl w:val="nil"/>
            </w:tcBorders>
            <w:noWrap w:val="0"/>
            <w:vAlign w:val="center"/>
          </w:tcPr>
          <w:p w14:paraId="1EF820B2">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521" w:type="pct"/>
            <w:vMerge w:val="continue"/>
            <w:tcBorders>
              <w:tl2br w:val="nil"/>
              <w:tr2bl w:val="nil"/>
            </w:tcBorders>
            <w:noWrap w:val="0"/>
            <w:vAlign w:val="center"/>
          </w:tcPr>
          <w:p w14:paraId="4D1DA76B">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440" w:type="pct"/>
            <w:tcBorders>
              <w:tl2br w:val="nil"/>
              <w:tr2bl w:val="nil"/>
            </w:tcBorders>
            <w:noWrap w:val="0"/>
            <w:vAlign w:val="center"/>
          </w:tcPr>
          <w:p w14:paraId="0727B720">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w:t>
            </w:r>
          </w:p>
        </w:tc>
        <w:tc>
          <w:tcPr>
            <w:tcW w:w="484" w:type="pct"/>
            <w:tcBorders>
              <w:tl2br w:val="nil"/>
              <w:tr2bl w:val="nil"/>
            </w:tcBorders>
            <w:noWrap w:val="0"/>
            <w:vAlign w:val="center"/>
          </w:tcPr>
          <w:p w14:paraId="5E70DD66">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1.79</w:t>
            </w:r>
            <w:r>
              <w:rPr>
                <w:rFonts w:hint="default" w:ascii="Times New Roman" w:hAnsi="Times New Roman" w:eastAsia="宋体" w:cs="Times New Roman"/>
                <w:i w:val="0"/>
                <w:iCs w:val="0"/>
                <w:color w:val="auto"/>
                <w:kern w:val="0"/>
                <w:sz w:val="21"/>
                <w:szCs w:val="21"/>
                <w:u w:val="none"/>
                <w:lang w:val="en-US" w:eastAsia="zh-CN" w:bidi="ar"/>
              </w:rPr>
              <w:t>×10</w:t>
            </w:r>
            <w:r>
              <w:rPr>
                <w:rFonts w:hint="default" w:ascii="Times New Roman" w:hAnsi="Times New Roman" w:eastAsia="宋体" w:cs="Times New Roman"/>
                <w:i w:val="0"/>
                <w:iCs w:val="0"/>
                <w:color w:val="auto"/>
                <w:kern w:val="0"/>
                <w:sz w:val="21"/>
                <w:szCs w:val="21"/>
                <w:u w:val="none"/>
                <w:vertAlign w:val="superscript"/>
                <w:lang w:val="en-US" w:eastAsia="zh-CN" w:bidi="ar"/>
              </w:rPr>
              <w:t>3</w:t>
            </w:r>
          </w:p>
        </w:tc>
        <w:tc>
          <w:tcPr>
            <w:tcW w:w="510" w:type="pct"/>
            <w:tcBorders>
              <w:tl2br w:val="nil"/>
              <w:tr2bl w:val="nil"/>
            </w:tcBorders>
            <w:noWrap w:val="0"/>
            <w:vAlign w:val="center"/>
          </w:tcPr>
          <w:p w14:paraId="7D6864FE">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highlight w:val="none"/>
                <w:vertAlign w:val="baseline"/>
                <w:lang w:val="en-US" w:eastAsia="zh-CN"/>
              </w:rPr>
              <w:t>&lt;</w:t>
            </w:r>
            <w:r>
              <w:rPr>
                <w:rFonts w:hint="default" w:ascii="Times New Roman" w:hAnsi="Times New Roman" w:eastAsia="宋体" w:cs="Times New Roman"/>
                <w:color w:val="000000"/>
                <w:sz w:val="21"/>
                <w:szCs w:val="21"/>
                <w:lang w:val="en-US" w:eastAsia="zh-CN"/>
              </w:rPr>
              <w:t>0.25</w:t>
            </w:r>
          </w:p>
        </w:tc>
        <w:tc>
          <w:tcPr>
            <w:tcW w:w="511" w:type="pct"/>
            <w:tcBorders>
              <w:tl2br w:val="nil"/>
              <w:tr2bl w:val="nil"/>
            </w:tcBorders>
            <w:noWrap w:val="0"/>
            <w:vAlign w:val="center"/>
          </w:tcPr>
          <w:p w14:paraId="6CE41A91">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cs="Times New Roman"/>
                <w:strike w:val="0"/>
                <w:dstrike w:val="0"/>
                <w:sz w:val="21"/>
                <w:szCs w:val="21"/>
                <w:highlight w:val="none"/>
                <w:vertAlign w:val="baseline"/>
                <w:lang w:val="en-US" w:eastAsia="zh-CN"/>
              </w:rPr>
              <w:t>/</w:t>
            </w:r>
          </w:p>
        </w:tc>
        <w:tc>
          <w:tcPr>
            <w:tcW w:w="510" w:type="pct"/>
            <w:tcBorders>
              <w:tl2br w:val="nil"/>
              <w:tr2bl w:val="nil"/>
            </w:tcBorders>
            <w:noWrap w:val="0"/>
            <w:vAlign w:val="center"/>
          </w:tcPr>
          <w:p w14:paraId="2021E9B7">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highlight w:val="none"/>
                <w:vertAlign w:val="baseline"/>
                <w:lang w:val="en-US" w:eastAsia="zh-CN"/>
              </w:rPr>
              <w:t>&lt;</w:t>
            </w:r>
            <w:r>
              <w:rPr>
                <w:rFonts w:hint="eastAsia" w:ascii="Times New Roman" w:hAnsi="Times New Roman" w:eastAsia="宋体" w:cs="Times New Roman"/>
                <w:sz w:val="21"/>
                <w:szCs w:val="21"/>
                <w:vertAlign w:val="baseline"/>
                <w:lang w:val="en-US" w:eastAsia="zh-CN"/>
              </w:rPr>
              <w:t>0.007</w:t>
            </w:r>
          </w:p>
        </w:tc>
        <w:tc>
          <w:tcPr>
            <w:tcW w:w="511" w:type="pct"/>
            <w:tcBorders>
              <w:tl2br w:val="nil"/>
              <w:tr2bl w:val="nil"/>
            </w:tcBorders>
            <w:noWrap w:val="0"/>
            <w:vAlign w:val="center"/>
          </w:tcPr>
          <w:p w14:paraId="3E39C960">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cs="Times New Roman"/>
                <w:strike w:val="0"/>
                <w:dstrike w:val="0"/>
                <w:sz w:val="21"/>
                <w:szCs w:val="21"/>
                <w:highlight w:val="none"/>
                <w:vertAlign w:val="baseline"/>
                <w:lang w:val="en-US" w:eastAsia="zh-CN"/>
              </w:rPr>
              <w:t>/</w:t>
            </w:r>
          </w:p>
        </w:tc>
        <w:tc>
          <w:tcPr>
            <w:tcW w:w="510" w:type="pct"/>
            <w:tcBorders>
              <w:tl2br w:val="nil"/>
              <w:tr2bl w:val="nil"/>
            </w:tcBorders>
            <w:noWrap w:val="0"/>
            <w:vAlign w:val="center"/>
          </w:tcPr>
          <w:p w14:paraId="52B0EE59">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bidi="ar-SA"/>
              </w:rPr>
              <w:t>851</w:t>
            </w:r>
          </w:p>
        </w:tc>
        <w:tc>
          <w:tcPr>
            <w:tcW w:w="515" w:type="pct"/>
            <w:vMerge w:val="continue"/>
            <w:tcBorders>
              <w:tl2br w:val="nil"/>
              <w:tr2bl w:val="nil"/>
            </w:tcBorders>
            <w:noWrap w:val="0"/>
            <w:vAlign w:val="center"/>
          </w:tcPr>
          <w:p w14:paraId="35377989">
            <w:pPr>
              <w:keepNext w:val="0"/>
              <w:keepLines w:val="0"/>
              <w:widowControl/>
              <w:suppressLineNumbers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vertAlign w:val="baseline"/>
                <w:lang w:val="en-US" w:eastAsia="zh-CN" w:bidi="ar-SA"/>
              </w:rPr>
            </w:pPr>
          </w:p>
        </w:tc>
      </w:tr>
      <w:tr w14:paraId="3121E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479" w:type="pct"/>
            <w:vMerge w:val="continue"/>
            <w:tcBorders>
              <w:tl2br w:val="nil"/>
              <w:tr2bl w:val="nil"/>
            </w:tcBorders>
            <w:noWrap w:val="0"/>
            <w:vAlign w:val="center"/>
          </w:tcPr>
          <w:p w14:paraId="356A1DB3">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521" w:type="pct"/>
            <w:vMerge w:val="continue"/>
            <w:tcBorders>
              <w:tl2br w:val="nil"/>
              <w:tr2bl w:val="nil"/>
            </w:tcBorders>
            <w:noWrap w:val="0"/>
            <w:vAlign w:val="center"/>
          </w:tcPr>
          <w:p w14:paraId="0FD07C46">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440" w:type="pct"/>
            <w:tcBorders>
              <w:tl2br w:val="nil"/>
              <w:tr2bl w:val="nil"/>
            </w:tcBorders>
            <w:noWrap w:val="0"/>
            <w:vAlign w:val="center"/>
          </w:tcPr>
          <w:p w14:paraId="1F785319">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3</w:t>
            </w:r>
          </w:p>
        </w:tc>
        <w:tc>
          <w:tcPr>
            <w:tcW w:w="484" w:type="pct"/>
            <w:tcBorders>
              <w:tl2br w:val="nil"/>
              <w:tr2bl w:val="nil"/>
            </w:tcBorders>
            <w:noWrap w:val="0"/>
            <w:vAlign w:val="center"/>
          </w:tcPr>
          <w:p w14:paraId="74D9DF71">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1.78</w:t>
            </w:r>
            <w:r>
              <w:rPr>
                <w:rFonts w:hint="default" w:ascii="Times New Roman" w:hAnsi="Times New Roman" w:eastAsia="宋体" w:cs="Times New Roman"/>
                <w:i w:val="0"/>
                <w:iCs w:val="0"/>
                <w:color w:val="auto"/>
                <w:kern w:val="0"/>
                <w:sz w:val="21"/>
                <w:szCs w:val="21"/>
                <w:u w:val="none"/>
                <w:lang w:val="en-US" w:eastAsia="zh-CN" w:bidi="ar"/>
              </w:rPr>
              <w:t>×10</w:t>
            </w:r>
            <w:r>
              <w:rPr>
                <w:rFonts w:hint="default" w:ascii="Times New Roman" w:hAnsi="Times New Roman" w:eastAsia="宋体" w:cs="Times New Roman"/>
                <w:i w:val="0"/>
                <w:iCs w:val="0"/>
                <w:color w:val="auto"/>
                <w:kern w:val="0"/>
                <w:sz w:val="21"/>
                <w:szCs w:val="21"/>
                <w:u w:val="none"/>
                <w:vertAlign w:val="superscript"/>
                <w:lang w:val="en-US" w:eastAsia="zh-CN" w:bidi="ar"/>
              </w:rPr>
              <w:t>3</w:t>
            </w:r>
          </w:p>
        </w:tc>
        <w:tc>
          <w:tcPr>
            <w:tcW w:w="510" w:type="pct"/>
            <w:tcBorders>
              <w:tl2br w:val="nil"/>
              <w:tr2bl w:val="nil"/>
            </w:tcBorders>
            <w:noWrap w:val="0"/>
            <w:vAlign w:val="center"/>
          </w:tcPr>
          <w:p w14:paraId="159B37F2">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highlight w:val="none"/>
                <w:vertAlign w:val="baseline"/>
                <w:lang w:val="en-US" w:eastAsia="zh-CN"/>
              </w:rPr>
              <w:t>&lt;</w:t>
            </w:r>
            <w:r>
              <w:rPr>
                <w:rFonts w:hint="default" w:ascii="Times New Roman" w:hAnsi="Times New Roman" w:eastAsia="宋体" w:cs="Times New Roman"/>
                <w:color w:val="000000"/>
                <w:sz w:val="21"/>
                <w:szCs w:val="21"/>
                <w:lang w:val="en-US" w:eastAsia="zh-CN"/>
              </w:rPr>
              <w:t>0.25</w:t>
            </w:r>
          </w:p>
        </w:tc>
        <w:tc>
          <w:tcPr>
            <w:tcW w:w="511" w:type="pct"/>
            <w:tcBorders>
              <w:tl2br w:val="nil"/>
              <w:tr2bl w:val="nil"/>
            </w:tcBorders>
            <w:noWrap w:val="0"/>
            <w:vAlign w:val="center"/>
          </w:tcPr>
          <w:p w14:paraId="0CE14410">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cs="Times New Roman"/>
                <w:strike w:val="0"/>
                <w:dstrike w:val="0"/>
                <w:sz w:val="21"/>
                <w:szCs w:val="21"/>
                <w:highlight w:val="none"/>
                <w:vertAlign w:val="baseline"/>
                <w:lang w:val="en-US" w:eastAsia="zh-CN"/>
              </w:rPr>
              <w:t>/</w:t>
            </w:r>
          </w:p>
        </w:tc>
        <w:tc>
          <w:tcPr>
            <w:tcW w:w="510" w:type="pct"/>
            <w:tcBorders>
              <w:tl2br w:val="nil"/>
              <w:tr2bl w:val="nil"/>
            </w:tcBorders>
            <w:noWrap w:val="0"/>
            <w:vAlign w:val="center"/>
          </w:tcPr>
          <w:p w14:paraId="49614E89">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highlight w:val="none"/>
                <w:vertAlign w:val="baseline"/>
                <w:lang w:val="en-US" w:eastAsia="zh-CN"/>
              </w:rPr>
              <w:t>&lt;</w:t>
            </w:r>
            <w:r>
              <w:rPr>
                <w:rFonts w:hint="eastAsia" w:ascii="Times New Roman" w:hAnsi="Times New Roman" w:eastAsia="宋体" w:cs="Times New Roman"/>
                <w:sz w:val="21"/>
                <w:szCs w:val="21"/>
                <w:vertAlign w:val="baseline"/>
                <w:lang w:val="en-US" w:eastAsia="zh-CN"/>
              </w:rPr>
              <w:t>0.007</w:t>
            </w:r>
          </w:p>
        </w:tc>
        <w:tc>
          <w:tcPr>
            <w:tcW w:w="511" w:type="pct"/>
            <w:tcBorders>
              <w:tl2br w:val="nil"/>
              <w:tr2bl w:val="nil"/>
            </w:tcBorders>
            <w:noWrap w:val="0"/>
            <w:vAlign w:val="center"/>
          </w:tcPr>
          <w:p w14:paraId="355102C6">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cs="Times New Roman"/>
                <w:strike w:val="0"/>
                <w:dstrike w:val="0"/>
                <w:sz w:val="21"/>
                <w:szCs w:val="21"/>
                <w:highlight w:val="none"/>
                <w:vertAlign w:val="baseline"/>
                <w:lang w:val="en-US" w:eastAsia="zh-CN"/>
              </w:rPr>
              <w:t>/</w:t>
            </w:r>
          </w:p>
        </w:tc>
        <w:tc>
          <w:tcPr>
            <w:tcW w:w="510" w:type="pct"/>
            <w:tcBorders>
              <w:tl2br w:val="nil"/>
              <w:tr2bl w:val="nil"/>
            </w:tcBorders>
            <w:noWrap w:val="0"/>
            <w:vAlign w:val="center"/>
          </w:tcPr>
          <w:p w14:paraId="66701236">
            <w:pPr>
              <w:keepNext w:val="0"/>
              <w:keepLines w:val="0"/>
              <w:widowControl/>
              <w:suppressLineNumbers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bidi="ar-SA"/>
              </w:rPr>
              <w:t>1122</w:t>
            </w:r>
          </w:p>
        </w:tc>
        <w:tc>
          <w:tcPr>
            <w:tcW w:w="515" w:type="pct"/>
            <w:vMerge w:val="continue"/>
            <w:tcBorders>
              <w:tl2br w:val="nil"/>
              <w:tr2bl w:val="nil"/>
            </w:tcBorders>
            <w:noWrap w:val="0"/>
            <w:vAlign w:val="center"/>
          </w:tcPr>
          <w:p w14:paraId="45D8652B">
            <w:pPr>
              <w:keepNext w:val="0"/>
              <w:keepLines w:val="0"/>
              <w:widowControl/>
              <w:suppressLineNumbers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vertAlign w:val="baseline"/>
                <w:lang w:val="en-US" w:eastAsia="zh-CN" w:bidi="ar-SA"/>
              </w:rPr>
            </w:pPr>
          </w:p>
        </w:tc>
      </w:tr>
      <w:tr w14:paraId="732EE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79" w:type="pct"/>
            <w:vMerge w:val="continue"/>
            <w:tcBorders>
              <w:tl2br w:val="nil"/>
              <w:tr2bl w:val="nil"/>
            </w:tcBorders>
            <w:noWrap w:val="0"/>
            <w:vAlign w:val="center"/>
          </w:tcPr>
          <w:p w14:paraId="7583D1F4">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521" w:type="pct"/>
            <w:vMerge w:val="continue"/>
            <w:tcBorders>
              <w:tl2br w:val="nil"/>
              <w:tr2bl w:val="nil"/>
            </w:tcBorders>
            <w:noWrap w:val="0"/>
            <w:vAlign w:val="center"/>
          </w:tcPr>
          <w:p w14:paraId="191A2CAE">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p>
        </w:tc>
        <w:tc>
          <w:tcPr>
            <w:tcW w:w="440" w:type="pct"/>
            <w:tcBorders>
              <w:tl2br w:val="nil"/>
              <w:tr2bl w:val="nil"/>
            </w:tcBorders>
            <w:noWrap w:val="0"/>
            <w:vAlign w:val="center"/>
          </w:tcPr>
          <w:p w14:paraId="26DEE064">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均值</w:t>
            </w:r>
          </w:p>
        </w:tc>
        <w:tc>
          <w:tcPr>
            <w:tcW w:w="484" w:type="pct"/>
            <w:tcBorders>
              <w:tl2br w:val="nil"/>
              <w:tr2bl w:val="nil"/>
            </w:tcBorders>
            <w:noWrap w:val="0"/>
            <w:vAlign w:val="center"/>
          </w:tcPr>
          <w:p w14:paraId="1C01E8DD">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fldChar w:fldCharType="begin"/>
            </w:r>
            <w:r>
              <w:rPr>
                <w:rFonts w:hint="default" w:ascii="Times New Roman" w:hAnsi="Times New Roman" w:eastAsia="宋体" w:cs="Times New Roman"/>
                <w:sz w:val="21"/>
                <w:szCs w:val="21"/>
                <w:vertAlign w:val="baseline"/>
                <w:lang w:val="en-US" w:eastAsia="zh-CN"/>
              </w:rPr>
              <w:instrText xml:space="preserve"> = average(D15:D17) \* MERGEFORMAT </w:instrText>
            </w:r>
            <w:r>
              <w:rPr>
                <w:rFonts w:hint="default" w:ascii="Times New Roman" w:hAnsi="Times New Roman" w:eastAsia="宋体" w:cs="Times New Roman"/>
                <w:sz w:val="21"/>
                <w:szCs w:val="21"/>
                <w:vertAlign w:val="baseline"/>
                <w:lang w:val="en-US" w:eastAsia="zh-CN"/>
              </w:rPr>
              <w:fldChar w:fldCharType="separate"/>
            </w:r>
            <w:r>
              <w:rPr>
                <w:rFonts w:hint="default" w:ascii="Times New Roman" w:hAnsi="Times New Roman" w:eastAsia="宋体" w:cs="Times New Roman"/>
                <w:sz w:val="21"/>
                <w:szCs w:val="21"/>
                <w:vertAlign w:val="baseline"/>
                <w:lang w:val="en-US" w:eastAsia="zh-CN"/>
              </w:rPr>
              <w:t>1.79</w:t>
            </w:r>
            <w:r>
              <w:rPr>
                <w:rFonts w:hint="default" w:ascii="Times New Roman" w:hAnsi="Times New Roman" w:eastAsia="宋体" w:cs="Times New Roman"/>
                <w:sz w:val="21"/>
                <w:szCs w:val="21"/>
                <w:vertAlign w:val="baseline"/>
                <w:lang w:val="en-US" w:eastAsia="zh-CN"/>
              </w:rPr>
              <w:fldChar w:fldCharType="end"/>
            </w:r>
            <w:r>
              <w:rPr>
                <w:rFonts w:hint="default" w:ascii="Times New Roman" w:hAnsi="Times New Roman" w:eastAsia="宋体" w:cs="Times New Roman"/>
                <w:i w:val="0"/>
                <w:iCs w:val="0"/>
                <w:color w:val="auto"/>
                <w:kern w:val="0"/>
                <w:sz w:val="21"/>
                <w:szCs w:val="21"/>
                <w:u w:val="none"/>
                <w:lang w:val="en-US" w:eastAsia="zh-CN" w:bidi="ar"/>
              </w:rPr>
              <w:t>×10</w:t>
            </w:r>
            <w:r>
              <w:rPr>
                <w:rFonts w:hint="default" w:ascii="Times New Roman" w:hAnsi="Times New Roman" w:eastAsia="宋体" w:cs="Times New Roman"/>
                <w:i w:val="0"/>
                <w:iCs w:val="0"/>
                <w:color w:val="auto"/>
                <w:kern w:val="0"/>
                <w:sz w:val="21"/>
                <w:szCs w:val="21"/>
                <w:u w:val="none"/>
                <w:vertAlign w:val="superscript"/>
                <w:lang w:val="en-US" w:eastAsia="zh-CN" w:bidi="ar"/>
              </w:rPr>
              <w:t>3</w:t>
            </w:r>
          </w:p>
        </w:tc>
        <w:tc>
          <w:tcPr>
            <w:tcW w:w="510" w:type="pct"/>
            <w:tcBorders>
              <w:tl2br w:val="nil"/>
              <w:tr2bl w:val="nil"/>
            </w:tcBorders>
            <w:noWrap w:val="0"/>
            <w:vAlign w:val="center"/>
          </w:tcPr>
          <w:p w14:paraId="576C8233">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highlight w:val="none"/>
                <w:vertAlign w:val="baseline"/>
                <w:lang w:val="en-US" w:eastAsia="zh-CN"/>
              </w:rPr>
              <w:t>&lt;</w:t>
            </w:r>
            <w:r>
              <w:rPr>
                <w:rFonts w:hint="default" w:ascii="Times New Roman" w:hAnsi="Times New Roman" w:eastAsia="宋体" w:cs="Times New Roman"/>
                <w:color w:val="000000"/>
                <w:sz w:val="21"/>
                <w:szCs w:val="21"/>
                <w:lang w:val="en-US" w:eastAsia="zh-CN"/>
              </w:rPr>
              <w:t>0.25</w:t>
            </w:r>
          </w:p>
        </w:tc>
        <w:tc>
          <w:tcPr>
            <w:tcW w:w="511" w:type="pct"/>
            <w:tcBorders>
              <w:tl2br w:val="nil"/>
              <w:tr2bl w:val="nil"/>
            </w:tcBorders>
            <w:noWrap w:val="0"/>
            <w:vAlign w:val="center"/>
          </w:tcPr>
          <w:p w14:paraId="523900F8">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cs="Times New Roman"/>
                <w:strike w:val="0"/>
                <w:dstrike w:val="0"/>
                <w:sz w:val="21"/>
                <w:szCs w:val="21"/>
                <w:highlight w:val="none"/>
                <w:vertAlign w:val="baseline"/>
                <w:lang w:val="en-US" w:eastAsia="zh-CN"/>
              </w:rPr>
              <w:t>/</w:t>
            </w:r>
          </w:p>
        </w:tc>
        <w:tc>
          <w:tcPr>
            <w:tcW w:w="510" w:type="pct"/>
            <w:tcBorders>
              <w:tl2br w:val="nil"/>
              <w:tr2bl w:val="nil"/>
            </w:tcBorders>
            <w:noWrap w:val="0"/>
            <w:vAlign w:val="center"/>
          </w:tcPr>
          <w:p w14:paraId="12CFDBB3">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highlight w:val="none"/>
                <w:vertAlign w:val="baseline"/>
                <w:lang w:val="en-US" w:eastAsia="zh-CN"/>
              </w:rPr>
              <w:t>&lt;</w:t>
            </w:r>
            <w:r>
              <w:rPr>
                <w:rFonts w:hint="eastAsia" w:ascii="Times New Roman" w:hAnsi="Times New Roman" w:eastAsia="宋体" w:cs="Times New Roman"/>
                <w:sz w:val="21"/>
                <w:szCs w:val="21"/>
                <w:vertAlign w:val="baseline"/>
                <w:lang w:val="en-US" w:eastAsia="zh-CN"/>
              </w:rPr>
              <w:t>0.007</w:t>
            </w:r>
          </w:p>
        </w:tc>
        <w:tc>
          <w:tcPr>
            <w:tcW w:w="511" w:type="pct"/>
            <w:tcBorders>
              <w:tl2br w:val="nil"/>
              <w:tr2bl w:val="nil"/>
            </w:tcBorders>
            <w:noWrap w:val="0"/>
            <w:vAlign w:val="center"/>
          </w:tcPr>
          <w:p w14:paraId="30F1CC24">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cs="Times New Roman"/>
                <w:strike w:val="0"/>
                <w:dstrike w:val="0"/>
                <w:sz w:val="21"/>
                <w:szCs w:val="21"/>
                <w:highlight w:val="none"/>
                <w:vertAlign w:val="baseline"/>
                <w:lang w:val="en-US" w:eastAsia="zh-CN"/>
              </w:rPr>
              <w:t>/</w:t>
            </w:r>
          </w:p>
        </w:tc>
        <w:tc>
          <w:tcPr>
            <w:tcW w:w="510" w:type="pct"/>
            <w:tcBorders>
              <w:tl2br w:val="nil"/>
              <w:tr2bl w:val="nil"/>
            </w:tcBorders>
            <w:noWrap w:val="0"/>
            <w:vAlign w:val="center"/>
          </w:tcPr>
          <w:p w14:paraId="433AD32D">
            <w:pPr>
              <w:keepNext w:val="0"/>
              <w:keepLines w:val="0"/>
              <w:widowControl/>
              <w:suppressLineNumbers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bidi="ar-SA"/>
              </w:rPr>
              <w:t>/</w:t>
            </w:r>
          </w:p>
        </w:tc>
        <w:tc>
          <w:tcPr>
            <w:tcW w:w="515" w:type="pct"/>
            <w:tcBorders>
              <w:tl2br w:val="nil"/>
              <w:tr2bl w:val="nil"/>
            </w:tcBorders>
            <w:noWrap w:val="0"/>
            <w:vAlign w:val="center"/>
          </w:tcPr>
          <w:p w14:paraId="6B21BF9B">
            <w:pPr>
              <w:keepNext w:val="0"/>
              <w:keepLines w:val="0"/>
              <w:widowControl/>
              <w:suppressLineNumbers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bidi="ar-SA"/>
              </w:rPr>
              <w:t>/</w:t>
            </w:r>
          </w:p>
        </w:tc>
      </w:tr>
    </w:tbl>
    <w:p w14:paraId="4EA24992">
      <w:pPr>
        <w:widowControl w:val="0"/>
        <w:ind w:firstLine="480"/>
        <w:contextualSpacing/>
        <w:jc w:val="both"/>
        <w:rPr>
          <w:rFonts w:hint="eastAsia" w:cs="Times New Roman"/>
          <w:color w:val="FF0000"/>
        </w:rPr>
        <w:sectPr>
          <w:pgSz w:w="16838" w:h="11906" w:orient="landscape"/>
          <w:pgMar w:top="1417" w:right="1417" w:bottom="1417" w:left="1417" w:header="851" w:footer="992" w:gutter="0"/>
          <w:cols w:space="425" w:num="1"/>
          <w:docGrid w:type="lines" w:linePitch="326" w:charSpace="0"/>
        </w:sectPr>
      </w:pPr>
      <w:bookmarkStart w:id="52" w:name="_Hlk99440796"/>
      <w:bookmarkStart w:id="66" w:name="_GoBack"/>
      <w:bookmarkEnd w:id="66"/>
      <w:r>
        <w:rPr>
          <w:rFonts w:hint="eastAsia"/>
        </w:rPr>
        <w:t>由上表可知，本项目排气筒中各污染物排放浓度均能够满足</w:t>
      </w:r>
      <w:bookmarkStart w:id="53" w:name="OLE_LINK415"/>
      <w:r>
        <w:rPr>
          <w:rFonts w:hint="eastAsia"/>
        </w:rPr>
        <w:t>《电镀污染物排放标准》（</w:t>
      </w:r>
      <w:r>
        <w:t>GB21900-2008</w:t>
      </w:r>
      <w:r>
        <w:rPr>
          <w:rFonts w:hint="eastAsia"/>
        </w:rPr>
        <w:t>）表</w:t>
      </w:r>
      <w:r>
        <w:t>5</w:t>
      </w:r>
      <w:r>
        <w:rPr>
          <w:rFonts w:hint="eastAsia"/>
        </w:rPr>
        <w:t>新建企业大气污染物氯化氢</w:t>
      </w:r>
      <w:r>
        <w:t xml:space="preserve"> 30mg/m</w:t>
      </w:r>
      <w:r>
        <w:rPr>
          <w:vertAlign w:val="superscript"/>
        </w:rPr>
        <w:t>3</w:t>
      </w:r>
      <w:r>
        <w:rPr>
          <w:rFonts w:hint="eastAsia"/>
        </w:rPr>
        <w:t>、硫酸雾</w:t>
      </w:r>
      <w:r>
        <w:t>30mg/m</w:t>
      </w:r>
      <w:r>
        <w:rPr>
          <w:vertAlign w:val="superscript"/>
        </w:rPr>
        <w:t>3</w:t>
      </w:r>
      <w:r>
        <w:rPr>
          <w:rFonts w:hint="eastAsia"/>
        </w:rPr>
        <w:t>的排放限值要求，</w:t>
      </w:r>
      <w:bookmarkStart w:id="54" w:name="OLE_LINK377"/>
      <w:r>
        <w:rPr>
          <w:rFonts w:hint="eastAsia"/>
        </w:rPr>
        <w:t>《河南省重污染天气重点行业应急减排措施制定技术指南（</w:t>
      </w:r>
      <w:r>
        <w:t>202</w:t>
      </w:r>
      <w:r>
        <w:rPr>
          <w:rFonts w:hint="eastAsia"/>
        </w:rPr>
        <w:t>4年修订）》中</w:t>
      </w:r>
      <w:r>
        <w:t>A</w:t>
      </w:r>
      <w:r>
        <w:rPr>
          <w:rFonts w:hint="eastAsia"/>
        </w:rPr>
        <w:t>级企业要求电镀生产线</w:t>
      </w:r>
      <w:bookmarkStart w:id="55" w:name="OLE_LINK113"/>
      <w:r>
        <w:rPr>
          <w:rFonts w:hint="eastAsia"/>
        </w:rPr>
        <w:t>氯化氢、硫酸雾排放浓度不</w:t>
      </w:r>
      <w:r>
        <w:t>超过10mg/m</w:t>
      </w:r>
      <w:r>
        <w:rPr>
          <w:vertAlign w:val="superscript"/>
        </w:rPr>
        <w:t>3</w:t>
      </w:r>
      <w:bookmarkEnd w:id="54"/>
      <w:r>
        <w:t>的</w:t>
      </w:r>
      <w:bookmarkEnd w:id="55"/>
      <w:bookmarkStart w:id="56" w:name="OLE_LINK124"/>
      <w:r>
        <w:t>排放限值要求</w:t>
      </w:r>
      <w:bookmarkEnd w:id="53"/>
      <w:bookmarkEnd w:id="56"/>
      <w:r>
        <w:rPr>
          <w:rFonts w:hint="eastAsia"/>
        </w:rPr>
        <w:t>，</w:t>
      </w:r>
      <w:r>
        <w:rPr>
          <w:rFonts w:hint="eastAsia"/>
          <w:bCs/>
        </w:rPr>
        <w:t>《恶臭污染物排放标准》（</w:t>
      </w:r>
      <w:r>
        <w:rPr>
          <w:bCs/>
        </w:rPr>
        <w:t>GB14554-93</w:t>
      </w:r>
      <w:r>
        <w:rPr>
          <w:rFonts w:hint="eastAsia"/>
          <w:bCs/>
        </w:rPr>
        <w:t>）表</w:t>
      </w:r>
      <w:r>
        <w:rPr>
          <w:bCs/>
        </w:rPr>
        <w:t>2</w:t>
      </w:r>
      <w:r>
        <w:rPr>
          <w:rFonts w:hint="eastAsia"/>
          <w:bCs/>
        </w:rPr>
        <w:t>恶臭污染物排放标准值：硫化氢</w:t>
      </w:r>
      <w:r>
        <w:rPr>
          <w:bCs/>
        </w:rPr>
        <w:t>0.33kg/h</w:t>
      </w:r>
      <w:r>
        <w:rPr>
          <w:rFonts w:hint="eastAsia"/>
          <w:bCs/>
        </w:rPr>
        <w:t>、氨</w:t>
      </w:r>
      <w:r>
        <w:rPr>
          <w:bCs/>
        </w:rPr>
        <w:t>4.9kg/h</w:t>
      </w:r>
      <w:r>
        <w:rPr>
          <w:rFonts w:hint="eastAsia"/>
          <w:bCs/>
        </w:rPr>
        <w:t>、</w:t>
      </w:r>
      <w:r>
        <w:rPr>
          <w:szCs w:val="24"/>
        </w:rPr>
        <w:t>臭气浓度2000</w:t>
      </w:r>
      <w:r>
        <w:rPr>
          <w:rFonts w:hint="eastAsia"/>
          <w:bCs/>
        </w:rPr>
        <w:t>的</w:t>
      </w:r>
      <w:r>
        <w:rPr>
          <w:rFonts w:hint="eastAsia"/>
        </w:rPr>
        <w:t>排放限值要求。</w:t>
      </w:r>
    </w:p>
    <w:bookmarkEnd w:id="52"/>
    <w:p w14:paraId="2F5091EB">
      <w:pPr>
        <w:widowControl w:val="0"/>
        <w:ind w:firstLine="482"/>
        <w:outlineLvl w:val="4"/>
        <w:rPr>
          <w:rFonts w:cs="Times New Roman"/>
          <w:b/>
          <w:bCs/>
          <w:color w:val="auto"/>
        </w:rPr>
      </w:pPr>
      <w:r>
        <w:rPr>
          <w:rFonts w:hint="eastAsia" w:cs="Times New Roman"/>
          <w:b/>
          <w:bCs/>
          <w:color w:val="auto"/>
        </w:rPr>
        <w:t>2、</w:t>
      </w:r>
      <w:r>
        <w:rPr>
          <w:rFonts w:cs="Times New Roman"/>
          <w:b/>
          <w:bCs/>
          <w:color w:val="auto"/>
        </w:rPr>
        <w:t>无组织废气</w:t>
      </w:r>
    </w:p>
    <w:p w14:paraId="21A60393">
      <w:pPr>
        <w:widowControl w:val="0"/>
        <w:ind w:firstLine="480"/>
        <w:rPr>
          <w:rFonts w:cs="Times New Roman"/>
          <w:color w:val="auto"/>
        </w:rPr>
      </w:pPr>
      <w:r>
        <w:rPr>
          <w:rFonts w:hint="eastAsia" w:cs="Times New Roman"/>
          <w:color w:val="auto"/>
        </w:rPr>
        <w:t>厂区无组织废气</w:t>
      </w:r>
      <w:r>
        <w:rPr>
          <w:rFonts w:cs="Times New Roman"/>
          <w:color w:val="auto"/>
        </w:rPr>
        <w:t>主要为</w:t>
      </w:r>
      <w:r>
        <w:rPr>
          <w:rFonts w:hint="eastAsia" w:cs="Times New Roman"/>
          <w:color w:val="auto"/>
        </w:rPr>
        <w:t>生产工序中</w:t>
      </w:r>
      <w:r>
        <w:rPr>
          <w:rFonts w:cs="Times New Roman"/>
          <w:color w:val="auto"/>
        </w:rPr>
        <w:t>未收集的</w:t>
      </w:r>
      <w:r>
        <w:rPr>
          <w:rFonts w:hint="eastAsia" w:cs="Times New Roman"/>
          <w:color w:val="auto"/>
        </w:rPr>
        <w:t>硫酸雾</w:t>
      </w:r>
      <w:r>
        <w:rPr>
          <w:rFonts w:cs="Times New Roman"/>
          <w:color w:val="auto"/>
        </w:rPr>
        <w:t>。厂界无组织废气排放情况如下：</w:t>
      </w:r>
    </w:p>
    <w:p w14:paraId="7AF9F25F">
      <w:pPr>
        <w:ind w:firstLine="480"/>
        <w:rPr>
          <w:rFonts w:eastAsia="黑体" w:cs="Times New Roman"/>
          <w:color w:val="auto"/>
        </w:rPr>
      </w:pPr>
      <w:r>
        <w:rPr>
          <w:rFonts w:eastAsia="黑体" w:cs="Times New Roman"/>
          <w:color w:val="auto"/>
        </w:rPr>
        <w:t>表9-</w:t>
      </w:r>
      <w:r>
        <w:rPr>
          <w:rFonts w:hint="eastAsia" w:eastAsia="黑体" w:cs="Times New Roman"/>
          <w:color w:val="auto"/>
        </w:rPr>
        <w:t>6</w:t>
      </w:r>
      <w:r>
        <w:rPr>
          <w:rFonts w:eastAsia="黑体" w:cs="Times New Roman"/>
          <w:color w:val="auto"/>
        </w:rPr>
        <w:t xml:space="preserve">                                    </w:t>
      </w:r>
      <w:r>
        <w:rPr>
          <w:rFonts w:hint="eastAsia" w:eastAsia="黑体" w:cs="Times New Roman"/>
          <w:color w:val="auto"/>
          <w:lang w:val="en-US" w:eastAsia="zh-CN"/>
        </w:rPr>
        <w:t xml:space="preserve">                                        </w:t>
      </w:r>
      <w:r>
        <w:rPr>
          <w:rFonts w:eastAsia="黑体" w:cs="Times New Roman"/>
          <w:color w:val="auto"/>
        </w:rPr>
        <w:t xml:space="preserve">   厂界无组织废气监测结果</w:t>
      </w:r>
    </w:p>
    <w:tbl>
      <w:tblPr>
        <w:tblStyle w:val="27"/>
        <w:tblW w:w="497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12"/>
        <w:gridCol w:w="3"/>
        <w:gridCol w:w="1682"/>
        <w:gridCol w:w="3"/>
        <w:gridCol w:w="1790"/>
        <w:gridCol w:w="8"/>
        <w:gridCol w:w="1691"/>
        <w:gridCol w:w="8"/>
        <w:gridCol w:w="1626"/>
        <w:gridCol w:w="1762"/>
        <w:gridCol w:w="8"/>
        <w:gridCol w:w="1713"/>
        <w:gridCol w:w="6"/>
        <w:gridCol w:w="1937"/>
        <w:gridCol w:w="6"/>
      </w:tblGrid>
      <w:tr w14:paraId="12A80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pct"/>
          <w:trHeight w:val="454" w:hRule="atLeast"/>
          <w:tblHeader/>
        </w:trPr>
        <w:tc>
          <w:tcPr>
            <w:tcW w:w="675" w:type="pct"/>
            <w:vMerge w:val="restart"/>
            <w:tcBorders>
              <w:tl2br w:val="nil"/>
              <w:tr2bl w:val="nil"/>
            </w:tcBorders>
            <w:noWrap w:val="0"/>
            <w:vAlign w:val="center"/>
          </w:tcPr>
          <w:p w14:paraId="49DBDF99">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default" w:ascii="Times New Roman" w:hAnsi="Times New Roman" w:eastAsia="宋体" w:cs="Times New Roman"/>
                <w:b/>
                <w:bCs/>
                <w:sz w:val="21"/>
                <w:szCs w:val="21"/>
                <w:vertAlign w:val="baseline"/>
                <w:lang w:val="en-US" w:eastAsia="zh-CN"/>
              </w:rPr>
            </w:pPr>
            <w:r>
              <w:rPr>
                <w:rFonts w:hint="default" w:ascii="Times New Roman" w:hAnsi="Times New Roman" w:cs="Times New Roman"/>
                <w:b/>
                <w:bCs/>
                <w:sz w:val="21"/>
                <w:szCs w:val="21"/>
                <w:vertAlign w:val="baseline"/>
                <w:lang w:val="en-US" w:eastAsia="zh-CN"/>
              </w:rPr>
              <w:t>采样日期</w:t>
            </w:r>
          </w:p>
        </w:tc>
        <w:tc>
          <w:tcPr>
            <w:tcW w:w="596" w:type="pct"/>
            <w:gridSpan w:val="3"/>
            <w:vMerge w:val="restart"/>
            <w:tcBorders>
              <w:tl2br w:val="nil"/>
              <w:tr2bl w:val="nil"/>
            </w:tcBorders>
            <w:noWrap w:val="0"/>
            <w:vAlign w:val="center"/>
          </w:tcPr>
          <w:p w14:paraId="44F7D3E3">
            <w:pPr>
              <w:adjustRightInd/>
              <w:snapToGrid/>
              <w:spacing w:line="240" w:lineRule="auto"/>
              <w:ind w:firstLine="0" w:firstLineChars="0"/>
              <w:jc w:val="center"/>
              <w:rPr>
                <w:rFonts w:hint="default" w:ascii="Times New Roman" w:hAnsi="Times New Roman" w:cs="Times New Roman"/>
                <w:b/>
                <w:bCs/>
                <w:sz w:val="21"/>
                <w:szCs w:val="21"/>
                <w:vertAlign w:val="baseline"/>
                <w:lang w:val="en-US" w:eastAsia="zh-CN"/>
              </w:rPr>
            </w:pPr>
            <w:r>
              <w:rPr>
                <w:rFonts w:hint="default" w:ascii="Times New Roman" w:hAnsi="Times New Roman" w:cs="Times New Roman"/>
                <w:b/>
                <w:bCs/>
                <w:sz w:val="21"/>
                <w:szCs w:val="21"/>
                <w:vertAlign w:val="baseline"/>
                <w:lang w:val="en-US" w:eastAsia="zh-CN"/>
              </w:rPr>
              <w:t>采样频次</w:t>
            </w:r>
          </w:p>
        </w:tc>
        <w:tc>
          <w:tcPr>
            <w:tcW w:w="632" w:type="pct"/>
            <w:vMerge w:val="restart"/>
            <w:tcBorders>
              <w:tl2br w:val="nil"/>
              <w:tr2bl w:val="nil"/>
            </w:tcBorders>
            <w:noWrap w:val="0"/>
            <w:vAlign w:val="center"/>
          </w:tcPr>
          <w:p w14:paraId="24B122B4">
            <w:pPr>
              <w:adjustRightInd/>
              <w:snapToGrid/>
              <w:spacing w:line="240" w:lineRule="auto"/>
              <w:ind w:firstLine="0" w:firstLineChars="0"/>
              <w:jc w:val="center"/>
              <w:rPr>
                <w:rFonts w:hint="default" w:ascii="Times New Roman" w:hAnsi="Times New Roman" w:eastAsia="宋体" w:cs="Times New Roman"/>
                <w:b/>
                <w:bCs/>
                <w:sz w:val="21"/>
                <w:szCs w:val="21"/>
                <w:vertAlign w:val="baseline"/>
                <w:lang w:val="en-US" w:eastAsia="zh-CN"/>
              </w:rPr>
            </w:pPr>
            <w:r>
              <w:rPr>
                <w:rFonts w:hint="default" w:ascii="Times New Roman" w:hAnsi="Times New Roman" w:cs="Times New Roman"/>
                <w:b/>
                <w:bCs/>
                <w:sz w:val="21"/>
                <w:szCs w:val="21"/>
                <w:vertAlign w:val="baseline"/>
                <w:lang w:val="en-US" w:eastAsia="zh-CN"/>
              </w:rPr>
              <w:t>检测点位</w:t>
            </w:r>
          </w:p>
        </w:tc>
        <w:tc>
          <w:tcPr>
            <w:tcW w:w="2407" w:type="pct"/>
            <w:gridSpan w:val="7"/>
            <w:tcBorders>
              <w:tl2br w:val="nil"/>
              <w:tr2bl w:val="nil"/>
            </w:tcBorders>
            <w:noWrap w:val="0"/>
            <w:vAlign w:val="center"/>
          </w:tcPr>
          <w:p w14:paraId="742C5C8C">
            <w:pPr>
              <w:adjustRightInd/>
              <w:snapToGrid/>
              <w:spacing w:line="240" w:lineRule="auto"/>
              <w:ind w:firstLine="0" w:firstLineChars="0"/>
              <w:jc w:val="center"/>
              <w:rPr>
                <w:rFonts w:hint="default" w:ascii="Times New Roman" w:hAnsi="Times New Roman" w:cs="Times New Roman"/>
                <w:b/>
                <w:bCs/>
                <w:sz w:val="21"/>
                <w:szCs w:val="21"/>
                <w:vertAlign w:val="baseline"/>
                <w:lang w:val="en-US" w:eastAsia="zh-CN"/>
              </w:rPr>
            </w:pPr>
            <w:r>
              <w:rPr>
                <w:rFonts w:hint="default" w:ascii="Times New Roman" w:hAnsi="Times New Roman" w:cs="Times New Roman"/>
                <w:b/>
                <w:bCs/>
                <w:sz w:val="21"/>
                <w:szCs w:val="21"/>
                <w:vertAlign w:val="baseline"/>
                <w:lang w:val="en-US" w:eastAsia="zh-CN"/>
              </w:rPr>
              <w:t>检测结果</w:t>
            </w:r>
          </w:p>
        </w:tc>
        <w:tc>
          <w:tcPr>
            <w:tcW w:w="686" w:type="pct"/>
            <w:gridSpan w:val="2"/>
            <w:vMerge w:val="restart"/>
            <w:tcBorders>
              <w:tl2br w:val="nil"/>
              <w:tr2bl w:val="nil"/>
            </w:tcBorders>
            <w:noWrap w:val="0"/>
            <w:vAlign w:val="center"/>
          </w:tcPr>
          <w:p w14:paraId="3A327A04">
            <w:pPr>
              <w:adjustRightInd/>
              <w:snapToGrid/>
              <w:spacing w:line="240" w:lineRule="auto"/>
              <w:ind w:firstLine="0" w:firstLineChars="0"/>
              <w:jc w:val="center"/>
              <w:rPr>
                <w:rFonts w:hint="default" w:ascii="Times New Roman" w:hAnsi="Times New Roman" w:eastAsia="宋体" w:cs="Times New Roman"/>
                <w:b/>
                <w:bCs/>
                <w:sz w:val="21"/>
                <w:szCs w:val="21"/>
                <w:vertAlign w:val="baseline"/>
                <w:lang w:val="en-US" w:eastAsia="zh-CN"/>
              </w:rPr>
            </w:pPr>
            <w:r>
              <w:rPr>
                <w:rFonts w:hint="default" w:ascii="Times New Roman" w:hAnsi="Times New Roman" w:cs="Times New Roman"/>
                <w:b/>
                <w:bCs/>
                <w:sz w:val="21"/>
                <w:szCs w:val="21"/>
                <w:vertAlign w:val="baseline"/>
                <w:lang w:val="en-US" w:eastAsia="zh-CN"/>
              </w:rPr>
              <w:t>气象参数</w:t>
            </w:r>
          </w:p>
        </w:tc>
      </w:tr>
      <w:tr w14:paraId="64995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pct"/>
          <w:trHeight w:val="454" w:hRule="atLeast"/>
          <w:tblHeader/>
        </w:trPr>
        <w:tc>
          <w:tcPr>
            <w:tcW w:w="675" w:type="pct"/>
            <w:vMerge w:val="continue"/>
            <w:tcBorders>
              <w:tl2br w:val="nil"/>
              <w:tr2bl w:val="nil"/>
            </w:tcBorders>
            <w:noWrap w:val="0"/>
            <w:vAlign w:val="center"/>
          </w:tcPr>
          <w:p w14:paraId="35F75EA8">
            <w:pPr>
              <w:adjustRightInd/>
              <w:snapToGrid/>
              <w:spacing w:line="240" w:lineRule="auto"/>
              <w:ind w:firstLine="0" w:firstLineChars="0"/>
              <w:jc w:val="center"/>
              <w:rPr>
                <w:rFonts w:hint="default" w:ascii="Times New Roman" w:hAnsi="Times New Roman" w:cs="Times New Roman"/>
                <w:b/>
                <w:bCs/>
                <w:sz w:val="21"/>
                <w:szCs w:val="21"/>
                <w:vertAlign w:val="baseline"/>
                <w:lang w:val="en-US" w:eastAsia="zh-CN"/>
              </w:rPr>
            </w:pPr>
          </w:p>
        </w:tc>
        <w:tc>
          <w:tcPr>
            <w:tcW w:w="596" w:type="pct"/>
            <w:gridSpan w:val="3"/>
            <w:vMerge w:val="continue"/>
            <w:tcBorders>
              <w:tl2br w:val="nil"/>
              <w:tr2bl w:val="nil"/>
            </w:tcBorders>
            <w:noWrap w:val="0"/>
            <w:vAlign w:val="center"/>
          </w:tcPr>
          <w:p w14:paraId="3A160119">
            <w:pPr>
              <w:adjustRightInd/>
              <w:snapToGrid/>
              <w:spacing w:line="240" w:lineRule="auto"/>
              <w:ind w:firstLine="0" w:firstLineChars="0"/>
              <w:jc w:val="center"/>
              <w:rPr>
                <w:rFonts w:hint="default" w:ascii="Times New Roman" w:hAnsi="Times New Roman" w:cs="Times New Roman"/>
                <w:b/>
                <w:bCs/>
                <w:sz w:val="21"/>
                <w:szCs w:val="21"/>
                <w:vertAlign w:val="baseline"/>
                <w:lang w:val="en-US" w:eastAsia="zh-CN"/>
              </w:rPr>
            </w:pPr>
          </w:p>
        </w:tc>
        <w:tc>
          <w:tcPr>
            <w:tcW w:w="632" w:type="pct"/>
            <w:vMerge w:val="continue"/>
            <w:tcBorders>
              <w:tl2br w:val="nil"/>
              <w:tr2bl w:val="nil"/>
            </w:tcBorders>
            <w:noWrap w:val="0"/>
            <w:vAlign w:val="center"/>
          </w:tcPr>
          <w:p w14:paraId="765DC1EE">
            <w:pPr>
              <w:adjustRightInd/>
              <w:snapToGrid/>
              <w:spacing w:line="240" w:lineRule="auto"/>
              <w:ind w:firstLine="0" w:firstLineChars="0"/>
              <w:jc w:val="center"/>
              <w:rPr>
                <w:rFonts w:hint="default" w:ascii="Times New Roman" w:hAnsi="Times New Roman" w:cs="Times New Roman"/>
                <w:b/>
                <w:bCs/>
                <w:sz w:val="21"/>
                <w:szCs w:val="21"/>
                <w:vertAlign w:val="baseline"/>
                <w:lang w:val="en-US" w:eastAsia="zh-CN"/>
              </w:rPr>
            </w:pPr>
          </w:p>
        </w:tc>
        <w:tc>
          <w:tcPr>
            <w:tcW w:w="600" w:type="pct"/>
            <w:gridSpan w:val="2"/>
            <w:tcBorders>
              <w:tl2br w:val="nil"/>
              <w:tr2bl w:val="nil"/>
            </w:tcBorders>
            <w:noWrap w:val="0"/>
            <w:vAlign w:val="center"/>
          </w:tcPr>
          <w:p w14:paraId="69103ECE">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default" w:ascii="Times New Roman" w:hAnsi="Times New Roman" w:eastAsia="宋体" w:cs="Times New Roman"/>
                <w:b/>
                <w:bCs/>
                <w:sz w:val="21"/>
                <w:szCs w:val="21"/>
                <w:vertAlign w:val="baseline"/>
                <w:lang w:val="en-US" w:eastAsia="zh-CN"/>
              </w:rPr>
            </w:pPr>
            <w:r>
              <w:rPr>
                <w:rFonts w:hint="default" w:ascii="Times New Roman" w:hAnsi="Times New Roman" w:eastAsia="宋体" w:cs="Times New Roman"/>
                <w:b/>
                <w:bCs/>
                <w:sz w:val="21"/>
                <w:szCs w:val="21"/>
                <w:vertAlign w:val="baseline"/>
                <w:lang w:val="en-US" w:eastAsia="zh-CN"/>
              </w:rPr>
              <w:t>氯化氢</w:t>
            </w:r>
          </w:p>
          <w:p w14:paraId="073633C7">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cs="Times New Roman"/>
                <w:b/>
                <w:bCs/>
                <w:sz w:val="21"/>
                <w:szCs w:val="21"/>
                <w:vertAlign w:val="baseline"/>
                <w:lang w:val="en-US" w:eastAsia="zh-CN"/>
              </w:rPr>
              <w:t>（mg/m³）</w:t>
            </w:r>
          </w:p>
        </w:tc>
        <w:tc>
          <w:tcPr>
            <w:tcW w:w="577" w:type="pct"/>
            <w:gridSpan w:val="2"/>
            <w:tcBorders>
              <w:tl2br w:val="nil"/>
              <w:tr2bl w:val="nil"/>
            </w:tcBorders>
            <w:noWrap w:val="0"/>
            <w:vAlign w:val="center"/>
          </w:tcPr>
          <w:p w14:paraId="377E4094">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default" w:ascii="Times New Roman" w:hAnsi="Times New Roman" w:eastAsia="宋体" w:cs="Times New Roman"/>
                <w:b/>
                <w:bCs/>
                <w:sz w:val="21"/>
                <w:szCs w:val="21"/>
                <w:vertAlign w:val="baseline"/>
                <w:lang w:val="en-US" w:eastAsia="zh-CN"/>
              </w:rPr>
            </w:pPr>
            <w:r>
              <w:rPr>
                <w:rFonts w:hint="default" w:ascii="Times New Roman" w:hAnsi="Times New Roman" w:eastAsia="宋体" w:cs="Times New Roman"/>
                <w:b/>
                <w:bCs/>
                <w:sz w:val="21"/>
                <w:szCs w:val="21"/>
                <w:vertAlign w:val="baseline"/>
                <w:lang w:val="en-US" w:eastAsia="zh-CN"/>
              </w:rPr>
              <w:t>硫酸雾</w:t>
            </w:r>
          </w:p>
          <w:p w14:paraId="669F383D">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cs="Times New Roman"/>
                <w:b/>
                <w:bCs/>
                <w:sz w:val="21"/>
                <w:szCs w:val="21"/>
                <w:vertAlign w:val="baseline"/>
                <w:lang w:val="en-US" w:eastAsia="zh-CN"/>
              </w:rPr>
              <w:t>（mg/m³）</w:t>
            </w:r>
          </w:p>
        </w:tc>
        <w:tc>
          <w:tcPr>
            <w:tcW w:w="622" w:type="pct"/>
            <w:tcBorders>
              <w:tl2br w:val="nil"/>
              <w:tr2bl w:val="nil"/>
            </w:tcBorders>
            <w:noWrap w:val="0"/>
            <w:vAlign w:val="center"/>
          </w:tcPr>
          <w:p w14:paraId="10995144">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eastAsia" w:ascii="Times New Roman" w:hAnsi="Times New Roman" w:eastAsia="宋体" w:cs="Times New Roman"/>
                <w:b/>
                <w:bCs/>
                <w:sz w:val="22"/>
                <w:szCs w:val="22"/>
                <w:vertAlign w:val="baseline"/>
                <w:lang w:val="en-US" w:eastAsia="zh-CN"/>
              </w:rPr>
            </w:pPr>
            <w:r>
              <w:rPr>
                <w:rFonts w:hint="eastAsia" w:ascii="Times New Roman" w:hAnsi="Times New Roman" w:eastAsia="宋体" w:cs="Times New Roman"/>
                <w:b/>
                <w:bCs/>
                <w:sz w:val="22"/>
                <w:szCs w:val="22"/>
                <w:vertAlign w:val="baseline"/>
                <w:lang w:val="en-US" w:eastAsia="zh-CN"/>
              </w:rPr>
              <w:t>氨</w:t>
            </w:r>
          </w:p>
          <w:p w14:paraId="3A426A3B">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cs="Times New Roman"/>
                <w:b/>
                <w:bCs/>
                <w:sz w:val="21"/>
                <w:szCs w:val="21"/>
                <w:vertAlign w:val="baseline"/>
                <w:lang w:val="en-US" w:eastAsia="zh-CN"/>
              </w:rPr>
              <w:t>（mg/m³）</w:t>
            </w:r>
          </w:p>
        </w:tc>
        <w:tc>
          <w:tcPr>
            <w:tcW w:w="607" w:type="pct"/>
            <w:gridSpan w:val="2"/>
            <w:tcBorders>
              <w:tl2br w:val="nil"/>
              <w:tr2bl w:val="nil"/>
            </w:tcBorders>
            <w:noWrap w:val="0"/>
            <w:vAlign w:val="center"/>
          </w:tcPr>
          <w:p w14:paraId="1FC19240">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eastAsia" w:ascii="Times New Roman" w:hAnsi="Times New Roman" w:eastAsia="宋体" w:cs="Times New Roman"/>
                <w:b/>
                <w:bCs/>
                <w:sz w:val="22"/>
                <w:szCs w:val="22"/>
                <w:vertAlign w:val="baseline"/>
                <w:lang w:val="en-US" w:eastAsia="zh-CN"/>
              </w:rPr>
            </w:pPr>
            <w:r>
              <w:rPr>
                <w:rFonts w:hint="eastAsia" w:ascii="Times New Roman" w:hAnsi="Times New Roman" w:eastAsia="宋体" w:cs="Times New Roman"/>
                <w:b/>
                <w:bCs/>
                <w:sz w:val="22"/>
                <w:szCs w:val="22"/>
                <w:vertAlign w:val="baseline"/>
                <w:lang w:val="en-US" w:eastAsia="zh-CN"/>
              </w:rPr>
              <w:t>硫化氢</w:t>
            </w:r>
          </w:p>
          <w:p w14:paraId="4B598B1E">
            <w:pPr>
              <w:keepNext w:val="0"/>
              <w:keepLines w:val="0"/>
              <w:pageBreakBefore w:val="0"/>
              <w:widowControl/>
              <w:kinsoku/>
              <w:wordWrap/>
              <w:overflowPunct/>
              <w:topLinePunct w:val="0"/>
              <w:autoSpaceDE/>
              <w:autoSpaceDN/>
              <w:bidi w:val="0"/>
              <w:adjustRightInd/>
              <w:snapToGrid w:val="0"/>
              <w:spacing w:line="240" w:lineRule="auto"/>
              <w:ind w:left="-120" w:leftChars="-50" w:right="-120" w:rightChars="-50" w:firstLine="0" w:firstLineChars="0"/>
              <w:jc w:val="center"/>
              <w:textAlignment w:val="auto"/>
              <w:rPr>
                <w:rFonts w:hint="eastAsia" w:ascii="Times New Roman" w:hAnsi="Times New Roman" w:eastAsia="宋体" w:cs="Times New Roman"/>
                <w:b/>
                <w:bCs/>
                <w:color w:val="auto"/>
                <w:sz w:val="21"/>
                <w:szCs w:val="21"/>
                <w:vertAlign w:val="baseline"/>
                <w:lang w:val="en-US" w:eastAsia="zh-CN"/>
              </w:rPr>
            </w:pPr>
            <w:r>
              <w:rPr>
                <w:rFonts w:hint="default" w:ascii="Times New Roman" w:hAnsi="Times New Roman" w:cs="Times New Roman"/>
                <w:b/>
                <w:bCs/>
                <w:sz w:val="21"/>
                <w:szCs w:val="21"/>
                <w:vertAlign w:val="baseline"/>
                <w:lang w:val="en-US" w:eastAsia="zh-CN"/>
              </w:rPr>
              <w:t>（mg/m³）</w:t>
            </w:r>
          </w:p>
        </w:tc>
        <w:tc>
          <w:tcPr>
            <w:tcW w:w="686" w:type="pct"/>
            <w:gridSpan w:val="2"/>
            <w:vMerge w:val="continue"/>
            <w:tcBorders>
              <w:tl2br w:val="nil"/>
              <w:tr2bl w:val="nil"/>
            </w:tcBorders>
            <w:noWrap w:val="0"/>
            <w:vAlign w:val="center"/>
          </w:tcPr>
          <w:p w14:paraId="3C4FEBAD">
            <w:pPr>
              <w:adjustRightInd/>
              <w:snapToGrid/>
              <w:spacing w:line="240" w:lineRule="auto"/>
              <w:ind w:firstLine="0" w:firstLineChars="0"/>
              <w:jc w:val="center"/>
              <w:rPr>
                <w:rFonts w:hint="default" w:ascii="Times New Roman" w:hAnsi="Times New Roman" w:cs="Times New Roman"/>
                <w:b/>
                <w:bCs/>
                <w:sz w:val="21"/>
                <w:szCs w:val="21"/>
                <w:vertAlign w:val="baseline"/>
              </w:rPr>
            </w:pPr>
          </w:p>
        </w:tc>
      </w:tr>
      <w:tr w14:paraId="7A0E2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pct"/>
          <w:trHeight w:val="454" w:hRule="atLeast"/>
        </w:trPr>
        <w:tc>
          <w:tcPr>
            <w:tcW w:w="675" w:type="pct"/>
            <w:vMerge w:val="restart"/>
            <w:tcBorders>
              <w:tl2br w:val="nil"/>
              <w:tr2bl w:val="nil"/>
            </w:tcBorders>
            <w:noWrap w:val="0"/>
            <w:vAlign w:val="center"/>
          </w:tcPr>
          <w:p w14:paraId="24F96E6F">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2026.05.07</w:t>
            </w:r>
          </w:p>
        </w:tc>
        <w:tc>
          <w:tcPr>
            <w:tcW w:w="596" w:type="pct"/>
            <w:gridSpan w:val="3"/>
            <w:vMerge w:val="restart"/>
            <w:tcBorders>
              <w:tl2br w:val="nil"/>
              <w:tr2bl w:val="nil"/>
            </w:tcBorders>
            <w:noWrap w:val="0"/>
            <w:vAlign w:val="center"/>
          </w:tcPr>
          <w:p w14:paraId="20A90F04">
            <w:pPr>
              <w:adjustRightInd/>
              <w:snapToGrid/>
              <w:spacing w:line="240" w:lineRule="auto"/>
              <w:ind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第1次</w:t>
            </w:r>
          </w:p>
        </w:tc>
        <w:tc>
          <w:tcPr>
            <w:tcW w:w="632" w:type="pct"/>
            <w:tcBorders>
              <w:tl2br w:val="nil"/>
              <w:tr2bl w:val="nil"/>
            </w:tcBorders>
            <w:noWrap w:val="0"/>
            <w:vAlign w:val="center"/>
          </w:tcPr>
          <w:p w14:paraId="5DABCD8B">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厂界</w:t>
            </w:r>
            <w:r>
              <w:rPr>
                <w:rFonts w:hint="default" w:ascii="Times New Roman" w:hAnsi="Times New Roman" w:cs="Times New Roman"/>
                <w:sz w:val="21"/>
                <w:szCs w:val="21"/>
                <w:vertAlign w:val="baseline"/>
                <w:lang w:val="en-US" w:eastAsia="zh-CN"/>
              </w:rPr>
              <w:t>上风向1#</w:t>
            </w:r>
          </w:p>
        </w:tc>
        <w:tc>
          <w:tcPr>
            <w:tcW w:w="600" w:type="pct"/>
            <w:gridSpan w:val="2"/>
            <w:tcBorders>
              <w:tl2br w:val="nil"/>
              <w:tr2bl w:val="nil"/>
            </w:tcBorders>
            <w:noWrap w:val="0"/>
            <w:vAlign w:val="center"/>
          </w:tcPr>
          <w:p w14:paraId="0B58FC7A">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577" w:type="pct"/>
            <w:gridSpan w:val="2"/>
            <w:tcBorders>
              <w:tl2br w:val="nil"/>
              <w:tr2bl w:val="nil"/>
            </w:tcBorders>
            <w:noWrap w:val="0"/>
            <w:vAlign w:val="center"/>
          </w:tcPr>
          <w:p w14:paraId="330E6B8A">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622" w:type="pct"/>
            <w:tcBorders>
              <w:tl2br w:val="nil"/>
              <w:tr2bl w:val="nil"/>
            </w:tcBorders>
            <w:noWrap w:val="0"/>
            <w:vAlign w:val="center"/>
          </w:tcPr>
          <w:p w14:paraId="27011111">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0.03 </w:t>
            </w:r>
          </w:p>
        </w:tc>
        <w:tc>
          <w:tcPr>
            <w:tcW w:w="607" w:type="pct"/>
            <w:gridSpan w:val="2"/>
            <w:tcBorders>
              <w:tl2br w:val="nil"/>
              <w:tr2bl w:val="nil"/>
            </w:tcBorders>
            <w:noWrap w:val="0"/>
            <w:vAlign w:val="center"/>
          </w:tcPr>
          <w:p w14:paraId="38D2829A">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0.003 </w:t>
            </w:r>
          </w:p>
        </w:tc>
        <w:tc>
          <w:tcPr>
            <w:tcW w:w="686" w:type="pct"/>
            <w:gridSpan w:val="2"/>
            <w:vMerge w:val="restart"/>
            <w:tcBorders>
              <w:tl2br w:val="nil"/>
              <w:tr2bl w:val="nil"/>
            </w:tcBorders>
            <w:noWrap w:val="0"/>
            <w:vAlign w:val="center"/>
          </w:tcPr>
          <w:p w14:paraId="06457941">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cs="Times New Roman"/>
                <w:color w:val="auto"/>
                <w:sz w:val="21"/>
                <w:szCs w:val="21"/>
                <w:vertAlign w:val="baseline"/>
                <w:lang w:val="en-US" w:eastAsia="zh-CN"/>
              </w:rPr>
              <w:t>天气：</w:t>
            </w:r>
            <w:r>
              <w:rPr>
                <w:rFonts w:hint="eastAsia" w:ascii="Times New Roman" w:hAnsi="Times New Roman" w:cs="Times New Roman"/>
                <w:color w:val="auto"/>
                <w:sz w:val="21"/>
                <w:szCs w:val="21"/>
                <w:vertAlign w:val="baseline"/>
                <w:lang w:val="en-US" w:eastAsia="zh-CN"/>
              </w:rPr>
              <w:t>多云</w:t>
            </w:r>
          </w:p>
          <w:p w14:paraId="2A84158C">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eastAsia"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气温（℃）：</w:t>
            </w:r>
            <w:r>
              <w:rPr>
                <w:rFonts w:hint="eastAsia" w:ascii="Times New Roman" w:hAnsi="Times New Roman" w:cs="Times New Roman"/>
                <w:color w:val="auto"/>
                <w:sz w:val="21"/>
                <w:szCs w:val="21"/>
                <w:vertAlign w:val="baseline"/>
                <w:lang w:val="en-US" w:eastAsia="zh-CN"/>
              </w:rPr>
              <w:t xml:space="preserve">14.9 </w:t>
            </w:r>
          </w:p>
          <w:p w14:paraId="0471DF0C">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气压（kPa）：10</w:t>
            </w:r>
            <w:r>
              <w:rPr>
                <w:rFonts w:hint="eastAsia" w:ascii="Times New Roman" w:hAnsi="Times New Roman" w:cs="Times New Roman"/>
                <w:color w:val="auto"/>
                <w:sz w:val="21"/>
                <w:szCs w:val="21"/>
                <w:vertAlign w:val="baseline"/>
                <w:lang w:val="en-US" w:eastAsia="zh-CN"/>
              </w:rPr>
              <w:t>0.3</w:t>
            </w:r>
          </w:p>
          <w:p w14:paraId="641FB254">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cs="Times New Roman"/>
                <w:color w:val="auto"/>
                <w:sz w:val="21"/>
                <w:szCs w:val="21"/>
                <w:vertAlign w:val="baseline"/>
                <w:lang w:val="en-US" w:eastAsia="zh-CN"/>
              </w:rPr>
              <w:t>风速（m/s）：</w:t>
            </w:r>
            <w:r>
              <w:rPr>
                <w:rFonts w:hint="eastAsia" w:ascii="Times New Roman" w:hAnsi="Times New Roman" w:cs="Times New Roman"/>
                <w:color w:val="auto"/>
                <w:sz w:val="21"/>
                <w:szCs w:val="21"/>
                <w:vertAlign w:val="baseline"/>
                <w:lang w:val="en-US" w:eastAsia="zh-CN"/>
              </w:rPr>
              <w:t>2.2</w:t>
            </w:r>
          </w:p>
          <w:p w14:paraId="1B101159">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cs="Times New Roman"/>
                <w:color w:val="auto"/>
                <w:sz w:val="21"/>
                <w:szCs w:val="21"/>
                <w:vertAlign w:val="baseline"/>
                <w:lang w:val="en-US"/>
              </w:rPr>
            </w:pPr>
            <w:r>
              <w:rPr>
                <w:rFonts w:hint="default" w:ascii="Times New Roman" w:hAnsi="Times New Roman" w:cs="Times New Roman"/>
                <w:color w:val="auto"/>
                <w:sz w:val="21"/>
                <w:szCs w:val="21"/>
                <w:vertAlign w:val="baseline"/>
                <w:lang w:val="en-US" w:eastAsia="zh-CN"/>
              </w:rPr>
              <w:t>风向：</w:t>
            </w:r>
            <w:r>
              <w:rPr>
                <w:rFonts w:hint="eastAsia" w:ascii="Times New Roman" w:hAnsi="Times New Roman" w:cs="Times New Roman"/>
                <w:color w:val="auto"/>
                <w:sz w:val="21"/>
                <w:szCs w:val="21"/>
                <w:vertAlign w:val="baseline"/>
                <w:lang w:val="en-US" w:eastAsia="zh-CN"/>
              </w:rPr>
              <w:t>SE</w:t>
            </w:r>
          </w:p>
        </w:tc>
      </w:tr>
      <w:tr w14:paraId="11377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pct"/>
          <w:trHeight w:val="454" w:hRule="atLeast"/>
        </w:trPr>
        <w:tc>
          <w:tcPr>
            <w:tcW w:w="675" w:type="pct"/>
            <w:vMerge w:val="continue"/>
            <w:tcBorders>
              <w:tl2br w:val="nil"/>
              <w:tr2bl w:val="nil"/>
            </w:tcBorders>
            <w:noWrap w:val="0"/>
            <w:vAlign w:val="center"/>
          </w:tcPr>
          <w:p w14:paraId="1F8381EA">
            <w:pPr>
              <w:adjustRightInd/>
              <w:snapToGrid/>
              <w:spacing w:line="240" w:lineRule="auto"/>
              <w:ind w:firstLine="0" w:firstLineChars="0"/>
              <w:jc w:val="center"/>
              <w:rPr>
                <w:rFonts w:hint="default" w:ascii="Times New Roman" w:hAnsi="Times New Roman" w:cs="Times New Roman"/>
                <w:sz w:val="21"/>
                <w:szCs w:val="21"/>
                <w:vertAlign w:val="baseline"/>
              </w:rPr>
            </w:pPr>
          </w:p>
        </w:tc>
        <w:tc>
          <w:tcPr>
            <w:tcW w:w="596" w:type="pct"/>
            <w:gridSpan w:val="3"/>
            <w:vMerge w:val="continue"/>
            <w:tcBorders>
              <w:tl2br w:val="nil"/>
              <w:tr2bl w:val="nil"/>
            </w:tcBorders>
            <w:noWrap w:val="0"/>
            <w:vAlign w:val="top"/>
          </w:tcPr>
          <w:p w14:paraId="1EED0498">
            <w:pPr>
              <w:adjustRightInd/>
              <w:snapToGrid/>
              <w:spacing w:line="240" w:lineRule="auto"/>
              <w:ind w:firstLine="0" w:firstLineChars="0"/>
              <w:jc w:val="center"/>
              <w:rPr>
                <w:rFonts w:hint="default" w:ascii="Times New Roman" w:hAnsi="Times New Roman" w:cs="Times New Roman"/>
                <w:sz w:val="21"/>
                <w:szCs w:val="21"/>
                <w:vertAlign w:val="baseline"/>
                <w:lang w:val="en-US" w:eastAsia="zh-CN"/>
              </w:rPr>
            </w:pPr>
          </w:p>
        </w:tc>
        <w:tc>
          <w:tcPr>
            <w:tcW w:w="632" w:type="pct"/>
            <w:tcBorders>
              <w:tl2br w:val="nil"/>
              <w:tr2bl w:val="nil"/>
            </w:tcBorders>
            <w:noWrap w:val="0"/>
            <w:vAlign w:val="center"/>
          </w:tcPr>
          <w:p w14:paraId="6227FF2E">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厂界</w:t>
            </w:r>
            <w:r>
              <w:rPr>
                <w:rFonts w:hint="default" w:ascii="Times New Roman" w:hAnsi="Times New Roman" w:eastAsia="宋体" w:cs="Times New Roman"/>
                <w:sz w:val="21"/>
                <w:szCs w:val="21"/>
                <w:vertAlign w:val="baseline"/>
                <w:lang w:val="en-US" w:eastAsia="zh-CN"/>
              </w:rPr>
              <w:t>下风向2#</w:t>
            </w:r>
          </w:p>
        </w:tc>
        <w:tc>
          <w:tcPr>
            <w:tcW w:w="600" w:type="pct"/>
            <w:gridSpan w:val="2"/>
            <w:tcBorders>
              <w:tl2br w:val="nil"/>
              <w:tr2bl w:val="nil"/>
            </w:tcBorders>
            <w:noWrap w:val="0"/>
            <w:vAlign w:val="center"/>
          </w:tcPr>
          <w:p w14:paraId="20E826AD">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577" w:type="pct"/>
            <w:gridSpan w:val="2"/>
            <w:tcBorders>
              <w:tl2br w:val="nil"/>
              <w:tr2bl w:val="nil"/>
            </w:tcBorders>
            <w:noWrap w:val="0"/>
            <w:vAlign w:val="center"/>
          </w:tcPr>
          <w:p w14:paraId="7DB547E6">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622" w:type="pct"/>
            <w:tcBorders>
              <w:tl2br w:val="nil"/>
              <w:tr2bl w:val="nil"/>
            </w:tcBorders>
            <w:noWrap w:val="0"/>
            <w:vAlign w:val="center"/>
          </w:tcPr>
          <w:p w14:paraId="4F340E75">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0.09 </w:t>
            </w:r>
          </w:p>
        </w:tc>
        <w:tc>
          <w:tcPr>
            <w:tcW w:w="607" w:type="pct"/>
            <w:gridSpan w:val="2"/>
            <w:tcBorders>
              <w:tl2br w:val="nil"/>
              <w:tr2bl w:val="nil"/>
            </w:tcBorders>
            <w:noWrap w:val="0"/>
            <w:vAlign w:val="center"/>
          </w:tcPr>
          <w:p w14:paraId="5D98FE69">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0.013 </w:t>
            </w:r>
          </w:p>
        </w:tc>
        <w:tc>
          <w:tcPr>
            <w:tcW w:w="686" w:type="pct"/>
            <w:gridSpan w:val="2"/>
            <w:vMerge w:val="continue"/>
            <w:tcBorders>
              <w:tl2br w:val="nil"/>
              <w:tr2bl w:val="nil"/>
            </w:tcBorders>
            <w:noWrap w:val="0"/>
            <w:vAlign w:val="top"/>
          </w:tcPr>
          <w:p w14:paraId="7EDA34B4">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cs="Times New Roman"/>
                <w:color w:val="auto"/>
                <w:sz w:val="21"/>
                <w:szCs w:val="21"/>
                <w:vertAlign w:val="baseline"/>
              </w:rPr>
            </w:pPr>
          </w:p>
        </w:tc>
      </w:tr>
      <w:tr w14:paraId="17920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pct"/>
          <w:trHeight w:val="454" w:hRule="atLeast"/>
        </w:trPr>
        <w:tc>
          <w:tcPr>
            <w:tcW w:w="675" w:type="pct"/>
            <w:vMerge w:val="continue"/>
            <w:tcBorders>
              <w:tl2br w:val="nil"/>
              <w:tr2bl w:val="nil"/>
            </w:tcBorders>
            <w:noWrap w:val="0"/>
            <w:vAlign w:val="center"/>
          </w:tcPr>
          <w:p w14:paraId="11B8B123">
            <w:pPr>
              <w:adjustRightInd/>
              <w:snapToGrid/>
              <w:spacing w:line="240" w:lineRule="auto"/>
              <w:ind w:firstLine="0" w:firstLineChars="0"/>
              <w:jc w:val="center"/>
              <w:rPr>
                <w:rFonts w:hint="default" w:ascii="Times New Roman" w:hAnsi="Times New Roman" w:cs="Times New Roman"/>
                <w:sz w:val="21"/>
                <w:szCs w:val="21"/>
                <w:vertAlign w:val="baseline"/>
              </w:rPr>
            </w:pPr>
          </w:p>
        </w:tc>
        <w:tc>
          <w:tcPr>
            <w:tcW w:w="596" w:type="pct"/>
            <w:gridSpan w:val="3"/>
            <w:vMerge w:val="continue"/>
            <w:tcBorders>
              <w:tl2br w:val="nil"/>
              <w:tr2bl w:val="nil"/>
            </w:tcBorders>
            <w:noWrap w:val="0"/>
            <w:vAlign w:val="top"/>
          </w:tcPr>
          <w:p w14:paraId="2241C377">
            <w:pPr>
              <w:adjustRightInd/>
              <w:snapToGrid/>
              <w:spacing w:line="240" w:lineRule="auto"/>
              <w:ind w:firstLine="0" w:firstLineChars="0"/>
              <w:jc w:val="center"/>
              <w:rPr>
                <w:rFonts w:hint="default" w:ascii="Times New Roman" w:hAnsi="Times New Roman" w:cs="Times New Roman"/>
                <w:sz w:val="21"/>
                <w:szCs w:val="21"/>
                <w:vertAlign w:val="baseline"/>
                <w:lang w:val="en-US" w:eastAsia="zh-CN"/>
              </w:rPr>
            </w:pPr>
          </w:p>
        </w:tc>
        <w:tc>
          <w:tcPr>
            <w:tcW w:w="632" w:type="pct"/>
            <w:tcBorders>
              <w:tl2br w:val="nil"/>
              <w:tr2bl w:val="nil"/>
            </w:tcBorders>
            <w:noWrap w:val="0"/>
            <w:vAlign w:val="center"/>
          </w:tcPr>
          <w:p w14:paraId="0F9337F3">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厂界</w:t>
            </w:r>
            <w:r>
              <w:rPr>
                <w:rFonts w:hint="default" w:ascii="Times New Roman" w:hAnsi="Times New Roman" w:eastAsia="宋体" w:cs="Times New Roman"/>
                <w:sz w:val="21"/>
                <w:szCs w:val="21"/>
                <w:vertAlign w:val="baseline"/>
                <w:lang w:val="en-US" w:eastAsia="zh-CN"/>
              </w:rPr>
              <w:t>下风向3#</w:t>
            </w:r>
          </w:p>
        </w:tc>
        <w:tc>
          <w:tcPr>
            <w:tcW w:w="600" w:type="pct"/>
            <w:gridSpan w:val="2"/>
            <w:tcBorders>
              <w:tl2br w:val="nil"/>
              <w:tr2bl w:val="nil"/>
            </w:tcBorders>
            <w:noWrap w:val="0"/>
            <w:vAlign w:val="center"/>
          </w:tcPr>
          <w:p w14:paraId="169835C5">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577" w:type="pct"/>
            <w:gridSpan w:val="2"/>
            <w:tcBorders>
              <w:tl2br w:val="nil"/>
              <w:tr2bl w:val="nil"/>
            </w:tcBorders>
            <w:noWrap w:val="0"/>
            <w:vAlign w:val="center"/>
          </w:tcPr>
          <w:p w14:paraId="72042577">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622" w:type="pct"/>
            <w:tcBorders>
              <w:tl2br w:val="nil"/>
              <w:tr2bl w:val="nil"/>
            </w:tcBorders>
            <w:noWrap w:val="0"/>
            <w:vAlign w:val="center"/>
          </w:tcPr>
          <w:p w14:paraId="4A6CABA3">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0.13 </w:t>
            </w:r>
          </w:p>
        </w:tc>
        <w:tc>
          <w:tcPr>
            <w:tcW w:w="607" w:type="pct"/>
            <w:gridSpan w:val="2"/>
            <w:tcBorders>
              <w:tl2br w:val="nil"/>
              <w:tr2bl w:val="nil"/>
            </w:tcBorders>
            <w:noWrap w:val="0"/>
            <w:vAlign w:val="center"/>
          </w:tcPr>
          <w:p w14:paraId="6628D157">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0.010 </w:t>
            </w:r>
          </w:p>
        </w:tc>
        <w:tc>
          <w:tcPr>
            <w:tcW w:w="686" w:type="pct"/>
            <w:gridSpan w:val="2"/>
            <w:vMerge w:val="continue"/>
            <w:tcBorders>
              <w:tl2br w:val="nil"/>
              <w:tr2bl w:val="nil"/>
            </w:tcBorders>
            <w:noWrap w:val="0"/>
            <w:vAlign w:val="top"/>
          </w:tcPr>
          <w:p w14:paraId="70162A5C">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cs="Times New Roman"/>
                <w:color w:val="auto"/>
                <w:sz w:val="21"/>
                <w:szCs w:val="21"/>
                <w:vertAlign w:val="baseline"/>
              </w:rPr>
            </w:pPr>
          </w:p>
        </w:tc>
      </w:tr>
      <w:tr w14:paraId="6C962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pct"/>
          <w:trHeight w:val="454" w:hRule="atLeast"/>
        </w:trPr>
        <w:tc>
          <w:tcPr>
            <w:tcW w:w="675" w:type="pct"/>
            <w:vMerge w:val="continue"/>
            <w:tcBorders>
              <w:tl2br w:val="nil"/>
              <w:tr2bl w:val="nil"/>
            </w:tcBorders>
            <w:noWrap w:val="0"/>
            <w:vAlign w:val="center"/>
          </w:tcPr>
          <w:p w14:paraId="5133DCFF">
            <w:pPr>
              <w:adjustRightInd/>
              <w:snapToGrid/>
              <w:spacing w:line="240" w:lineRule="auto"/>
              <w:ind w:firstLine="0" w:firstLineChars="0"/>
              <w:jc w:val="center"/>
              <w:rPr>
                <w:rFonts w:hint="default" w:ascii="Times New Roman" w:hAnsi="Times New Roman" w:cs="Times New Roman"/>
                <w:sz w:val="21"/>
                <w:szCs w:val="21"/>
                <w:vertAlign w:val="baseline"/>
              </w:rPr>
            </w:pPr>
          </w:p>
        </w:tc>
        <w:tc>
          <w:tcPr>
            <w:tcW w:w="596" w:type="pct"/>
            <w:gridSpan w:val="3"/>
            <w:vMerge w:val="continue"/>
            <w:tcBorders>
              <w:tl2br w:val="nil"/>
              <w:tr2bl w:val="nil"/>
            </w:tcBorders>
            <w:noWrap w:val="0"/>
            <w:vAlign w:val="top"/>
          </w:tcPr>
          <w:p w14:paraId="516812E4">
            <w:pPr>
              <w:adjustRightInd/>
              <w:snapToGrid/>
              <w:spacing w:line="240" w:lineRule="auto"/>
              <w:ind w:firstLine="0" w:firstLineChars="0"/>
              <w:jc w:val="center"/>
              <w:rPr>
                <w:rFonts w:hint="default" w:ascii="Times New Roman" w:hAnsi="Times New Roman" w:cs="Times New Roman"/>
                <w:sz w:val="21"/>
                <w:szCs w:val="21"/>
                <w:vertAlign w:val="baseline"/>
                <w:lang w:val="en-US" w:eastAsia="zh-CN"/>
              </w:rPr>
            </w:pPr>
          </w:p>
        </w:tc>
        <w:tc>
          <w:tcPr>
            <w:tcW w:w="632" w:type="pct"/>
            <w:tcBorders>
              <w:tl2br w:val="nil"/>
              <w:tr2bl w:val="nil"/>
            </w:tcBorders>
            <w:noWrap w:val="0"/>
            <w:vAlign w:val="center"/>
          </w:tcPr>
          <w:p w14:paraId="0F1BAD03">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厂界</w:t>
            </w:r>
            <w:r>
              <w:rPr>
                <w:rFonts w:hint="default" w:ascii="Times New Roman" w:hAnsi="Times New Roman" w:eastAsia="宋体" w:cs="Times New Roman"/>
                <w:sz w:val="21"/>
                <w:szCs w:val="21"/>
                <w:vertAlign w:val="baseline"/>
                <w:lang w:val="en-US" w:eastAsia="zh-CN"/>
              </w:rPr>
              <w:t>下风向4#</w:t>
            </w:r>
          </w:p>
        </w:tc>
        <w:tc>
          <w:tcPr>
            <w:tcW w:w="600" w:type="pct"/>
            <w:gridSpan w:val="2"/>
            <w:tcBorders>
              <w:tl2br w:val="nil"/>
              <w:tr2bl w:val="nil"/>
            </w:tcBorders>
            <w:noWrap w:val="0"/>
            <w:vAlign w:val="center"/>
          </w:tcPr>
          <w:p w14:paraId="34EA9300">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577" w:type="pct"/>
            <w:gridSpan w:val="2"/>
            <w:tcBorders>
              <w:tl2br w:val="nil"/>
              <w:tr2bl w:val="nil"/>
            </w:tcBorders>
            <w:noWrap w:val="0"/>
            <w:vAlign w:val="center"/>
          </w:tcPr>
          <w:p w14:paraId="147AD119">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622" w:type="pct"/>
            <w:tcBorders>
              <w:tl2br w:val="nil"/>
              <w:tr2bl w:val="nil"/>
            </w:tcBorders>
            <w:noWrap w:val="0"/>
            <w:vAlign w:val="center"/>
          </w:tcPr>
          <w:p w14:paraId="19FD63B6">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0.13 </w:t>
            </w:r>
          </w:p>
        </w:tc>
        <w:tc>
          <w:tcPr>
            <w:tcW w:w="607" w:type="pct"/>
            <w:gridSpan w:val="2"/>
            <w:tcBorders>
              <w:tl2br w:val="nil"/>
              <w:tr2bl w:val="nil"/>
            </w:tcBorders>
            <w:noWrap w:val="0"/>
            <w:vAlign w:val="center"/>
          </w:tcPr>
          <w:p w14:paraId="05123114">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0.008 </w:t>
            </w:r>
          </w:p>
        </w:tc>
        <w:tc>
          <w:tcPr>
            <w:tcW w:w="686" w:type="pct"/>
            <w:gridSpan w:val="2"/>
            <w:vMerge w:val="continue"/>
            <w:tcBorders>
              <w:tl2br w:val="nil"/>
              <w:tr2bl w:val="nil"/>
            </w:tcBorders>
            <w:noWrap w:val="0"/>
            <w:vAlign w:val="top"/>
          </w:tcPr>
          <w:p w14:paraId="7C3C908C">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cs="Times New Roman"/>
                <w:color w:val="auto"/>
                <w:sz w:val="21"/>
                <w:szCs w:val="21"/>
                <w:vertAlign w:val="baseline"/>
              </w:rPr>
            </w:pPr>
          </w:p>
        </w:tc>
      </w:tr>
      <w:tr w14:paraId="39FFB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pct"/>
          <w:trHeight w:val="454" w:hRule="atLeast"/>
        </w:trPr>
        <w:tc>
          <w:tcPr>
            <w:tcW w:w="675" w:type="pct"/>
            <w:vMerge w:val="restart"/>
            <w:tcBorders>
              <w:tl2br w:val="nil"/>
              <w:tr2bl w:val="nil"/>
            </w:tcBorders>
            <w:noWrap w:val="0"/>
            <w:vAlign w:val="center"/>
          </w:tcPr>
          <w:p w14:paraId="1DAEBFB2">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2026.05.07</w:t>
            </w:r>
          </w:p>
        </w:tc>
        <w:tc>
          <w:tcPr>
            <w:tcW w:w="596" w:type="pct"/>
            <w:gridSpan w:val="3"/>
            <w:vMerge w:val="restart"/>
            <w:tcBorders>
              <w:tl2br w:val="nil"/>
              <w:tr2bl w:val="nil"/>
            </w:tcBorders>
            <w:noWrap w:val="0"/>
            <w:vAlign w:val="center"/>
          </w:tcPr>
          <w:p w14:paraId="234132CC">
            <w:pPr>
              <w:adjustRightInd/>
              <w:snapToGrid/>
              <w:spacing w:line="240" w:lineRule="auto"/>
              <w:ind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第</w:t>
            </w:r>
            <w:r>
              <w:rPr>
                <w:rFonts w:hint="eastAsia" w:ascii="Times New Roman" w:hAnsi="Times New Roman" w:cs="Times New Roman"/>
                <w:sz w:val="21"/>
                <w:szCs w:val="21"/>
                <w:vertAlign w:val="baseline"/>
                <w:lang w:val="en-US" w:eastAsia="zh-CN"/>
              </w:rPr>
              <w:t>2</w:t>
            </w:r>
            <w:r>
              <w:rPr>
                <w:rFonts w:hint="default" w:ascii="Times New Roman" w:hAnsi="Times New Roman" w:cs="Times New Roman"/>
                <w:sz w:val="21"/>
                <w:szCs w:val="21"/>
                <w:vertAlign w:val="baseline"/>
                <w:lang w:val="en-US" w:eastAsia="zh-CN"/>
              </w:rPr>
              <w:t>次</w:t>
            </w:r>
          </w:p>
        </w:tc>
        <w:tc>
          <w:tcPr>
            <w:tcW w:w="632" w:type="pct"/>
            <w:tcBorders>
              <w:tl2br w:val="nil"/>
              <w:tr2bl w:val="nil"/>
            </w:tcBorders>
            <w:noWrap w:val="0"/>
            <w:vAlign w:val="center"/>
          </w:tcPr>
          <w:p w14:paraId="5E31F9A3">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厂界</w:t>
            </w:r>
            <w:r>
              <w:rPr>
                <w:rFonts w:hint="default" w:ascii="Times New Roman" w:hAnsi="Times New Roman" w:cs="Times New Roman"/>
                <w:sz w:val="21"/>
                <w:szCs w:val="21"/>
                <w:vertAlign w:val="baseline"/>
                <w:lang w:val="en-US" w:eastAsia="zh-CN"/>
              </w:rPr>
              <w:t>上风向1#</w:t>
            </w:r>
          </w:p>
        </w:tc>
        <w:tc>
          <w:tcPr>
            <w:tcW w:w="600" w:type="pct"/>
            <w:gridSpan w:val="2"/>
            <w:tcBorders>
              <w:tl2br w:val="nil"/>
              <w:tr2bl w:val="nil"/>
            </w:tcBorders>
            <w:noWrap w:val="0"/>
            <w:vAlign w:val="center"/>
          </w:tcPr>
          <w:p w14:paraId="7DE031FA">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577" w:type="pct"/>
            <w:gridSpan w:val="2"/>
            <w:tcBorders>
              <w:tl2br w:val="nil"/>
              <w:tr2bl w:val="nil"/>
            </w:tcBorders>
            <w:noWrap w:val="0"/>
            <w:vAlign w:val="center"/>
          </w:tcPr>
          <w:p w14:paraId="0319DEDF">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622" w:type="pct"/>
            <w:tcBorders>
              <w:tl2br w:val="nil"/>
              <w:tr2bl w:val="nil"/>
            </w:tcBorders>
            <w:noWrap w:val="0"/>
            <w:vAlign w:val="center"/>
          </w:tcPr>
          <w:p w14:paraId="5F8C5D8B">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0.02 </w:t>
            </w:r>
          </w:p>
        </w:tc>
        <w:tc>
          <w:tcPr>
            <w:tcW w:w="607" w:type="pct"/>
            <w:gridSpan w:val="2"/>
            <w:tcBorders>
              <w:tl2br w:val="nil"/>
              <w:tr2bl w:val="nil"/>
            </w:tcBorders>
            <w:noWrap w:val="0"/>
            <w:vAlign w:val="center"/>
          </w:tcPr>
          <w:p w14:paraId="623F9602">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686" w:type="pct"/>
            <w:gridSpan w:val="2"/>
            <w:vMerge w:val="restart"/>
            <w:tcBorders>
              <w:tl2br w:val="nil"/>
              <w:tr2bl w:val="nil"/>
            </w:tcBorders>
            <w:noWrap w:val="0"/>
            <w:vAlign w:val="center"/>
          </w:tcPr>
          <w:p w14:paraId="0156ED49">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cs="Times New Roman"/>
                <w:color w:val="auto"/>
                <w:sz w:val="21"/>
                <w:szCs w:val="21"/>
                <w:vertAlign w:val="baseline"/>
                <w:lang w:val="en-US" w:eastAsia="zh-CN"/>
              </w:rPr>
              <w:t>天气：</w:t>
            </w:r>
            <w:r>
              <w:rPr>
                <w:rFonts w:hint="eastAsia" w:ascii="Times New Roman" w:hAnsi="Times New Roman" w:cs="Times New Roman"/>
                <w:color w:val="auto"/>
                <w:sz w:val="21"/>
                <w:szCs w:val="21"/>
                <w:vertAlign w:val="baseline"/>
                <w:lang w:val="en-US" w:eastAsia="zh-CN"/>
              </w:rPr>
              <w:t>多云</w:t>
            </w:r>
          </w:p>
          <w:p w14:paraId="19EE6B40">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cs="Times New Roman"/>
                <w:color w:val="auto"/>
                <w:sz w:val="21"/>
                <w:szCs w:val="21"/>
                <w:vertAlign w:val="baseline"/>
                <w:lang w:val="en-US" w:eastAsia="zh-CN"/>
              </w:rPr>
              <w:t>气温（℃）：</w:t>
            </w:r>
            <w:r>
              <w:rPr>
                <w:rFonts w:hint="eastAsia" w:ascii="Times New Roman" w:hAnsi="Times New Roman" w:cs="Times New Roman"/>
                <w:color w:val="auto"/>
                <w:sz w:val="21"/>
                <w:szCs w:val="21"/>
                <w:vertAlign w:val="baseline"/>
                <w:lang w:val="en-US" w:eastAsia="zh-CN"/>
              </w:rPr>
              <w:t xml:space="preserve">16.4 </w:t>
            </w:r>
          </w:p>
          <w:p w14:paraId="6AB2A94A">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cs="Times New Roman"/>
                <w:color w:val="auto"/>
                <w:sz w:val="21"/>
                <w:szCs w:val="21"/>
                <w:vertAlign w:val="baseline"/>
                <w:lang w:val="en-US" w:eastAsia="zh-CN"/>
              </w:rPr>
              <w:t>气压（kPa）：10</w:t>
            </w:r>
            <w:r>
              <w:rPr>
                <w:rFonts w:hint="eastAsia" w:ascii="Times New Roman" w:hAnsi="Times New Roman" w:cs="Times New Roman"/>
                <w:color w:val="auto"/>
                <w:sz w:val="21"/>
                <w:szCs w:val="21"/>
                <w:vertAlign w:val="baseline"/>
                <w:lang w:val="en-US" w:eastAsia="zh-CN"/>
              </w:rPr>
              <w:t>0.2</w:t>
            </w:r>
            <w:r>
              <w:rPr>
                <w:rFonts w:hint="default" w:ascii="Times New Roman" w:hAnsi="Times New Roman" w:cs="Times New Roman"/>
                <w:color w:val="auto"/>
                <w:sz w:val="21"/>
                <w:szCs w:val="21"/>
                <w:vertAlign w:val="baseline"/>
                <w:lang w:val="en-US" w:eastAsia="zh-CN"/>
              </w:rPr>
              <w:t xml:space="preserve"> </w:t>
            </w:r>
          </w:p>
          <w:p w14:paraId="3A7AB96A">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风速（m/s）：</w:t>
            </w:r>
            <w:r>
              <w:rPr>
                <w:rFonts w:hint="eastAsia" w:ascii="Times New Roman" w:hAnsi="Times New Roman" w:cs="Times New Roman"/>
                <w:color w:val="auto"/>
                <w:sz w:val="21"/>
                <w:szCs w:val="21"/>
                <w:vertAlign w:val="baseline"/>
                <w:lang w:val="en-US" w:eastAsia="zh-CN"/>
              </w:rPr>
              <w:t>2.4</w:t>
            </w:r>
          </w:p>
          <w:p w14:paraId="379F310C">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cs="Times New Roman"/>
                <w:color w:val="auto"/>
                <w:sz w:val="21"/>
                <w:szCs w:val="21"/>
                <w:vertAlign w:val="baseline"/>
              </w:rPr>
            </w:pPr>
            <w:r>
              <w:rPr>
                <w:rFonts w:hint="default" w:ascii="Times New Roman" w:hAnsi="Times New Roman" w:cs="Times New Roman"/>
                <w:color w:val="auto"/>
                <w:sz w:val="21"/>
                <w:szCs w:val="21"/>
                <w:vertAlign w:val="baseline"/>
                <w:lang w:val="en-US" w:eastAsia="zh-CN"/>
              </w:rPr>
              <w:t>风向：</w:t>
            </w:r>
            <w:r>
              <w:rPr>
                <w:rFonts w:hint="eastAsia" w:ascii="Times New Roman" w:hAnsi="Times New Roman" w:cs="Times New Roman"/>
                <w:color w:val="auto"/>
                <w:sz w:val="21"/>
                <w:szCs w:val="21"/>
                <w:vertAlign w:val="baseline"/>
                <w:lang w:val="en-US" w:eastAsia="zh-CN"/>
              </w:rPr>
              <w:t>SE</w:t>
            </w:r>
          </w:p>
        </w:tc>
      </w:tr>
      <w:tr w14:paraId="29FDA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pct"/>
          <w:trHeight w:val="454" w:hRule="atLeast"/>
        </w:trPr>
        <w:tc>
          <w:tcPr>
            <w:tcW w:w="675" w:type="pct"/>
            <w:vMerge w:val="continue"/>
            <w:tcBorders>
              <w:tl2br w:val="nil"/>
              <w:tr2bl w:val="nil"/>
            </w:tcBorders>
            <w:noWrap w:val="0"/>
            <w:vAlign w:val="center"/>
          </w:tcPr>
          <w:p w14:paraId="24839B27">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default" w:ascii="Times New Roman" w:hAnsi="Times New Roman" w:eastAsia="宋体" w:cs="Times New Roman"/>
                <w:sz w:val="21"/>
                <w:szCs w:val="21"/>
                <w:vertAlign w:val="baseline"/>
                <w:lang w:val="en-US" w:eastAsia="zh-CN"/>
              </w:rPr>
            </w:pPr>
          </w:p>
        </w:tc>
        <w:tc>
          <w:tcPr>
            <w:tcW w:w="596" w:type="pct"/>
            <w:gridSpan w:val="3"/>
            <w:vMerge w:val="continue"/>
            <w:tcBorders>
              <w:tl2br w:val="nil"/>
              <w:tr2bl w:val="nil"/>
            </w:tcBorders>
            <w:noWrap w:val="0"/>
            <w:vAlign w:val="top"/>
          </w:tcPr>
          <w:p w14:paraId="0A96F0D0">
            <w:pPr>
              <w:adjustRightInd/>
              <w:snapToGrid/>
              <w:spacing w:line="240" w:lineRule="auto"/>
              <w:ind w:firstLine="0" w:firstLineChars="0"/>
              <w:jc w:val="center"/>
              <w:rPr>
                <w:rFonts w:hint="default" w:ascii="Times New Roman" w:hAnsi="Times New Roman" w:cs="Times New Roman"/>
                <w:sz w:val="21"/>
                <w:szCs w:val="21"/>
                <w:vertAlign w:val="baseline"/>
                <w:lang w:val="en-US" w:eastAsia="zh-CN"/>
              </w:rPr>
            </w:pPr>
          </w:p>
        </w:tc>
        <w:tc>
          <w:tcPr>
            <w:tcW w:w="632" w:type="pct"/>
            <w:tcBorders>
              <w:tl2br w:val="nil"/>
              <w:tr2bl w:val="nil"/>
            </w:tcBorders>
            <w:noWrap w:val="0"/>
            <w:vAlign w:val="center"/>
          </w:tcPr>
          <w:p w14:paraId="7337BEC4">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厂界</w:t>
            </w:r>
            <w:r>
              <w:rPr>
                <w:rFonts w:hint="default" w:ascii="Times New Roman" w:hAnsi="Times New Roman" w:eastAsia="宋体" w:cs="Times New Roman"/>
                <w:sz w:val="21"/>
                <w:szCs w:val="21"/>
                <w:vertAlign w:val="baseline"/>
                <w:lang w:val="en-US" w:eastAsia="zh-CN"/>
              </w:rPr>
              <w:t>下风向2#</w:t>
            </w:r>
          </w:p>
        </w:tc>
        <w:tc>
          <w:tcPr>
            <w:tcW w:w="600" w:type="pct"/>
            <w:gridSpan w:val="2"/>
            <w:tcBorders>
              <w:tl2br w:val="nil"/>
              <w:tr2bl w:val="nil"/>
            </w:tcBorders>
            <w:noWrap w:val="0"/>
            <w:vAlign w:val="center"/>
          </w:tcPr>
          <w:p w14:paraId="3B300D2C">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577" w:type="pct"/>
            <w:gridSpan w:val="2"/>
            <w:tcBorders>
              <w:tl2br w:val="nil"/>
              <w:tr2bl w:val="nil"/>
            </w:tcBorders>
            <w:noWrap w:val="0"/>
            <w:vAlign w:val="center"/>
          </w:tcPr>
          <w:p w14:paraId="7608790D">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622" w:type="pct"/>
            <w:tcBorders>
              <w:tl2br w:val="nil"/>
              <w:tr2bl w:val="nil"/>
            </w:tcBorders>
            <w:noWrap w:val="0"/>
            <w:vAlign w:val="center"/>
          </w:tcPr>
          <w:p w14:paraId="4FCAA15C">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0.12 </w:t>
            </w:r>
          </w:p>
        </w:tc>
        <w:tc>
          <w:tcPr>
            <w:tcW w:w="607" w:type="pct"/>
            <w:gridSpan w:val="2"/>
            <w:tcBorders>
              <w:tl2br w:val="nil"/>
              <w:tr2bl w:val="nil"/>
            </w:tcBorders>
            <w:noWrap w:val="0"/>
            <w:vAlign w:val="center"/>
          </w:tcPr>
          <w:p w14:paraId="27AB68D6">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0.013 </w:t>
            </w:r>
          </w:p>
        </w:tc>
        <w:tc>
          <w:tcPr>
            <w:tcW w:w="686" w:type="pct"/>
            <w:gridSpan w:val="2"/>
            <w:vMerge w:val="continue"/>
            <w:tcBorders>
              <w:tl2br w:val="nil"/>
              <w:tr2bl w:val="nil"/>
            </w:tcBorders>
            <w:noWrap w:val="0"/>
            <w:vAlign w:val="center"/>
          </w:tcPr>
          <w:p w14:paraId="69DB0512">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cs="Times New Roman"/>
                <w:color w:val="auto"/>
                <w:sz w:val="21"/>
                <w:szCs w:val="21"/>
                <w:vertAlign w:val="baseline"/>
              </w:rPr>
            </w:pPr>
          </w:p>
        </w:tc>
      </w:tr>
      <w:tr w14:paraId="67B02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pct"/>
          <w:trHeight w:val="454" w:hRule="atLeast"/>
        </w:trPr>
        <w:tc>
          <w:tcPr>
            <w:tcW w:w="675" w:type="pct"/>
            <w:vMerge w:val="continue"/>
            <w:tcBorders>
              <w:tl2br w:val="nil"/>
              <w:tr2bl w:val="nil"/>
            </w:tcBorders>
            <w:noWrap w:val="0"/>
            <w:vAlign w:val="center"/>
          </w:tcPr>
          <w:p w14:paraId="79839D08">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default" w:ascii="Times New Roman" w:hAnsi="Times New Roman" w:eastAsia="宋体" w:cs="Times New Roman"/>
                <w:sz w:val="21"/>
                <w:szCs w:val="21"/>
                <w:vertAlign w:val="baseline"/>
                <w:lang w:val="en-US" w:eastAsia="zh-CN"/>
              </w:rPr>
            </w:pPr>
          </w:p>
        </w:tc>
        <w:tc>
          <w:tcPr>
            <w:tcW w:w="596" w:type="pct"/>
            <w:gridSpan w:val="3"/>
            <w:vMerge w:val="continue"/>
            <w:tcBorders>
              <w:tl2br w:val="nil"/>
              <w:tr2bl w:val="nil"/>
            </w:tcBorders>
            <w:noWrap w:val="0"/>
            <w:vAlign w:val="top"/>
          </w:tcPr>
          <w:p w14:paraId="7FC01347">
            <w:pPr>
              <w:adjustRightInd/>
              <w:snapToGrid/>
              <w:spacing w:line="240" w:lineRule="auto"/>
              <w:ind w:firstLine="0" w:firstLineChars="0"/>
              <w:jc w:val="center"/>
              <w:rPr>
                <w:rFonts w:hint="default" w:ascii="Times New Roman" w:hAnsi="Times New Roman" w:cs="Times New Roman"/>
                <w:sz w:val="21"/>
                <w:szCs w:val="21"/>
                <w:vertAlign w:val="baseline"/>
                <w:lang w:val="en-US" w:eastAsia="zh-CN"/>
              </w:rPr>
            </w:pPr>
          </w:p>
        </w:tc>
        <w:tc>
          <w:tcPr>
            <w:tcW w:w="632" w:type="pct"/>
            <w:tcBorders>
              <w:tl2br w:val="nil"/>
              <w:tr2bl w:val="nil"/>
            </w:tcBorders>
            <w:noWrap w:val="0"/>
            <w:vAlign w:val="center"/>
          </w:tcPr>
          <w:p w14:paraId="2FB709FC">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厂界</w:t>
            </w:r>
            <w:r>
              <w:rPr>
                <w:rFonts w:hint="default" w:ascii="Times New Roman" w:hAnsi="Times New Roman" w:eastAsia="宋体" w:cs="Times New Roman"/>
                <w:sz w:val="21"/>
                <w:szCs w:val="21"/>
                <w:vertAlign w:val="baseline"/>
                <w:lang w:val="en-US" w:eastAsia="zh-CN"/>
              </w:rPr>
              <w:t>下风向3#</w:t>
            </w:r>
          </w:p>
        </w:tc>
        <w:tc>
          <w:tcPr>
            <w:tcW w:w="600" w:type="pct"/>
            <w:gridSpan w:val="2"/>
            <w:tcBorders>
              <w:tl2br w:val="nil"/>
              <w:tr2bl w:val="nil"/>
            </w:tcBorders>
            <w:noWrap w:val="0"/>
            <w:vAlign w:val="center"/>
          </w:tcPr>
          <w:p w14:paraId="4674FDCF">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577" w:type="pct"/>
            <w:gridSpan w:val="2"/>
            <w:tcBorders>
              <w:tl2br w:val="nil"/>
              <w:tr2bl w:val="nil"/>
            </w:tcBorders>
            <w:noWrap w:val="0"/>
            <w:vAlign w:val="center"/>
          </w:tcPr>
          <w:p w14:paraId="1A1D4428">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622" w:type="pct"/>
            <w:tcBorders>
              <w:tl2br w:val="nil"/>
              <w:tr2bl w:val="nil"/>
            </w:tcBorders>
            <w:noWrap w:val="0"/>
            <w:vAlign w:val="center"/>
          </w:tcPr>
          <w:p w14:paraId="48CA60C9">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0.10 </w:t>
            </w:r>
          </w:p>
        </w:tc>
        <w:tc>
          <w:tcPr>
            <w:tcW w:w="607" w:type="pct"/>
            <w:gridSpan w:val="2"/>
            <w:tcBorders>
              <w:tl2br w:val="nil"/>
              <w:tr2bl w:val="nil"/>
            </w:tcBorders>
            <w:noWrap w:val="0"/>
            <w:vAlign w:val="center"/>
          </w:tcPr>
          <w:p w14:paraId="55B0D332">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0.010 </w:t>
            </w:r>
          </w:p>
        </w:tc>
        <w:tc>
          <w:tcPr>
            <w:tcW w:w="686" w:type="pct"/>
            <w:gridSpan w:val="2"/>
            <w:vMerge w:val="continue"/>
            <w:tcBorders>
              <w:tl2br w:val="nil"/>
              <w:tr2bl w:val="nil"/>
            </w:tcBorders>
            <w:noWrap w:val="0"/>
            <w:vAlign w:val="center"/>
          </w:tcPr>
          <w:p w14:paraId="0D60E23F">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cs="Times New Roman"/>
                <w:color w:val="auto"/>
                <w:sz w:val="21"/>
                <w:szCs w:val="21"/>
                <w:vertAlign w:val="baseline"/>
              </w:rPr>
            </w:pPr>
          </w:p>
        </w:tc>
      </w:tr>
      <w:tr w14:paraId="3ED65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pct"/>
          <w:trHeight w:val="454" w:hRule="atLeast"/>
        </w:trPr>
        <w:tc>
          <w:tcPr>
            <w:tcW w:w="675" w:type="pct"/>
            <w:vMerge w:val="continue"/>
            <w:tcBorders>
              <w:tl2br w:val="nil"/>
              <w:tr2bl w:val="nil"/>
            </w:tcBorders>
            <w:noWrap w:val="0"/>
            <w:vAlign w:val="center"/>
          </w:tcPr>
          <w:p w14:paraId="4B9AB1C2">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default" w:ascii="Times New Roman" w:hAnsi="Times New Roman" w:eastAsia="宋体" w:cs="Times New Roman"/>
                <w:sz w:val="21"/>
                <w:szCs w:val="21"/>
                <w:vertAlign w:val="baseline"/>
                <w:lang w:val="en-US" w:eastAsia="zh-CN"/>
              </w:rPr>
            </w:pPr>
          </w:p>
        </w:tc>
        <w:tc>
          <w:tcPr>
            <w:tcW w:w="596" w:type="pct"/>
            <w:gridSpan w:val="3"/>
            <w:vMerge w:val="continue"/>
            <w:tcBorders>
              <w:tl2br w:val="nil"/>
              <w:tr2bl w:val="nil"/>
            </w:tcBorders>
            <w:noWrap w:val="0"/>
            <w:vAlign w:val="top"/>
          </w:tcPr>
          <w:p w14:paraId="5CE35109">
            <w:pPr>
              <w:adjustRightInd/>
              <w:snapToGrid/>
              <w:spacing w:line="240" w:lineRule="auto"/>
              <w:ind w:firstLine="0" w:firstLineChars="0"/>
              <w:jc w:val="center"/>
              <w:rPr>
                <w:rFonts w:hint="default" w:ascii="Times New Roman" w:hAnsi="Times New Roman" w:cs="Times New Roman"/>
                <w:sz w:val="21"/>
                <w:szCs w:val="21"/>
                <w:vertAlign w:val="baseline"/>
                <w:lang w:val="en-US" w:eastAsia="zh-CN"/>
              </w:rPr>
            </w:pPr>
          </w:p>
        </w:tc>
        <w:tc>
          <w:tcPr>
            <w:tcW w:w="632" w:type="pct"/>
            <w:tcBorders>
              <w:tl2br w:val="nil"/>
              <w:tr2bl w:val="nil"/>
            </w:tcBorders>
            <w:noWrap w:val="0"/>
            <w:vAlign w:val="center"/>
          </w:tcPr>
          <w:p w14:paraId="11DDECF8">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厂界</w:t>
            </w:r>
            <w:r>
              <w:rPr>
                <w:rFonts w:hint="default" w:ascii="Times New Roman" w:hAnsi="Times New Roman" w:eastAsia="宋体" w:cs="Times New Roman"/>
                <w:sz w:val="21"/>
                <w:szCs w:val="21"/>
                <w:vertAlign w:val="baseline"/>
                <w:lang w:val="en-US" w:eastAsia="zh-CN"/>
              </w:rPr>
              <w:t>下风向4#</w:t>
            </w:r>
          </w:p>
        </w:tc>
        <w:tc>
          <w:tcPr>
            <w:tcW w:w="600" w:type="pct"/>
            <w:gridSpan w:val="2"/>
            <w:tcBorders>
              <w:tl2br w:val="nil"/>
              <w:tr2bl w:val="nil"/>
            </w:tcBorders>
            <w:noWrap w:val="0"/>
            <w:vAlign w:val="center"/>
          </w:tcPr>
          <w:p w14:paraId="46B9B806">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577" w:type="pct"/>
            <w:gridSpan w:val="2"/>
            <w:tcBorders>
              <w:tl2br w:val="nil"/>
              <w:tr2bl w:val="nil"/>
            </w:tcBorders>
            <w:noWrap w:val="0"/>
            <w:vAlign w:val="center"/>
          </w:tcPr>
          <w:p w14:paraId="7EA7DB8A">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622" w:type="pct"/>
            <w:tcBorders>
              <w:tl2br w:val="nil"/>
              <w:tr2bl w:val="nil"/>
            </w:tcBorders>
            <w:noWrap w:val="0"/>
            <w:vAlign w:val="center"/>
          </w:tcPr>
          <w:p w14:paraId="67BD8E1A">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0.12 </w:t>
            </w:r>
          </w:p>
        </w:tc>
        <w:tc>
          <w:tcPr>
            <w:tcW w:w="607" w:type="pct"/>
            <w:gridSpan w:val="2"/>
            <w:tcBorders>
              <w:tl2br w:val="nil"/>
              <w:tr2bl w:val="nil"/>
            </w:tcBorders>
            <w:noWrap w:val="0"/>
            <w:vAlign w:val="center"/>
          </w:tcPr>
          <w:p w14:paraId="7D77FFB7">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0.012 </w:t>
            </w:r>
          </w:p>
        </w:tc>
        <w:tc>
          <w:tcPr>
            <w:tcW w:w="686" w:type="pct"/>
            <w:gridSpan w:val="2"/>
            <w:vMerge w:val="continue"/>
            <w:tcBorders>
              <w:tl2br w:val="nil"/>
              <w:tr2bl w:val="nil"/>
            </w:tcBorders>
            <w:noWrap w:val="0"/>
            <w:vAlign w:val="center"/>
          </w:tcPr>
          <w:p w14:paraId="09F8B7B9">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cs="Times New Roman"/>
                <w:color w:val="auto"/>
                <w:sz w:val="21"/>
                <w:szCs w:val="21"/>
                <w:vertAlign w:val="baseline"/>
              </w:rPr>
            </w:pPr>
          </w:p>
        </w:tc>
      </w:tr>
      <w:tr w14:paraId="787D1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pct"/>
          <w:trHeight w:val="454" w:hRule="atLeast"/>
        </w:trPr>
        <w:tc>
          <w:tcPr>
            <w:tcW w:w="675" w:type="pct"/>
            <w:vMerge w:val="restart"/>
            <w:tcBorders>
              <w:tl2br w:val="nil"/>
              <w:tr2bl w:val="nil"/>
            </w:tcBorders>
            <w:noWrap w:val="0"/>
            <w:vAlign w:val="center"/>
          </w:tcPr>
          <w:p w14:paraId="6DE9F322">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2026.05.07</w:t>
            </w:r>
          </w:p>
        </w:tc>
        <w:tc>
          <w:tcPr>
            <w:tcW w:w="596" w:type="pct"/>
            <w:gridSpan w:val="3"/>
            <w:vMerge w:val="restart"/>
            <w:tcBorders>
              <w:tl2br w:val="nil"/>
              <w:tr2bl w:val="nil"/>
            </w:tcBorders>
            <w:noWrap w:val="0"/>
            <w:vAlign w:val="center"/>
          </w:tcPr>
          <w:p w14:paraId="53A9327B">
            <w:pPr>
              <w:adjustRightInd/>
              <w:snapToGrid/>
              <w:spacing w:line="240" w:lineRule="auto"/>
              <w:ind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第</w:t>
            </w:r>
            <w:r>
              <w:rPr>
                <w:rFonts w:hint="eastAsia" w:ascii="Times New Roman" w:hAnsi="Times New Roman" w:cs="Times New Roman"/>
                <w:sz w:val="21"/>
                <w:szCs w:val="21"/>
                <w:vertAlign w:val="baseline"/>
                <w:lang w:val="en-US" w:eastAsia="zh-CN"/>
              </w:rPr>
              <w:t>3</w:t>
            </w:r>
            <w:r>
              <w:rPr>
                <w:rFonts w:hint="default" w:ascii="Times New Roman" w:hAnsi="Times New Roman" w:cs="Times New Roman"/>
                <w:sz w:val="21"/>
                <w:szCs w:val="21"/>
                <w:vertAlign w:val="baseline"/>
                <w:lang w:val="en-US" w:eastAsia="zh-CN"/>
              </w:rPr>
              <w:t>次</w:t>
            </w:r>
          </w:p>
        </w:tc>
        <w:tc>
          <w:tcPr>
            <w:tcW w:w="632" w:type="pct"/>
            <w:tcBorders>
              <w:tl2br w:val="nil"/>
              <w:tr2bl w:val="nil"/>
            </w:tcBorders>
            <w:noWrap w:val="0"/>
            <w:vAlign w:val="center"/>
          </w:tcPr>
          <w:p w14:paraId="72C09FA9">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厂界</w:t>
            </w:r>
            <w:r>
              <w:rPr>
                <w:rFonts w:hint="default" w:ascii="Times New Roman" w:hAnsi="Times New Roman" w:cs="Times New Roman"/>
                <w:sz w:val="21"/>
                <w:szCs w:val="21"/>
                <w:vertAlign w:val="baseline"/>
                <w:lang w:val="en-US" w:eastAsia="zh-CN"/>
              </w:rPr>
              <w:t>上风向1#</w:t>
            </w:r>
          </w:p>
        </w:tc>
        <w:tc>
          <w:tcPr>
            <w:tcW w:w="600" w:type="pct"/>
            <w:gridSpan w:val="2"/>
            <w:tcBorders>
              <w:tl2br w:val="nil"/>
              <w:tr2bl w:val="nil"/>
            </w:tcBorders>
            <w:noWrap w:val="0"/>
            <w:vAlign w:val="center"/>
          </w:tcPr>
          <w:p w14:paraId="57589CFF">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577" w:type="pct"/>
            <w:gridSpan w:val="2"/>
            <w:tcBorders>
              <w:tl2br w:val="nil"/>
              <w:tr2bl w:val="nil"/>
            </w:tcBorders>
            <w:noWrap w:val="0"/>
            <w:vAlign w:val="center"/>
          </w:tcPr>
          <w:p w14:paraId="279D0F54">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622" w:type="pct"/>
            <w:tcBorders>
              <w:tl2br w:val="nil"/>
              <w:tr2bl w:val="nil"/>
            </w:tcBorders>
            <w:noWrap w:val="0"/>
            <w:vAlign w:val="center"/>
          </w:tcPr>
          <w:p w14:paraId="36DF5DF0">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0.03 </w:t>
            </w:r>
          </w:p>
        </w:tc>
        <w:tc>
          <w:tcPr>
            <w:tcW w:w="607" w:type="pct"/>
            <w:gridSpan w:val="2"/>
            <w:tcBorders>
              <w:tl2br w:val="nil"/>
              <w:tr2bl w:val="nil"/>
            </w:tcBorders>
            <w:noWrap w:val="0"/>
            <w:vAlign w:val="center"/>
          </w:tcPr>
          <w:p w14:paraId="108F26DC">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0.004 </w:t>
            </w:r>
          </w:p>
        </w:tc>
        <w:tc>
          <w:tcPr>
            <w:tcW w:w="686" w:type="pct"/>
            <w:gridSpan w:val="2"/>
            <w:vMerge w:val="restart"/>
            <w:tcBorders>
              <w:tl2br w:val="nil"/>
              <w:tr2bl w:val="nil"/>
            </w:tcBorders>
            <w:noWrap w:val="0"/>
            <w:vAlign w:val="center"/>
          </w:tcPr>
          <w:p w14:paraId="65AFCA3A">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cs="Times New Roman"/>
                <w:color w:val="auto"/>
                <w:sz w:val="21"/>
                <w:szCs w:val="21"/>
                <w:vertAlign w:val="baseline"/>
                <w:lang w:val="en-US" w:eastAsia="zh-CN"/>
              </w:rPr>
              <w:t>天气：</w:t>
            </w:r>
            <w:r>
              <w:rPr>
                <w:rFonts w:hint="eastAsia" w:ascii="Times New Roman" w:hAnsi="Times New Roman" w:cs="Times New Roman"/>
                <w:color w:val="auto"/>
                <w:sz w:val="21"/>
                <w:szCs w:val="21"/>
                <w:vertAlign w:val="baseline"/>
                <w:lang w:val="en-US" w:eastAsia="zh-CN"/>
              </w:rPr>
              <w:t>多云</w:t>
            </w:r>
          </w:p>
          <w:p w14:paraId="3BBA7638">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cs="Times New Roman"/>
                <w:color w:val="auto"/>
                <w:sz w:val="21"/>
                <w:szCs w:val="21"/>
                <w:vertAlign w:val="baseline"/>
                <w:lang w:val="en-US" w:eastAsia="zh-CN"/>
              </w:rPr>
              <w:t>气温（℃）：</w:t>
            </w:r>
            <w:r>
              <w:rPr>
                <w:rFonts w:hint="eastAsia" w:ascii="Times New Roman" w:hAnsi="Times New Roman" w:cs="Times New Roman"/>
                <w:color w:val="auto"/>
                <w:sz w:val="21"/>
                <w:szCs w:val="21"/>
                <w:vertAlign w:val="baseline"/>
                <w:lang w:val="en-US" w:eastAsia="zh-CN"/>
              </w:rPr>
              <w:t xml:space="preserve">18.3 </w:t>
            </w:r>
          </w:p>
          <w:p w14:paraId="7EF80813">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cs="Times New Roman"/>
                <w:color w:val="auto"/>
                <w:sz w:val="21"/>
                <w:szCs w:val="21"/>
                <w:vertAlign w:val="baseline"/>
                <w:lang w:val="en-US" w:eastAsia="zh-CN"/>
              </w:rPr>
              <w:t>气压（kPa）：10</w:t>
            </w:r>
            <w:r>
              <w:rPr>
                <w:rFonts w:hint="eastAsia" w:ascii="Times New Roman" w:hAnsi="Times New Roman" w:cs="Times New Roman"/>
                <w:color w:val="auto"/>
                <w:sz w:val="21"/>
                <w:szCs w:val="21"/>
                <w:vertAlign w:val="baseline"/>
                <w:lang w:val="en-US" w:eastAsia="zh-CN"/>
              </w:rPr>
              <w:t>0.1</w:t>
            </w:r>
          </w:p>
          <w:p w14:paraId="467EEE6A">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cs="Times New Roman"/>
                <w:color w:val="auto"/>
                <w:sz w:val="21"/>
                <w:szCs w:val="21"/>
                <w:vertAlign w:val="baseline"/>
                <w:lang w:val="en-US" w:eastAsia="zh-CN"/>
              </w:rPr>
              <w:t>风速（m/s）：</w:t>
            </w:r>
            <w:r>
              <w:rPr>
                <w:rFonts w:hint="eastAsia" w:ascii="Times New Roman" w:hAnsi="Times New Roman" w:cs="Times New Roman"/>
                <w:color w:val="auto"/>
                <w:sz w:val="21"/>
                <w:szCs w:val="21"/>
                <w:vertAlign w:val="baseline"/>
                <w:lang w:val="en-US" w:eastAsia="zh-CN"/>
              </w:rPr>
              <w:t>2.3</w:t>
            </w:r>
          </w:p>
          <w:p w14:paraId="7F30DCA3">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cs="Times New Roman"/>
                <w:color w:val="auto"/>
                <w:sz w:val="21"/>
                <w:szCs w:val="21"/>
                <w:vertAlign w:val="baseline"/>
              </w:rPr>
            </w:pPr>
            <w:r>
              <w:rPr>
                <w:rFonts w:hint="default" w:ascii="Times New Roman" w:hAnsi="Times New Roman" w:cs="Times New Roman"/>
                <w:color w:val="auto"/>
                <w:sz w:val="21"/>
                <w:szCs w:val="21"/>
                <w:vertAlign w:val="baseline"/>
                <w:lang w:val="en-US" w:eastAsia="zh-CN"/>
              </w:rPr>
              <w:t>风向：</w:t>
            </w:r>
            <w:r>
              <w:rPr>
                <w:rFonts w:hint="eastAsia" w:ascii="Times New Roman" w:hAnsi="Times New Roman" w:cs="Times New Roman"/>
                <w:color w:val="auto"/>
                <w:sz w:val="21"/>
                <w:szCs w:val="21"/>
                <w:vertAlign w:val="baseline"/>
                <w:lang w:val="en-US" w:eastAsia="zh-CN"/>
              </w:rPr>
              <w:t>SE</w:t>
            </w:r>
          </w:p>
        </w:tc>
      </w:tr>
      <w:tr w14:paraId="1963B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pct"/>
          <w:trHeight w:val="454" w:hRule="atLeast"/>
        </w:trPr>
        <w:tc>
          <w:tcPr>
            <w:tcW w:w="675" w:type="pct"/>
            <w:vMerge w:val="continue"/>
            <w:tcBorders>
              <w:tl2br w:val="nil"/>
              <w:tr2bl w:val="nil"/>
            </w:tcBorders>
            <w:noWrap w:val="0"/>
            <w:vAlign w:val="center"/>
          </w:tcPr>
          <w:p w14:paraId="7AB1D971">
            <w:pPr>
              <w:adjustRightInd/>
              <w:snapToGrid/>
              <w:spacing w:line="240" w:lineRule="auto"/>
              <w:ind w:firstLine="0" w:firstLineChars="0"/>
              <w:rPr>
                <w:rFonts w:hint="default" w:ascii="Times New Roman" w:hAnsi="Times New Roman" w:cs="Times New Roman"/>
                <w:sz w:val="21"/>
                <w:szCs w:val="21"/>
                <w:vertAlign w:val="baseline"/>
              </w:rPr>
            </w:pPr>
          </w:p>
        </w:tc>
        <w:tc>
          <w:tcPr>
            <w:tcW w:w="596" w:type="pct"/>
            <w:gridSpan w:val="3"/>
            <w:vMerge w:val="continue"/>
            <w:tcBorders>
              <w:tl2br w:val="nil"/>
              <w:tr2bl w:val="nil"/>
            </w:tcBorders>
            <w:noWrap w:val="0"/>
            <w:vAlign w:val="top"/>
          </w:tcPr>
          <w:p w14:paraId="58DB1F6D">
            <w:pPr>
              <w:adjustRightInd/>
              <w:snapToGrid/>
              <w:spacing w:line="240" w:lineRule="auto"/>
              <w:ind w:firstLine="0" w:firstLineChars="0"/>
              <w:jc w:val="center"/>
              <w:rPr>
                <w:rFonts w:hint="default" w:ascii="Times New Roman" w:hAnsi="Times New Roman" w:cs="Times New Roman"/>
                <w:sz w:val="21"/>
                <w:szCs w:val="21"/>
                <w:vertAlign w:val="baseline"/>
                <w:lang w:val="en-US" w:eastAsia="zh-CN"/>
              </w:rPr>
            </w:pPr>
          </w:p>
        </w:tc>
        <w:tc>
          <w:tcPr>
            <w:tcW w:w="632" w:type="pct"/>
            <w:tcBorders>
              <w:tl2br w:val="nil"/>
              <w:tr2bl w:val="nil"/>
            </w:tcBorders>
            <w:noWrap w:val="0"/>
            <w:vAlign w:val="center"/>
          </w:tcPr>
          <w:p w14:paraId="5CB9BEB7">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厂界</w:t>
            </w:r>
            <w:r>
              <w:rPr>
                <w:rFonts w:hint="default" w:ascii="Times New Roman" w:hAnsi="Times New Roman" w:eastAsia="宋体" w:cs="Times New Roman"/>
                <w:sz w:val="21"/>
                <w:szCs w:val="21"/>
                <w:vertAlign w:val="baseline"/>
                <w:lang w:val="en-US" w:eastAsia="zh-CN"/>
              </w:rPr>
              <w:t>下风向2#</w:t>
            </w:r>
          </w:p>
        </w:tc>
        <w:tc>
          <w:tcPr>
            <w:tcW w:w="600" w:type="pct"/>
            <w:gridSpan w:val="2"/>
            <w:tcBorders>
              <w:tl2br w:val="nil"/>
              <w:tr2bl w:val="nil"/>
            </w:tcBorders>
            <w:noWrap w:val="0"/>
            <w:vAlign w:val="center"/>
          </w:tcPr>
          <w:p w14:paraId="0F6AF527">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577" w:type="pct"/>
            <w:gridSpan w:val="2"/>
            <w:tcBorders>
              <w:tl2br w:val="nil"/>
              <w:tr2bl w:val="nil"/>
            </w:tcBorders>
            <w:noWrap w:val="0"/>
            <w:vAlign w:val="center"/>
          </w:tcPr>
          <w:p w14:paraId="1B8C7DCE">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622" w:type="pct"/>
            <w:tcBorders>
              <w:tl2br w:val="nil"/>
              <w:tr2bl w:val="nil"/>
            </w:tcBorders>
            <w:noWrap w:val="0"/>
            <w:vAlign w:val="center"/>
          </w:tcPr>
          <w:p w14:paraId="67127EBF">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0.09 </w:t>
            </w:r>
          </w:p>
        </w:tc>
        <w:tc>
          <w:tcPr>
            <w:tcW w:w="607" w:type="pct"/>
            <w:gridSpan w:val="2"/>
            <w:tcBorders>
              <w:tl2br w:val="nil"/>
              <w:tr2bl w:val="nil"/>
            </w:tcBorders>
            <w:noWrap w:val="0"/>
            <w:vAlign w:val="center"/>
          </w:tcPr>
          <w:p w14:paraId="4C307A9A">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0.010 </w:t>
            </w:r>
          </w:p>
        </w:tc>
        <w:tc>
          <w:tcPr>
            <w:tcW w:w="686" w:type="pct"/>
            <w:gridSpan w:val="2"/>
            <w:vMerge w:val="continue"/>
            <w:tcBorders>
              <w:tl2br w:val="nil"/>
              <w:tr2bl w:val="nil"/>
            </w:tcBorders>
            <w:noWrap w:val="0"/>
            <w:vAlign w:val="top"/>
          </w:tcPr>
          <w:p w14:paraId="6A14C953">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cs="Times New Roman"/>
                <w:color w:val="auto"/>
                <w:sz w:val="21"/>
                <w:szCs w:val="21"/>
                <w:vertAlign w:val="baseline"/>
              </w:rPr>
            </w:pPr>
          </w:p>
        </w:tc>
      </w:tr>
      <w:tr w14:paraId="78840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pct"/>
          <w:trHeight w:val="454" w:hRule="atLeast"/>
        </w:trPr>
        <w:tc>
          <w:tcPr>
            <w:tcW w:w="675" w:type="pct"/>
            <w:vMerge w:val="continue"/>
            <w:tcBorders>
              <w:tl2br w:val="nil"/>
              <w:tr2bl w:val="nil"/>
            </w:tcBorders>
            <w:noWrap w:val="0"/>
            <w:vAlign w:val="center"/>
          </w:tcPr>
          <w:p w14:paraId="176211E7">
            <w:pPr>
              <w:adjustRightInd/>
              <w:snapToGrid/>
              <w:spacing w:line="240" w:lineRule="auto"/>
              <w:ind w:firstLine="0" w:firstLineChars="0"/>
              <w:rPr>
                <w:rFonts w:hint="default" w:ascii="Times New Roman" w:hAnsi="Times New Roman" w:cs="Times New Roman"/>
                <w:sz w:val="21"/>
                <w:szCs w:val="21"/>
                <w:vertAlign w:val="baseline"/>
              </w:rPr>
            </w:pPr>
          </w:p>
        </w:tc>
        <w:tc>
          <w:tcPr>
            <w:tcW w:w="596" w:type="pct"/>
            <w:gridSpan w:val="3"/>
            <w:vMerge w:val="continue"/>
            <w:tcBorders>
              <w:tl2br w:val="nil"/>
              <w:tr2bl w:val="nil"/>
            </w:tcBorders>
            <w:noWrap w:val="0"/>
            <w:vAlign w:val="top"/>
          </w:tcPr>
          <w:p w14:paraId="373A2E80">
            <w:pPr>
              <w:adjustRightInd/>
              <w:snapToGrid/>
              <w:spacing w:line="240" w:lineRule="auto"/>
              <w:ind w:firstLine="0" w:firstLineChars="0"/>
              <w:jc w:val="center"/>
              <w:rPr>
                <w:rFonts w:hint="default" w:ascii="Times New Roman" w:hAnsi="Times New Roman" w:cs="Times New Roman"/>
                <w:sz w:val="21"/>
                <w:szCs w:val="21"/>
                <w:vertAlign w:val="baseline"/>
                <w:lang w:val="en-US" w:eastAsia="zh-CN"/>
              </w:rPr>
            </w:pPr>
          </w:p>
        </w:tc>
        <w:tc>
          <w:tcPr>
            <w:tcW w:w="632" w:type="pct"/>
            <w:tcBorders>
              <w:tl2br w:val="nil"/>
              <w:tr2bl w:val="nil"/>
            </w:tcBorders>
            <w:noWrap w:val="0"/>
            <w:vAlign w:val="center"/>
          </w:tcPr>
          <w:p w14:paraId="28C6E8AF">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厂界</w:t>
            </w:r>
            <w:r>
              <w:rPr>
                <w:rFonts w:hint="default" w:ascii="Times New Roman" w:hAnsi="Times New Roman" w:eastAsia="宋体" w:cs="Times New Roman"/>
                <w:sz w:val="21"/>
                <w:szCs w:val="21"/>
                <w:vertAlign w:val="baseline"/>
                <w:lang w:val="en-US" w:eastAsia="zh-CN"/>
              </w:rPr>
              <w:t>下风向3#</w:t>
            </w:r>
          </w:p>
        </w:tc>
        <w:tc>
          <w:tcPr>
            <w:tcW w:w="600" w:type="pct"/>
            <w:gridSpan w:val="2"/>
            <w:tcBorders>
              <w:tl2br w:val="nil"/>
              <w:tr2bl w:val="nil"/>
            </w:tcBorders>
            <w:noWrap w:val="0"/>
            <w:vAlign w:val="center"/>
          </w:tcPr>
          <w:p w14:paraId="5FF48E84">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577" w:type="pct"/>
            <w:gridSpan w:val="2"/>
            <w:tcBorders>
              <w:tl2br w:val="nil"/>
              <w:tr2bl w:val="nil"/>
            </w:tcBorders>
            <w:noWrap w:val="0"/>
            <w:vAlign w:val="center"/>
          </w:tcPr>
          <w:p w14:paraId="6A8CC4A4">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622" w:type="pct"/>
            <w:tcBorders>
              <w:tl2br w:val="nil"/>
              <w:tr2bl w:val="nil"/>
            </w:tcBorders>
            <w:noWrap w:val="0"/>
            <w:vAlign w:val="center"/>
          </w:tcPr>
          <w:p w14:paraId="4944F37F">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0.11 </w:t>
            </w:r>
          </w:p>
        </w:tc>
        <w:tc>
          <w:tcPr>
            <w:tcW w:w="607" w:type="pct"/>
            <w:gridSpan w:val="2"/>
            <w:tcBorders>
              <w:tl2br w:val="nil"/>
              <w:tr2bl w:val="nil"/>
            </w:tcBorders>
            <w:noWrap w:val="0"/>
            <w:vAlign w:val="center"/>
          </w:tcPr>
          <w:p w14:paraId="3408FB70">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0.011 </w:t>
            </w:r>
          </w:p>
        </w:tc>
        <w:tc>
          <w:tcPr>
            <w:tcW w:w="686" w:type="pct"/>
            <w:gridSpan w:val="2"/>
            <w:vMerge w:val="continue"/>
            <w:tcBorders>
              <w:tl2br w:val="nil"/>
              <w:tr2bl w:val="nil"/>
            </w:tcBorders>
            <w:noWrap w:val="0"/>
            <w:vAlign w:val="top"/>
          </w:tcPr>
          <w:p w14:paraId="28B8AAF5">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cs="Times New Roman"/>
                <w:color w:val="auto"/>
                <w:sz w:val="21"/>
                <w:szCs w:val="21"/>
                <w:vertAlign w:val="baseline"/>
              </w:rPr>
            </w:pPr>
          </w:p>
        </w:tc>
      </w:tr>
      <w:tr w14:paraId="55468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pct"/>
          <w:trHeight w:val="454" w:hRule="atLeast"/>
        </w:trPr>
        <w:tc>
          <w:tcPr>
            <w:tcW w:w="675" w:type="pct"/>
            <w:vMerge w:val="continue"/>
            <w:tcBorders>
              <w:tl2br w:val="nil"/>
              <w:tr2bl w:val="nil"/>
            </w:tcBorders>
            <w:noWrap w:val="0"/>
            <w:vAlign w:val="center"/>
          </w:tcPr>
          <w:p w14:paraId="084F5607">
            <w:pPr>
              <w:adjustRightInd/>
              <w:snapToGrid/>
              <w:spacing w:line="240" w:lineRule="auto"/>
              <w:ind w:firstLine="0" w:firstLineChars="0"/>
              <w:rPr>
                <w:rFonts w:hint="default" w:ascii="Times New Roman" w:hAnsi="Times New Roman" w:cs="Times New Roman"/>
                <w:sz w:val="21"/>
                <w:szCs w:val="21"/>
                <w:vertAlign w:val="baseline"/>
              </w:rPr>
            </w:pPr>
          </w:p>
        </w:tc>
        <w:tc>
          <w:tcPr>
            <w:tcW w:w="596" w:type="pct"/>
            <w:gridSpan w:val="3"/>
            <w:vMerge w:val="continue"/>
            <w:tcBorders>
              <w:tl2br w:val="nil"/>
              <w:tr2bl w:val="nil"/>
            </w:tcBorders>
            <w:noWrap w:val="0"/>
            <w:vAlign w:val="top"/>
          </w:tcPr>
          <w:p w14:paraId="280191DA">
            <w:pPr>
              <w:adjustRightInd/>
              <w:snapToGrid/>
              <w:spacing w:line="240" w:lineRule="auto"/>
              <w:ind w:firstLine="0" w:firstLineChars="0"/>
              <w:jc w:val="center"/>
              <w:rPr>
                <w:rFonts w:hint="default" w:ascii="Times New Roman" w:hAnsi="Times New Roman" w:cs="Times New Roman"/>
                <w:sz w:val="21"/>
                <w:szCs w:val="21"/>
                <w:vertAlign w:val="baseline"/>
                <w:lang w:val="en-US" w:eastAsia="zh-CN"/>
              </w:rPr>
            </w:pPr>
          </w:p>
        </w:tc>
        <w:tc>
          <w:tcPr>
            <w:tcW w:w="632" w:type="pct"/>
            <w:tcBorders>
              <w:tl2br w:val="nil"/>
              <w:tr2bl w:val="nil"/>
            </w:tcBorders>
            <w:noWrap w:val="0"/>
            <w:vAlign w:val="center"/>
          </w:tcPr>
          <w:p w14:paraId="0F9AE80E">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厂界</w:t>
            </w:r>
            <w:r>
              <w:rPr>
                <w:rFonts w:hint="default" w:ascii="Times New Roman" w:hAnsi="Times New Roman" w:eastAsia="宋体" w:cs="Times New Roman"/>
                <w:sz w:val="21"/>
                <w:szCs w:val="21"/>
                <w:vertAlign w:val="baseline"/>
                <w:lang w:val="en-US" w:eastAsia="zh-CN"/>
              </w:rPr>
              <w:t>下风向4#</w:t>
            </w:r>
          </w:p>
        </w:tc>
        <w:tc>
          <w:tcPr>
            <w:tcW w:w="600" w:type="pct"/>
            <w:gridSpan w:val="2"/>
            <w:tcBorders>
              <w:tl2br w:val="nil"/>
              <w:tr2bl w:val="nil"/>
            </w:tcBorders>
            <w:noWrap w:val="0"/>
            <w:vAlign w:val="center"/>
          </w:tcPr>
          <w:p w14:paraId="6AD9DE20">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577" w:type="pct"/>
            <w:gridSpan w:val="2"/>
            <w:tcBorders>
              <w:tl2br w:val="nil"/>
              <w:tr2bl w:val="nil"/>
            </w:tcBorders>
            <w:noWrap w:val="0"/>
            <w:vAlign w:val="center"/>
          </w:tcPr>
          <w:p w14:paraId="3F405D87">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622" w:type="pct"/>
            <w:tcBorders>
              <w:tl2br w:val="nil"/>
              <w:tr2bl w:val="nil"/>
            </w:tcBorders>
            <w:noWrap w:val="0"/>
            <w:vAlign w:val="center"/>
          </w:tcPr>
          <w:p w14:paraId="6C4A5AF2">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0.10 </w:t>
            </w:r>
          </w:p>
        </w:tc>
        <w:tc>
          <w:tcPr>
            <w:tcW w:w="607" w:type="pct"/>
            <w:gridSpan w:val="2"/>
            <w:tcBorders>
              <w:tl2br w:val="nil"/>
              <w:tr2bl w:val="nil"/>
            </w:tcBorders>
            <w:noWrap w:val="0"/>
            <w:vAlign w:val="center"/>
          </w:tcPr>
          <w:p w14:paraId="0E3FA636">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0.012 </w:t>
            </w:r>
          </w:p>
        </w:tc>
        <w:tc>
          <w:tcPr>
            <w:tcW w:w="686" w:type="pct"/>
            <w:gridSpan w:val="2"/>
            <w:vMerge w:val="continue"/>
            <w:tcBorders>
              <w:tl2br w:val="nil"/>
              <w:tr2bl w:val="nil"/>
            </w:tcBorders>
            <w:noWrap w:val="0"/>
            <w:vAlign w:val="top"/>
          </w:tcPr>
          <w:p w14:paraId="6A75344B">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cs="Times New Roman"/>
                <w:color w:val="auto"/>
                <w:sz w:val="21"/>
                <w:szCs w:val="21"/>
                <w:vertAlign w:val="baseline"/>
              </w:rPr>
            </w:pPr>
          </w:p>
        </w:tc>
      </w:tr>
      <w:tr w14:paraId="70D15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pct"/>
          <w:trHeight w:val="454" w:hRule="atLeast"/>
        </w:trPr>
        <w:tc>
          <w:tcPr>
            <w:tcW w:w="675" w:type="pct"/>
            <w:vMerge w:val="restart"/>
            <w:tcBorders>
              <w:tl2br w:val="nil"/>
              <w:tr2bl w:val="nil"/>
            </w:tcBorders>
            <w:noWrap w:val="0"/>
            <w:vAlign w:val="center"/>
          </w:tcPr>
          <w:p w14:paraId="122AFDF6">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default" w:ascii="Times New Roman" w:hAnsi="Times New Roman" w:cs="Times New Roman"/>
                <w:sz w:val="21"/>
                <w:szCs w:val="21"/>
                <w:vertAlign w:val="baseline"/>
                <w:lang w:val="en-US"/>
              </w:rPr>
            </w:pPr>
            <w:r>
              <w:rPr>
                <w:rFonts w:hint="eastAsia" w:ascii="Times New Roman" w:hAnsi="Times New Roman" w:cs="Times New Roman"/>
                <w:sz w:val="21"/>
                <w:szCs w:val="21"/>
                <w:vertAlign w:val="baseline"/>
                <w:lang w:val="en-US" w:eastAsia="zh-CN"/>
              </w:rPr>
              <w:t>2026.05.07</w:t>
            </w:r>
          </w:p>
        </w:tc>
        <w:tc>
          <w:tcPr>
            <w:tcW w:w="596" w:type="pct"/>
            <w:gridSpan w:val="3"/>
            <w:vMerge w:val="restart"/>
            <w:tcBorders>
              <w:tl2br w:val="nil"/>
              <w:tr2bl w:val="nil"/>
            </w:tcBorders>
            <w:noWrap w:val="0"/>
            <w:vAlign w:val="center"/>
          </w:tcPr>
          <w:p w14:paraId="353128A7">
            <w:pPr>
              <w:adjustRightInd/>
              <w:snapToGrid/>
              <w:spacing w:line="240" w:lineRule="auto"/>
              <w:ind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第</w:t>
            </w:r>
            <w:r>
              <w:rPr>
                <w:rFonts w:hint="eastAsia" w:ascii="Times New Roman" w:hAnsi="Times New Roman" w:cs="Times New Roman"/>
                <w:sz w:val="21"/>
                <w:szCs w:val="21"/>
                <w:vertAlign w:val="baseline"/>
                <w:lang w:val="en-US" w:eastAsia="zh-CN"/>
              </w:rPr>
              <w:t>4</w:t>
            </w:r>
            <w:r>
              <w:rPr>
                <w:rFonts w:hint="default" w:ascii="Times New Roman" w:hAnsi="Times New Roman" w:cs="Times New Roman"/>
                <w:sz w:val="21"/>
                <w:szCs w:val="21"/>
                <w:vertAlign w:val="baseline"/>
                <w:lang w:val="en-US" w:eastAsia="zh-CN"/>
              </w:rPr>
              <w:t>次</w:t>
            </w:r>
          </w:p>
        </w:tc>
        <w:tc>
          <w:tcPr>
            <w:tcW w:w="632" w:type="pct"/>
            <w:tcBorders>
              <w:tl2br w:val="nil"/>
              <w:tr2bl w:val="nil"/>
            </w:tcBorders>
            <w:noWrap w:val="0"/>
            <w:vAlign w:val="center"/>
          </w:tcPr>
          <w:p w14:paraId="757EBDD9">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eastAsia" w:ascii="Times New Roman" w:hAnsi="Times New Roman" w:eastAsia="宋体" w:cs="Times New Roman"/>
                <w:sz w:val="21"/>
                <w:szCs w:val="21"/>
                <w:vertAlign w:val="baseline"/>
                <w:lang w:val="en-US" w:eastAsia="zh-CN" w:bidi="ar-SA"/>
              </w:rPr>
            </w:pPr>
            <w:r>
              <w:rPr>
                <w:rFonts w:hint="eastAsia" w:ascii="Times New Roman" w:hAnsi="Times New Roman" w:cs="Times New Roman"/>
                <w:sz w:val="21"/>
                <w:szCs w:val="21"/>
                <w:vertAlign w:val="baseline"/>
                <w:lang w:val="en-US" w:eastAsia="zh-CN"/>
              </w:rPr>
              <w:t>厂界</w:t>
            </w:r>
            <w:r>
              <w:rPr>
                <w:rFonts w:hint="default" w:ascii="Times New Roman" w:hAnsi="Times New Roman" w:cs="Times New Roman"/>
                <w:sz w:val="21"/>
                <w:szCs w:val="21"/>
                <w:vertAlign w:val="baseline"/>
                <w:lang w:val="en-US" w:eastAsia="zh-CN"/>
              </w:rPr>
              <w:t>上风向1#</w:t>
            </w:r>
          </w:p>
        </w:tc>
        <w:tc>
          <w:tcPr>
            <w:tcW w:w="600" w:type="pct"/>
            <w:gridSpan w:val="2"/>
            <w:tcBorders>
              <w:tl2br w:val="nil"/>
              <w:tr2bl w:val="nil"/>
            </w:tcBorders>
            <w:noWrap w:val="0"/>
            <w:vAlign w:val="center"/>
          </w:tcPr>
          <w:p w14:paraId="53467DD8">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577" w:type="pct"/>
            <w:gridSpan w:val="2"/>
            <w:tcBorders>
              <w:tl2br w:val="nil"/>
              <w:tr2bl w:val="nil"/>
            </w:tcBorders>
            <w:noWrap w:val="0"/>
            <w:vAlign w:val="center"/>
          </w:tcPr>
          <w:p w14:paraId="5650BECF">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622" w:type="pct"/>
            <w:tcBorders>
              <w:tl2br w:val="nil"/>
              <w:tr2bl w:val="nil"/>
            </w:tcBorders>
            <w:noWrap w:val="0"/>
            <w:vAlign w:val="center"/>
          </w:tcPr>
          <w:p w14:paraId="4CB51E6F">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0.03 </w:t>
            </w:r>
          </w:p>
        </w:tc>
        <w:tc>
          <w:tcPr>
            <w:tcW w:w="607" w:type="pct"/>
            <w:gridSpan w:val="2"/>
            <w:tcBorders>
              <w:tl2br w:val="nil"/>
              <w:tr2bl w:val="nil"/>
            </w:tcBorders>
            <w:noWrap w:val="0"/>
            <w:vAlign w:val="center"/>
          </w:tcPr>
          <w:p w14:paraId="0B9F2C63">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686" w:type="pct"/>
            <w:gridSpan w:val="2"/>
            <w:vMerge w:val="restart"/>
            <w:tcBorders>
              <w:tl2br w:val="nil"/>
              <w:tr2bl w:val="nil"/>
            </w:tcBorders>
            <w:noWrap w:val="0"/>
            <w:vAlign w:val="center"/>
          </w:tcPr>
          <w:p w14:paraId="4711CFA8">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cs="Times New Roman"/>
                <w:color w:val="auto"/>
                <w:sz w:val="21"/>
                <w:szCs w:val="21"/>
                <w:vertAlign w:val="baseline"/>
                <w:lang w:val="en-US" w:eastAsia="zh-CN"/>
              </w:rPr>
              <w:t>天气：</w:t>
            </w:r>
            <w:r>
              <w:rPr>
                <w:rFonts w:hint="eastAsia" w:ascii="Times New Roman" w:hAnsi="Times New Roman" w:cs="Times New Roman"/>
                <w:color w:val="auto"/>
                <w:sz w:val="21"/>
                <w:szCs w:val="21"/>
                <w:vertAlign w:val="baseline"/>
                <w:lang w:val="en-US" w:eastAsia="zh-CN"/>
              </w:rPr>
              <w:t>多云</w:t>
            </w:r>
          </w:p>
          <w:p w14:paraId="25A49850">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eastAsia"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气温（℃）：</w:t>
            </w:r>
            <w:r>
              <w:rPr>
                <w:rFonts w:hint="eastAsia" w:ascii="Times New Roman" w:hAnsi="Times New Roman" w:cs="Times New Roman"/>
                <w:color w:val="auto"/>
                <w:sz w:val="21"/>
                <w:szCs w:val="21"/>
                <w:vertAlign w:val="baseline"/>
                <w:lang w:val="en-US" w:eastAsia="zh-CN"/>
              </w:rPr>
              <w:t xml:space="preserve">21.2 </w:t>
            </w:r>
          </w:p>
          <w:p w14:paraId="5C40EE5B">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气压（kPa）：1</w:t>
            </w:r>
            <w:r>
              <w:rPr>
                <w:rFonts w:hint="eastAsia" w:ascii="Times New Roman" w:hAnsi="Times New Roman" w:cs="Times New Roman"/>
                <w:color w:val="auto"/>
                <w:sz w:val="21"/>
                <w:szCs w:val="21"/>
                <w:vertAlign w:val="baseline"/>
                <w:lang w:val="en-US" w:eastAsia="zh-CN"/>
              </w:rPr>
              <w:t>00.0</w:t>
            </w:r>
          </w:p>
          <w:p w14:paraId="0D40B398">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cs="Times New Roman"/>
                <w:color w:val="auto"/>
                <w:sz w:val="21"/>
                <w:szCs w:val="21"/>
                <w:vertAlign w:val="baseline"/>
                <w:lang w:val="en-US" w:eastAsia="zh-CN"/>
              </w:rPr>
              <w:t>风速（m/s）：</w:t>
            </w:r>
            <w:r>
              <w:rPr>
                <w:rFonts w:hint="eastAsia" w:ascii="Times New Roman" w:hAnsi="Times New Roman" w:cs="Times New Roman"/>
                <w:color w:val="auto"/>
                <w:sz w:val="21"/>
                <w:szCs w:val="21"/>
                <w:vertAlign w:val="baseline"/>
                <w:lang w:val="en-US" w:eastAsia="zh-CN"/>
              </w:rPr>
              <w:t>2.5</w:t>
            </w:r>
          </w:p>
          <w:p w14:paraId="79CDB18D">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cs="Times New Roman"/>
                <w:color w:val="auto"/>
                <w:sz w:val="21"/>
                <w:szCs w:val="21"/>
                <w:vertAlign w:val="baseline"/>
              </w:rPr>
            </w:pPr>
            <w:r>
              <w:rPr>
                <w:rFonts w:hint="default" w:ascii="Times New Roman" w:hAnsi="Times New Roman" w:cs="Times New Roman"/>
                <w:color w:val="auto"/>
                <w:sz w:val="21"/>
                <w:szCs w:val="21"/>
                <w:vertAlign w:val="baseline"/>
                <w:lang w:val="en-US" w:eastAsia="zh-CN"/>
              </w:rPr>
              <w:t>风向：</w:t>
            </w:r>
            <w:r>
              <w:rPr>
                <w:rFonts w:hint="eastAsia" w:ascii="Times New Roman" w:hAnsi="Times New Roman" w:cs="Times New Roman"/>
                <w:color w:val="auto"/>
                <w:sz w:val="21"/>
                <w:szCs w:val="21"/>
                <w:vertAlign w:val="baseline"/>
                <w:lang w:val="en-US" w:eastAsia="zh-CN"/>
              </w:rPr>
              <w:t>SE</w:t>
            </w:r>
          </w:p>
        </w:tc>
      </w:tr>
      <w:tr w14:paraId="19FF7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pct"/>
          <w:trHeight w:val="454" w:hRule="atLeast"/>
        </w:trPr>
        <w:tc>
          <w:tcPr>
            <w:tcW w:w="675" w:type="pct"/>
            <w:vMerge w:val="continue"/>
            <w:tcBorders>
              <w:tl2br w:val="nil"/>
              <w:tr2bl w:val="nil"/>
            </w:tcBorders>
            <w:noWrap w:val="0"/>
            <w:vAlign w:val="center"/>
          </w:tcPr>
          <w:p w14:paraId="22CE25D2">
            <w:pPr>
              <w:adjustRightInd/>
              <w:snapToGrid/>
              <w:spacing w:line="240" w:lineRule="auto"/>
              <w:ind w:firstLine="0" w:firstLineChars="0"/>
              <w:rPr>
                <w:rFonts w:hint="default" w:ascii="Times New Roman" w:hAnsi="Times New Roman" w:cs="Times New Roman"/>
                <w:sz w:val="21"/>
                <w:szCs w:val="21"/>
                <w:vertAlign w:val="baseline"/>
              </w:rPr>
            </w:pPr>
          </w:p>
        </w:tc>
        <w:tc>
          <w:tcPr>
            <w:tcW w:w="596" w:type="pct"/>
            <w:gridSpan w:val="3"/>
            <w:vMerge w:val="continue"/>
            <w:tcBorders>
              <w:tl2br w:val="nil"/>
              <w:tr2bl w:val="nil"/>
            </w:tcBorders>
            <w:noWrap w:val="0"/>
            <w:vAlign w:val="top"/>
          </w:tcPr>
          <w:p w14:paraId="1C458345">
            <w:pPr>
              <w:adjustRightInd/>
              <w:snapToGrid/>
              <w:spacing w:line="240" w:lineRule="auto"/>
              <w:ind w:firstLine="0" w:firstLineChars="0"/>
              <w:jc w:val="center"/>
              <w:rPr>
                <w:rFonts w:hint="default" w:ascii="Times New Roman" w:hAnsi="Times New Roman" w:cs="Times New Roman"/>
                <w:sz w:val="21"/>
                <w:szCs w:val="21"/>
                <w:vertAlign w:val="baseline"/>
                <w:lang w:val="en-US" w:eastAsia="zh-CN"/>
              </w:rPr>
            </w:pPr>
          </w:p>
        </w:tc>
        <w:tc>
          <w:tcPr>
            <w:tcW w:w="632" w:type="pct"/>
            <w:tcBorders>
              <w:tl2br w:val="nil"/>
              <w:tr2bl w:val="nil"/>
            </w:tcBorders>
            <w:noWrap w:val="0"/>
            <w:vAlign w:val="center"/>
          </w:tcPr>
          <w:p w14:paraId="27CC0A80">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eastAsia" w:ascii="Times New Roman" w:hAnsi="Times New Roman" w:eastAsia="宋体" w:cs="Times New Roman"/>
                <w:sz w:val="21"/>
                <w:szCs w:val="21"/>
                <w:vertAlign w:val="baseline"/>
                <w:lang w:val="en-US" w:eastAsia="zh-CN" w:bidi="ar-SA"/>
              </w:rPr>
            </w:pPr>
            <w:r>
              <w:rPr>
                <w:rFonts w:hint="eastAsia" w:ascii="Times New Roman" w:hAnsi="Times New Roman" w:cs="Times New Roman"/>
                <w:sz w:val="21"/>
                <w:szCs w:val="21"/>
                <w:vertAlign w:val="baseline"/>
                <w:lang w:val="en-US" w:eastAsia="zh-CN"/>
              </w:rPr>
              <w:t>厂界</w:t>
            </w:r>
            <w:r>
              <w:rPr>
                <w:rFonts w:hint="default" w:ascii="Times New Roman" w:hAnsi="Times New Roman" w:eastAsia="宋体" w:cs="Times New Roman"/>
                <w:sz w:val="21"/>
                <w:szCs w:val="21"/>
                <w:vertAlign w:val="baseline"/>
                <w:lang w:val="en-US" w:eastAsia="zh-CN"/>
              </w:rPr>
              <w:t>下风向2#</w:t>
            </w:r>
          </w:p>
        </w:tc>
        <w:tc>
          <w:tcPr>
            <w:tcW w:w="600" w:type="pct"/>
            <w:gridSpan w:val="2"/>
            <w:tcBorders>
              <w:tl2br w:val="nil"/>
              <w:tr2bl w:val="nil"/>
            </w:tcBorders>
            <w:noWrap w:val="0"/>
            <w:vAlign w:val="center"/>
          </w:tcPr>
          <w:p w14:paraId="44AEEAC6">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577" w:type="pct"/>
            <w:gridSpan w:val="2"/>
            <w:tcBorders>
              <w:tl2br w:val="nil"/>
              <w:tr2bl w:val="nil"/>
            </w:tcBorders>
            <w:noWrap w:val="0"/>
            <w:vAlign w:val="center"/>
          </w:tcPr>
          <w:p w14:paraId="2A9E407D">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622" w:type="pct"/>
            <w:tcBorders>
              <w:tl2br w:val="nil"/>
              <w:tr2bl w:val="nil"/>
            </w:tcBorders>
            <w:noWrap w:val="0"/>
            <w:vAlign w:val="center"/>
          </w:tcPr>
          <w:p w14:paraId="2B2B0A48">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0.09 </w:t>
            </w:r>
          </w:p>
        </w:tc>
        <w:tc>
          <w:tcPr>
            <w:tcW w:w="607" w:type="pct"/>
            <w:gridSpan w:val="2"/>
            <w:tcBorders>
              <w:tl2br w:val="nil"/>
              <w:tr2bl w:val="nil"/>
            </w:tcBorders>
            <w:noWrap w:val="0"/>
            <w:vAlign w:val="center"/>
          </w:tcPr>
          <w:p w14:paraId="72219585">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0.011 </w:t>
            </w:r>
          </w:p>
        </w:tc>
        <w:tc>
          <w:tcPr>
            <w:tcW w:w="686" w:type="pct"/>
            <w:gridSpan w:val="2"/>
            <w:vMerge w:val="continue"/>
            <w:tcBorders>
              <w:tl2br w:val="nil"/>
              <w:tr2bl w:val="nil"/>
            </w:tcBorders>
            <w:noWrap w:val="0"/>
            <w:vAlign w:val="top"/>
          </w:tcPr>
          <w:p w14:paraId="65B61C7E">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cs="Times New Roman"/>
                <w:color w:val="auto"/>
                <w:sz w:val="21"/>
                <w:szCs w:val="21"/>
                <w:vertAlign w:val="baseline"/>
              </w:rPr>
            </w:pPr>
          </w:p>
        </w:tc>
      </w:tr>
      <w:tr w14:paraId="28595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pct"/>
          <w:trHeight w:val="454" w:hRule="atLeast"/>
        </w:trPr>
        <w:tc>
          <w:tcPr>
            <w:tcW w:w="675" w:type="pct"/>
            <w:vMerge w:val="continue"/>
            <w:tcBorders>
              <w:tl2br w:val="nil"/>
              <w:tr2bl w:val="nil"/>
            </w:tcBorders>
            <w:noWrap w:val="0"/>
            <w:vAlign w:val="center"/>
          </w:tcPr>
          <w:p w14:paraId="422512BA">
            <w:pPr>
              <w:adjustRightInd/>
              <w:snapToGrid/>
              <w:spacing w:line="240" w:lineRule="auto"/>
              <w:ind w:firstLine="0" w:firstLineChars="0"/>
              <w:rPr>
                <w:rFonts w:hint="default" w:ascii="Times New Roman" w:hAnsi="Times New Roman" w:cs="Times New Roman"/>
                <w:sz w:val="21"/>
                <w:szCs w:val="21"/>
                <w:vertAlign w:val="baseline"/>
              </w:rPr>
            </w:pPr>
          </w:p>
        </w:tc>
        <w:tc>
          <w:tcPr>
            <w:tcW w:w="596" w:type="pct"/>
            <w:gridSpan w:val="3"/>
            <w:vMerge w:val="continue"/>
            <w:tcBorders>
              <w:tl2br w:val="nil"/>
              <w:tr2bl w:val="nil"/>
            </w:tcBorders>
            <w:noWrap w:val="0"/>
            <w:vAlign w:val="top"/>
          </w:tcPr>
          <w:p w14:paraId="11A0AC82">
            <w:pPr>
              <w:adjustRightInd/>
              <w:snapToGrid/>
              <w:spacing w:line="240" w:lineRule="auto"/>
              <w:ind w:firstLine="0" w:firstLineChars="0"/>
              <w:jc w:val="center"/>
              <w:rPr>
                <w:rFonts w:hint="default" w:ascii="Times New Roman" w:hAnsi="Times New Roman" w:cs="Times New Roman"/>
                <w:sz w:val="21"/>
                <w:szCs w:val="21"/>
                <w:vertAlign w:val="baseline"/>
                <w:lang w:val="en-US" w:eastAsia="zh-CN"/>
              </w:rPr>
            </w:pPr>
          </w:p>
        </w:tc>
        <w:tc>
          <w:tcPr>
            <w:tcW w:w="632" w:type="pct"/>
            <w:tcBorders>
              <w:tl2br w:val="nil"/>
              <w:tr2bl w:val="nil"/>
            </w:tcBorders>
            <w:noWrap w:val="0"/>
            <w:vAlign w:val="center"/>
          </w:tcPr>
          <w:p w14:paraId="566B99D8">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eastAsia" w:ascii="Times New Roman" w:hAnsi="Times New Roman" w:eastAsia="宋体" w:cs="Times New Roman"/>
                <w:sz w:val="21"/>
                <w:szCs w:val="21"/>
                <w:vertAlign w:val="baseline"/>
                <w:lang w:val="en-US" w:eastAsia="zh-CN" w:bidi="ar-SA"/>
              </w:rPr>
            </w:pPr>
            <w:r>
              <w:rPr>
                <w:rFonts w:hint="eastAsia" w:ascii="Times New Roman" w:hAnsi="Times New Roman" w:cs="Times New Roman"/>
                <w:sz w:val="21"/>
                <w:szCs w:val="21"/>
                <w:vertAlign w:val="baseline"/>
                <w:lang w:val="en-US" w:eastAsia="zh-CN"/>
              </w:rPr>
              <w:t>厂界</w:t>
            </w:r>
            <w:r>
              <w:rPr>
                <w:rFonts w:hint="default" w:ascii="Times New Roman" w:hAnsi="Times New Roman" w:eastAsia="宋体" w:cs="Times New Roman"/>
                <w:sz w:val="21"/>
                <w:szCs w:val="21"/>
                <w:vertAlign w:val="baseline"/>
                <w:lang w:val="en-US" w:eastAsia="zh-CN"/>
              </w:rPr>
              <w:t>下风向3#</w:t>
            </w:r>
          </w:p>
        </w:tc>
        <w:tc>
          <w:tcPr>
            <w:tcW w:w="600" w:type="pct"/>
            <w:gridSpan w:val="2"/>
            <w:tcBorders>
              <w:tl2br w:val="nil"/>
              <w:tr2bl w:val="nil"/>
            </w:tcBorders>
            <w:noWrap w:val="0"/>
            <w:vAlign w:val="center"/>
          </w:tcPr>
          <w:p w14:paraId="0B14A32B">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577" w:type="pct"/>
            <w:gridSpan w:val="2"/>
            <w:tcBorders>
              <w:tl2br w:val="nil"/>
              <w:tr2bl w:val="nil"/>
            </w:tcBorders>
            <w:noWrap w:val="0"/>
            <w:vAlign w:val="center"/>
          </w:tcPr>
          <w:p w14:paraId="55B000C0">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622" w:type="pct"/>
            <w:tcBorders>
              <w:tl2br w:val="nil"/>
              <w:tr2bl w:val="nil"/>
            </w:tcBorders>
            <w:noWrap w:val="0"/>
            <w:vAlign w:val="center"/>
          </w:tcPr>
          <w:p w14:paraId="555410CD">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0.09 </w:t>
            </w:r>
          </w:p>
        </w:tc>
        <w:tc>
          <w:tcPr>
            <w:tcW w:w="607" w:type="pct"/>
            <w:gridSpan w:val="2"/>
            <w:tcBorders>
              <w:tl2br w:val="nil"/>
              <w:tr2bl w:val="nil"/>
            </w:tcBorders>
            <w:noWrap w:val="0"/>
            <w:vAlign w:val="center"/>
          </w:tcPr>
          <w:p w14:paraId="638A8A11">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0.011 </w:t>
            </w:r>
          </w:p>
        </w:tc>
        <w:tc>
          <w:tcPr>
            <w:tcW w:w="686" w:type="pct"/>
            <w:gridSpan w:val="2"/>
            <w:vMerge w:val="continue"/>
            <w:tcBorders>
              <w:tl2br w:val="nil"/>
              <w:tr2bl w:val="nil"/>
            </w:tcBorders>
            <w:noWrap w:val="0"/>
            <w:vAlign w:val="top"/>
          </w:tcPr>
          <w:p w14:paraId="377C97B0">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cs="Times New Roman"/>
                <w:color w:val="auto"/>
                <w:sz w:val="21"/>
                <w:szCs w:val="21"/>
                <w:vertAlign w:val="baseline"/>
              </w:rPr>
            </w:pPr>
          </w:p>
        </w:tc>
      </w:tr>
      <w:tr w14:paraId="52695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 w:type="pct"/>
          <w:trHeight w:val="454" w:hRule="atLeast"/>
        </w:trPr>
        <w:tc>
          <w:tcPr>
            <w:tcW w:w="675" w:type="pct"/>
            <w:vMerge w:val="continue"/>
            <w:tcBorders>
              <w:tl2br w:val="nil"/>
              <w:tr2bl w:val="nil"/>
            </w:tcBorders>
            <w:noWrap w:val="0"/>
            <w:vAlign w:val="center"/>
          </w:tcPr>
          <w:p w14:paraId="42069630">
            <w:pPr>
              <w:adjustRightInd/>
              <w:snapToGrid/>
              <w:spacing w:line="240" w:lineRule="auto"/>
              <w:ind w:firstLine="0" w:firstLineChars="0"/>
              <w:rPr>
                <w:rFonts w:hint="default" w:ascii="Times New Roman" w:hAnsi="Times New Roman" w:cs="Times New Roman"/>
                <w:sz w:val="21"/>
                <w:szCs w:val="21"/>
                <w:vertAlign w:val="baseline"/>
              </w:rPr>
            </w:pPr>
          </w:p>
        </w:tc>
        <w:tc>
          <w:tcPr>
            <w:tcW w:w="596" w:type="pct"/>
            <w:gridSpan w:val="3"/>
            <w:vMerge w:val="continue"/>
            <w:tcBorders>
              <w:tl2br w:val="nil"/>
              <w:tr2bl w:val="nil"/>
            </w:tcBorders>
            <w:noWrap w:val="0"/>
            <w:vAlign w:val="top"/>
          </w:tcPr>
          <w:p w14:paraId="25159D90">
            <w:pPr>
              <w:adjustRightInd/>
              <w:snapToGrid/>
              <w:spacing w:line="240" w:lineRule="auto"/>
              <w:ind w:firstLine="0" w:firstLineChars="0"/>
              <w:jc w:val="center"/>
              <w:rPr>
                <w:rFonts w:hint="default" w:ascii="Times New Roman" w:hAnsi="Times New Roman" w:cs="Times New Roman"/>
                <w:sz w:val="21"/>
                <w:szCs w:val="21"/>
                <w:vertAlign w:val="baseline"/>
                <w:lang w:val="en-US" w:eastAsia="zh-CN"/>
              </w:rPr>
            </w:pPr>
          </w:p>
        </w:tc>
        <w:tc>
          <w:tcPr>
            <w:tcW w:w="632" w:type="pct"/>
            <w:tcBorders>
              <w:tl2br w:val="nil"/>
              <w:tr2bl w:val="nil"/>
            </w:tcBorders>
            <w:noWrap w:val="0"/>
            <w:vAlign w:val="center"/>
          </w:tcPr>
          <w:p w14:paraId="69D1C9EC">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eastAsia" w:ascii="Times New Roman" w:hAnsi="Times New Roman" w:eastAsia="宋体" w:cs="Times New Roman"/>
                <w:sz w:val="21"/>
                <w:szCs w:val="21"/>
                <w:vertAlign w:val="baseline"/>
                <w:lang w:val="en-US" w:eastAsia="zh-CN" w:bidi="ar-SA"/>
              </w:rPr>
            </w:pPr>
            <w:r>
              <w:rPr>
                <w:rFonts w:hint="eastAsia" w:ascii="Times New Roman" w:hAnsi="Times New Roman" w:cs="Times New Roman"/>
                <w:sz w:val="21"/>
                <w:szCs w:val="21"/>
                <w:vertAlign w:val="baseline"/>
                <w:lang w:val="en-US" w:eastAsia="zh-CN"/>
              </w:rPr>
              <w:t>厂界</w:t>
            </w:r>
            <w:r>
              <w:rPr>
                <w:rFonts w:hint="default" w:ascii="Times New Roman" w:hAnsi="Times New Roman" w:eastAsia="宋体" w:cs="Times New Roman"/>
                <w:sz w:val="21"/>
                <w:szCs w:val="21"/>
                <w:vertAlign w:val="baseline"/>
                <w:lang w:val="en-US" w:eastAsia="zh-CN"/>
              </w:rPr>
              <w:t>下风向4#</w:t>
            </w:r>
          </w:p>
        </w:tc>
        <w:tc>
          <w:tcPr>
            <w:tcW w:w="600" w:type="pct"/>
            <w:gridSpan w:val="2"/>
            <w:tcBorders>
              <w:tl2br w:val="nil"/>
              <w:tr2bl w:val="nil"/>
            </w:tcBorders>
            <w:noWrap w:val="0"/>
            <w:vAlign w:val="center"/>
          </w:tcPr>
          <w:p w14:paraId="7A6AC736">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577" w:type="pct"/>
            <w:gridSpan w:val="2"/>
            <w:tcBorders>
              <w:tl2br w:val="nil"/>
              <w:tr2bl w:val="nil"/>
            </w:tcBorders>
            <w:noWrap w:val="0"/>
            <w:vAlign w:val="center"/>
          </w:tcPr>
          <w:p w14:paraId="0F094502">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622" w:type="pct"/>
            <w:tcBorders>
              <w:tl2br w:val="nil"/>
              <w:tr2bl w:val="nil"/>
            </w:tcBorders>
            <w:noWrap w:val="0"/>
            <w:vAlign w:val="center"/>
          </w:tcPr>
          <w:p w14:paraId="3E4ABACF">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0.07 </w:t>
            </w:r>
          </w:p>
        </w:tc>
        <w:tc>
          <w:tcPr>
            <w:tcW w:w="607" w:type="pct"/>
            <w:gridSpan w:val="2"/>
            <w:tcBorders>
              <w:tl2br w:val="nil"/>
              <w:tr2bl w:val="nil"/>
            </w:tcBorders>
            <w:noWrap w:val="0"/>
            <w:vAlign w:val="center"/>
          </w:tcPr>
          <w:p w14:paraId="0DD26208">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0.011 </w:t>
            </w:r>
          </w:p>
        </w:tc>
        <w:tc>
          <w:tcPr>
            <w:tcW w:w="686" w:type="pct"/>
            <w:gridSpan w:val="2"/>
            <w:vMerge w:val="continue"/>
            <w:tcBorders>
              <w:tl2br w:val="nil"/>
              <w:tr2bl w:val="nil"/>
            </w:tcBorders>
            <w:noWrap w:val="0"/>
            <w:vAlign w:val="top"/>
          </w:tcPr>
          <w:p w14:paraId="3BF0F11E">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cs="Times New Roman"/>
                <w:color w:val="auto"/>
                <w:sz w:val="21"/>
                <w:szCs w:val="21"/>
                <w:vertAlign w:val="baseline"/>
              </w:rPr>
            </w:pPr>
          </w:p>
        </w:tc>
      </w:tr>
      <w:tr w14:paraId="22241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pct"/>
            <w:gridSpan w:val="2"/>
            <w:vMerge w:val="restart"/>
            <w:tcBorders>
              <w:tl2br w:val="nil"/>
              <w:tr2bl w:val="nil"/>
            </w:tcBorders>
            <w:noWrap w:val="0"/>
            <w:vAlign w:val="center"/>
          </w:tcPr>
          <w:p w14:paraId="29C010A1">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2026.05.31</w:t>
            </w:r>
          </w:p>
        </w:tc>
        <w:tc>
          <w:tcPr>
            <w:tcW w:w="594" w:type="pct"/>
            <w:vMerge w:val="restart"/>
            <w:tcBorders>
              <w:tl2br w:val="nil"/>
              <w:tr2bl w:val="nil"/>
            </w:tcBorders>
            <w:noWrap w:val="0"/>
            <w:vAlign w:val="center"/>
          </w:tcPr>
          <w:p w14:paraId="69999AF5">
            <w:pPr>
              <w:adjustRightInd/>
              <w:snapToGrid/>
              <w:spacing w:line="240" w:lineRule="auto"/>
              <w:ind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第1次</w:t>
            </w:r>
          </w:p>
        </w:tc>
        <w:tc>
          <w:tcPr>
            <w:tcW w:w="636" w:type="pct"/>
            <w:gridSpan w:val="3"/>
            <w:tcBorders>
              <w:tl2br w:val="nil"/>
              <w:tr2bl w:val="nil"/>
            </w:tcBorders>
            <w:noWrap w:val="0"/>
            <w:vAlign w:val="center"/>
          </w:tcPr>
          <w:p w14:paraId="728E5392">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厂界</w:t>
            </w:r>
            <w:r>
              <w:rPr>
                <w:rFonts w:hint="default" w:ascii="Times New Roman" w:hAnsi="Times New Roman" w:cs="Times New Roman"/>
                <w:sz w:val="21"/>
                <w:szCs w:val="21"/>
                <w:vertAlign w:val="baseline"/>
                <w:lang w:val="en-US" w:eastAsia="zh-CN"/>
              </w:rPr>
              <w:t>上风向1#</w:t>
            </w:r>
          </w:p>
        </w:tc>
        <w:tc>
          <w:tcPr>
            <w:tcW w:w="600" w:type="pct"/>
            <w:gridSpan w:val="2"/>
            <w:tcBorders>
              <w:tl2br w:val="nil"/>
              <w:tr2bl w:val="nil"/>
            </w:tcBorders>
            <w:noWrap w:val="0"/>
            <w:vAlign w:val="center"/>
          </w:tcPr>
          <w:p w14:paraId="086B4BD1">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574" w:type="pct"/>
            <w:tcBorders>
              <w:tl2br w:val="nil"/>
              <w:tr2bl w:val="nil"/>
            </w:tcBorders>
            <w:noWrap w:val="0"/>
            <w:vAlign w:val="center"/>
          </w:tcPr>
          <w:p w14:paraId="2B63C502">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625" w:type="pct"/>
            <w:gridSpan w:val="2"/>
            <w:tcBorders>
              <w:tl2br w:val="nil"/>
              <w:tr2bl w:val="nil"/>
            </w:tcBorders>
            <w:noWrap w:val="0"/>
            <w:vAlign w:val="center"/>
          </w:tcPr>
          <w:p w14:paraId="4A8859F9">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0.02</w:t>
            </w:r>
          </w:p>
        </w:tc>
        <w:tc>
          <w:tcPr>
            <w:tcW w:w="606" w:type="pct"/>
            <w:gridSpan w:val="2"/>
            <w:tcBorders>
              <w:tl2br w:val="nil"/>
              <w:tr2bl w:val="nil"/>
            </w:tcBorders>
            <w:noWrap w:val="0"/>
            <w:vAlign w:val="center"/>
          </w:tcPr>
          <w:p w14:paraId="4AA113DA">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686" w:type="pct"/>
            <w:gridSpan w:val="2"/>
            <w:vMerge w:val="restart"/>
            <w:tcBorders>
              <w:tl2br w:val="nil"/>
              <w:tr2bl w:val="nil"/>
            </w:tcBorders>
            <w:noWrap w:val="0"/>
            <w:vAlign w:val="center"/>
          </w:tcPr>
          <w:p w14:paraId="5B44C936">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cs="Times New Roman"/>
                <w:color w:val="auto"/>
                <w:sz w:val="21"/>
                <w:szCs w:val="21"/>
                <w:vertAlign w:val="baseline"/>
                <w:lang w:val="en-US" w:eastAsia="zh-CN"/>
              </w:rPr>
              <w:t>天气：</w:t>
            </w:r>
            <w:r>
              <w:rPr>
                <w:rFonts w:hint="eastAsia" w:ascii="Times New Roman" w:hAnsi="Times New Roman" w:cs="Times New Roman"/>
                <w:color w:val="auto"/>
                <w:sz w:val="21"/>
                <w:szCs w:val="21"/>
                <w:vertAlign w:val="baseline"/>
                <w:lang w:val="en-US" w:eastAsia="zh-CN"/>
              </w:rPr>
              <w:t>多云</w:t>
            </w:r>
          </w:p>
          <w:p w14:paraId="0D9D106D">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eastAsia"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气温（℃）：</w:t>
            </w:r>
            <w:r>
              <w:rPr>
                <w:rFonts w:hint="eastAsia" w:ascii="Times New Roman" w:hAnsi="Times New Roman" w:cs="Times New Roman"/>
                <w:color w:val="auto"/>
                <w:sz w:val="21"/>
                <w:szCs w:val="21"/>
                <w:vertAlign w:val="baseline"/>
                <w:lang w:val="en-US" w:eastAsia="zh-CN"/>
              </w:rPr>
              <w:t xml:space="preserve">22.7 </w:t>
            </w:r>
          </w:p>
          <w:p w14:paraId="0E170B3F">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气压（kPa）：</w:t>
            </w:r>
            <w:r>
              <w:rPr>
                <w:rFonts w:hint="eastAsia" w:ascii="Times New Roman" w:hAnsi="Times New Roman" w:cs="Times New Roman"/>
                <w:color w:val="auto"/>
                <w:sz w:val="21"/>
                <w:szCs w:val="21"/>
                <w:vertAlign w:val="baseline"/>
                <w:lang w:val="en-US" w:eastAsia="zh-CN"/>
              </w:rPr>
              <w:t>100.6</w:t>
            </w:r>
          </w:p>
          <w:p w14:paraId="4B4CF966">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cs="Times New Roman"/>
                <w:color w:val="auto"/>
                <w:sz w:val="21"/>
                <w:szCs w:val="21"/>
                <w:vertAlign w:val="baseline"/>
                <w:lang w:val="en-US" w:eastAsia="zh-CN"/>
              </w:rPr>
              <w:t>风速（m/s）：</w:t>
            </w:r>
            <w:r>
              <w:rPr>
                <w:rFonts w:hint="eastAsia" w:ascii="Times New Roman" w:hAnsi="Times New Roman" w:cs="Times New Roman"/>
                <w:color w:val="auto"/>
                <w:sz w:val="21"/>
                <w:szCs w:val="21"/>
                <w:vertAlign w:val="baseline"/>
                <w:lang w:val="en-US" w:eastAsia="zh-CN"/>
              </w:rPr>
              <w:t>1.9</w:t>
            </w:r>
          </w:p>
          <w:p w14:paraId="1E25D1AE">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cs="Times New Roman"/>
                <w:color w:val="auto"/>
                <w:sz w:val="21"/>
                <w:szCs w:val="21"/>
                <w:vertAlign w:val="baseline"/>
                <w:lang w:val="en-US"/>
              </w:rPr>
            </w:pPr>
            <w:r>
              <w:rPr>
                <w:rFonts w:hint="default" w:ascii="Times New Roman" w:hAnsi="Times New Roman" w:cs="Times New Roman"/>
                <w:color w:val="auto"/>
                <w:sz w:val="21"/>
                <w:szCs w:val="21"/>
                <w:vertAlign w:val="baseline"/>
                <w:lang w:val="en-US" w:eastAsia="zh-CN"/>
              </w:rPr>
              <w:t>风向：</w:t>
            </w:r>
            <w:r>
              <w:rPr>
                <w:rFonts w:hint="eastAsia" w:ascii="Times New Roman" w:hAnsi="Times New Roman" w:cs="Times New Roman"/>
                <w:color w:val="auto"/>
                <w:sz w:val="21"/>
                <w:szCs w:val="21"/>
                <w:vertAlign w:val="baseline"/>
                <w:lang w:val="en-US" w:eastAsia="zh-CN"/>
              </w:rPr>
              <w:t>SE</w:t>
            </w:r>
          </w:p>
        </w:tc>
      </w:tr>
      <w:tr w14:paraId="1F016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pct"/>
            <w:gridSpan w:val="2"/>
            <w:vMerge w:val="continue"/>
            <w:tcBorders>
              <w:tl2br w:val="nil"/>
              <w:tr2bl w:val="nil"/>
            </w:tcBorders>
            <w:noWrap w:val="0"/>
            <w:vAlign w:val="center"/>
          </w:tcPr>
          <w:p w14:paraId="30646253">
            <w:pPr>
              <w:adjustRightInd/>
              <w:snapToGrid/>
              <w:spacing w:line="240" w:lineRule="auto"/>
              <w:ind w:firstLine="0" w:firstLineChars="0"/>
              <w:jc w:val="center"/>
              <w:rPr>
                <w:rFonts w:hint="default" w:ascii="Times New Roman" w:hAnsi="Times New Roman" w:cs="Times New Roman"/>
                <w:sz w:val="21"/>
                <w:szCs w:val="21"/>
                <w:vertAlign w:val="baseline"/>
              </w:rPr>
            </w:pPr>
          </w:p>
        </w:tc>
        <w:tc>
          <w:tcPr>
            <w:tcW w:w="594" w:type="pct"/>
            <w:vMerge w:val="continue"/>
            <w:tcBorders>
              <w:tl2br w:val="nil"/>
              <w:tr2bl w:val="nil"/>
            </w:tcBorders>
            <w:noWrap w:val="0"/>
            <w:vAlign w:val="top"/>
          </w:tcPr>
          <w:p w14:paraId="6843A5A3">
            <w:pPr>
              <w:adjustRightInd/>
              <w:snapToGrid/>
              <w:spacing w:line="240" w:lineRule="auto"/>
              <w:ind w:firstLine="0" w:firstLineChars="0"/>
              <w:jc w:val="center"/>
              <w:rPr>
                <w:rFonts w:hint="default" w:ascii="Times New Roman" w:hAnsi="Times New Roman" w:cs="Times New Roman"/>
                <w:sz w:val="21"/>
                <w:szCs w:val="21"/>
                <w:vertAlign w:val="baseline"/>
                <w:lang w:val="en-US" w:eastAsia="zh-CN"/>
              </w:rPr>
            </w:pPr>
          </w:p>
        </w:tc>
        <w:tc>
          <w:tcPr>
            <w:tcW w:w="636" w:type="pct"/>
            <w:gridSpan w:val="3"/>
            <w:tcBorders>
              <w:tl2br w:val="nil"/>
              <w:tr2bl w:val="nil"/>
            </w:tcBorders>
            <w:noWrap w:val="0"/>
            <w:vAlign w:val="center"/>
          </w:tcPr>
          <w:p w14:paraId="3F46ED58">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厂界</w:t>
            </w:r>
            <w:r>
              <w:rPr>
                <w:rFonts w:hint="default" w:ascii="Times New Roman" w:hAnsi="Times New Roman" w:eastAsia="宋体" w:cs="Times New Roman"/>
                <w:sz w:val="21"/>
                <w:szCs w:val="21"/>
                <w:vertAlign w:val="baseline"/>
                <w:lang w:val="en-US" w:eastAsia="zh-CN"/>
              </w:rPr>
              <w:t>下风向2#</w:t>
            </w:r>
          </w:p>
        </w:tc>
        <w:tc>
          <w:tcPr>
            <w:tcW w:w="600" w:type="pct"/>
            <w:gridSpan w:val="2"/>
            <w:tcBorders>
              <w:tl2br w:val="nil"/>
              <w:tr2bl w:val="nil"/>
            </w:tcBorders>
            <w:noWrap w:val="0"/>
            <w:vAlign w:val="center"/>
          </w:tcPr>
          <w:p w14:paraId="36FE5CD3">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574" w:type="pct"/>
            <w:tcBorders>
              <w:tl2br w:val="nil"/>
              <w:tr2bl w:val="nil"/>
            </w:tcBorders>
            <w:noWrap w:val="0"/>
            <w:vAlign w:val="center"/>
          </w:tcPr>
          <w:p w14:paraId="24DA31CF">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625" w:type="pct"/>
            <w:gridSpan w:val="2"/>
            <w:tcBorders>
              <w:tl2br w:val="nil"/>
              <w:tr2bl w:val="nil"/>
            </w:tcBorders>
            <w:noWrap w:val="0"/>
            <w:vAlign w:val="center"/>
          </w:tcPr>
          <w:p w14:paraId="4886E1F1">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0.07 </w:t>
            </w:r>
          </w:p>
        </w:tc>
        <w:tc>
          <w:tcPr>
            <w:tcW w:w="606" w:type="pct"/>
            <w:gridSpan w:val="2"/>
            <w:tcBorders>
              <w:tl2br w:val="nil"/>
              <w:tr2bl w:val="nil"/>
            </w:tcBorders>
            <w:noWrap w:val="0"/>
            <w:vAlign w:val="center"/>
          </w:tcPr>
          <w:p w14:paraId="45F4E5DC">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0.010 </w:t>
            </w:r>
          </w:p>
        </w:tc>
        <w:tc>
          <w:tcPr>
            <w:tcW w:w="686" w:type="pct"/>
            <w:gridSpan w:val="2"/>
            <w:vMerge w:val="continue"/>
            <w:tcBorders>
              <w:tl2br w:val="nil"/>
              <w:tr2bl w:val="nil"/>
            </w:tcBorders>
            <w:noWrap w:val="0"/>
            <w:vAlign w:val="top"/>
          </w:tcPr>
          <w:p w14:paraId="5E1E7628">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cs="Times New Roman"/>
                <w:color w:val="auto"/>
                <w:sz w:val="21"/>
                <w:szCs w:val="21"/>
                <w:vertAlign w:val="baseline"/>
              </w:rPr>
            </w:pPr>
          </w:p>
        </w:tc>
      </w:tr>
      <w:tr w14:paraId="6FB3C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pct"/>
            <w:gridSpan w:val="2"/>
            <w:vMerge w:val="continue"/>
            <w:tcBorders>
              <w:tl2br w:val="nil"/>
              <w:tr2bl w:val="nil"/>
            </w:tcBorders>
            <w:noWrap w:val="0"/>
            <w:vAlign w:val="center"/>
          </w:tcPr>
          <w:p w14:paraId="57C9D767">
            <w:pPr>
              <w:adjustRightInd/>
              <w:snapToGrid/>
              <w:spacing w:line="240" w:lineRule="auto"/>
              <w:ind w:firstLine="0" w:firstLineChars="0"/>
              <w:jc w:val="center"/>
              <w:rPr>
                <w:rFonts w:hint="default" w:ascii="Times New Roman" w:hAnsi="Times New Roman" w:cs="Times New Roman"/>
                <w:sz w:val="21"/>
                <w:szCs w:val="21"/>
                <w:vertAlign w:val="baseline"/>
              </w:rPr>
            </w:pPr>
          </w:p>
        </w:tc>
        <w:tc>
          <w:tcPr>
            <w:tcW w:w="594" w:type="pct"/>
            <w:vMerge w:val="continue"/>
            <w:tcBorders>
              <w:tl2br w:val="nil"/>
              <w:tr2bl w:val="nil"/>
            </w:tcBorders>
            <w:noWrap w:val="0"/>
            <w:vAlign w:val="top"/>
          </w:tcPr>
          <w:p w14:paraId="03FF7A04">
            <w:pPr>
              <w:adjustRightInd/>
              <w:snapToGrid/>
              <w:spacing w:line="240" w:lineRule="auto"/>
              <w:ind w:firstLine="0" w:firstLineChars="0"/>
              <w:jc w:val="center"/>
              <w:rPr>
                <w:rFonts w:hint="default" w:ascii="Times New Roman" w:hAnsi="Times New Roman" w:cs="Times New Roman"/>
                <w:sz w:val="21"/>
                <w:szCs w:val="21"/>
                <w:vertAlign w:val="baseline"/>
                <w:lang w:val="en-US" w:eastAsia="zh-CN"/>
              </w:rPr>
            </w:pPr>
          </w:p>
        </w:tc>
        <w:tc>
          <w:tcPr>
            <w:tcW w:w="636" w:type="pct"/>
            <w:gridSpan w:val="3"/>
            <w:tcBorders>
              <w:tl2br w:val="nil"/>
              <w:tr2bl w:val="nil"/>
            </w:tcBorders>
            <w:noWrap w:val="0"/>
            <w:vAlign w:val="center"/>
          </w:tcPr>
          <w:p w14:paraId="142BBC55">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厂界</w:t>
            </w:r>
            <w:r>
              <w:rPr>
                <w:rFonts w:hint="default" w:ascii="Times New Roman" w:hAnsi="Times New Roman" w:eastAsia="宋体" w:cs="Times New Roman"/>
                <w:sz w:val="21"/>
                <w:szCs w:val="21"/>
                <w:vertAlign w:val="baseline"/>
                <w:lang w:val="en-US" w:eastAsia="zh-CN"/>
              </w:rPr>
              <w:t>下风向3#</w:t>
            </w:r>
          </w:p>
        </w:tc>
        <w:tc>
          <w:tcPr>
            <w:tcW w:w="600" w:type="pct"/>
            <w:gridSpan w:val="2"/>
            <w:tcBorders>
              <w:tl2br w:val="nil"/>
              <w:tr2bl w:val="nil"/>
            </w:tcBorders>
            <w:noWrap w:val="0"/>
            <w:vAlign w:val="center"/>
          </w:tcPr>
          <w:p w14:paraId="1D231475">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574" w:type="pct"/>
            <w:tcBorders>
              <w:tl2br w:val="nil"/>
              <w:tr2bl w:val="nil"/>
            </w:tcBorders>
            <w:noWrap w:val="0"/>
            <w:vAlign w:val="center"/>
          </w:tcPr>
          <w:p w14:paraId="24144A2D">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625" w:type="pct"/>
            <w:gridSpan w:val="2"/>
            <w:tcBorders>
              <w:tl2br w:val="nil"/>
              <w:tr2bl w:val="nil"/>
            </w:tcBorders>
            <w:noWrap w:val="0"/>
            <w:vAlign w:val="center"/>
          </w:tcPr>
          <w:p w14:paraId="3D511891">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0.09 </w:t>
            </w:r>
          </w:p>
        </w:tc>
        <w:tc>
          <w:tcPr>
            <w:tcW w:w="606" w:type="pct"/>
            <w:gridSpan w:val="2"/>
            <w:tcBorders>
              <w:tl2br w:val="nil"/>
              <w:tr2bl w:val="nil"/>
            </w:tcBorders>
            <w:noWrap w:val="0"/>
            <w:vAlign w:val="center"/>
          </w:tcPr>
          <w:p w14:paraId="379FBFDD">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0.010 </w:t>
            </w:r>
          </w:p>
        </w:tc>
        <w:tc>
          <w:tcPr>
            <w:tcW w:w="686" w:type="pct"/>
            <w:gridSpan w:val="2"/>
            <w:vMerge w:val="continue"/>
            <w:tcBorders>
              <w:tl2br w:val="nil"/>
              <w:tr2bl w:val="nil"/>
            </w:tcBorders>
            <w:noWrap w:val="0"/>
            <w:vAlign w:val="top"/>
          </w:tcPr>
          <w:p w14:paraId="4FEF8A5C">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cs="Times New Roman"/>
                <w:color w:val="auto"/>
                <w:sz w:val="21"/>
                <w:szCs w:val="21"/>
                <w:vertAlign w:val="baseline"/>
              </w:rPr>
            </w:pPr>
          </w:p>
        </w:tc>
      </w:tr>
      <w:tr w14:paraId="2995A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pct"/>
            <w:gridSpan w:val="2"/>
            <w:vMerge w:val="continue"/>
            <w:tcBorders>
              <w:tl2br w:val="nil"/>
              <w:tr2bl w:val="nil"/>
            </w:tcBorders>
            <w:noWrap w:val="0"/>
            <w:vAlign w:val="center"/>
          </w:tcPr>
          <w:p w14:paraId="2044F89B">
            <w:pPr>
              <w:adjustRightInd/>
              <w:snapToGrid/>
              <w:spacing w:line="240" w:lineRule="auto"/>
              <w:ind w:firstLine="0" w:firstLineChars="0"/>
              <w:jc w:val="center"/>
              <w:rPr>
                <w:rFonts w:hint="default" w:ascii="Times New Roman" w:hAnsi="Times New Roman" w:cs="Times New Roman"/>
                <w:sz w:val="21"/>
                <w:szCs w:val="21"/>
                <w:vertAlign w:val="baseline"/>
              </w:rPr>
            </w:pPr>
          </w:p>
        </w:tc>
        <w:tc>
          <w:tcPr>
            <w:tcW w:w="594" w:type="pct"/>
            <w:vMerge w:val="continue"/>
            <w:tcBorders>
              <w:tl2br w:val="nil"/>
              <w:tr2bl w:val="nil"/>
            </w:tcBorders>
            <w:noWrap w:val="0"/>
            <w:vAlign w:val="top"/>
          </w:tcPr>
          <w:p w14:paraId="0ADCBD1B">
            <w:pPr>
              <w:adjustRightInd/>
              <w:snapToGrid/>
              <w:spacing w:line="240" w:lineRule="auto"/>
              <w:ind w:firstLine="0" w:firstLineChars="0"/>
              <w:jc w:val="center"/>
              <w:rPr>
                <w:rFonts w:hint="default" w:ascii="Times New Roman" w:hAnsi="Times New Roman" w:cs="Times New Roman"/>
                <w:sz w:val="21"/>
                <w:szCs w:val="21"/>
                <w:vertAlign w:val="baseline"/>
                <w:lang w:val="en-US" w:eastAsia="zh-CN"/>
              </w:rPr>
            </w:pPr>
          </w:p>
        </w:tc>
        <w:tc>
          <w:tcPr>
            <w:tcW w:w="636" w:type="pct"/>
            <w:gridSpan w:val="3"/>
            <w:tcBorders>
              <w:tl2br w:val="nil"/>
              <w:tr2bl w:val="nil"/>
            </w:tcBorders>
            <w:noWrap w:val="0"/>
            <w:vAlign w:val="center"/>
          </w:tcPr>
          <w:p w14:paraId="6A03AED9">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厂界</w:t>
            </w:r>
            <w:r>
              <w:rPr>
                <w:rFonts w:hint="default" w:ascii="Times New Roman" w:hAnsi="Times New Roman" w:eastAsia="宋体" w:cs="Times New Roman"/>
                <w:sz w:val="21"/>
                <w:szCs w:val="21"/>
                <w:vertAlign w:val="baseline"/>
                <w:lang w:val="en-US" w:eastAsia="zh-CN"/>
              </w:rPr>
              <w:t>下风向4#</w:t>
            </w:r>
          </w:p>
        </w:tc>
        <w:tc>
          <w:tcPr>
            <w:tcW w:w="600" w:type="pct"/>
            <w:gridSpan w:val="2"/>
            <w:tcBorders>
              <w:tl2br w:val="nil"/>
              <w:tr2bl w:val="nil"/>
            </w:tcBorders>
            <w:noWrap w:val="0"/>
            <w:vAlign w:val="center"/>
          </w:tcPr>
          <w:p w14:paraId="77462D05">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574" w:type="pct"/>
            <w:tcBorders>
              <w:tl2br w:val="nil"/>
              <w:tr2bl w:val="nil"/>
            </w:tcBorders>
            <w:noWrap w:val="0"/>
            <w:vAlign w:val="center"/>
          </w:tcPr>
          <w:p w14:paraId="01F2E031">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625" w:type="pct"/>
            <w:gridSpan w:val="2"/>
            <w:tcBorders>
              <w:tl2br w:val="nil"/>
              <w:tr2bl w:val="nil"/>
            </w:tcBorders>
            <w:noWrap w:val="0"/>
            <w:vAlign w:val="center"/>
          </w:tcPr>
          <w:p w14:paraId="778C69DF">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0.07 </w:t>
            </w:r>
          </w:p>
        </w:tc>
        <w:tc>
          <w:tcPr>
            <w:tcW w:w="606" w:type="pct"/>
            <w:gridSpan w:val="2"/>
            <w:tcBorders>
              <w:tl2br w:val="nil"/>
              <w:tr2bl w:val="nil"/>
            </w:tcBorders>
            <w:noWrap w:val="0"/>
            <w:vAlign w:val="center"/>
          </w:tcPr>
          <w:p w14:paraId="041B5F46">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0.013 </w:t>
            </w:r>
          </w:p>
        </w:tc>
        <w:tc>
          <w:tcPr>
            <w:tcW w:w="686" w:type="pct"/>
            <w:gridSpan w:val="2"/>
            <w:vMerge w:val="continue"/>
            <w:tcBorders>
              <w:tl2br w:val="nil"/>
              <w:tr2bl w:val="nil"/>
            </w:tcBorders>
            <w:noWrap w:val="0"/>
            <w:vAlign w:val="top"/>
          </w:tcPr>
          <w:p w14:paraId="1C028316">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cs="Times New Roman"/>
                <w:color w:val="auto"/>
                <w:sz w:val="21"/>
                <w:szCs w:val="21"/>
                <w:vertAlign w:val="baseline"/>
              </w:rPr>
            </w:pPr>
          </w:p>
        </w:tc>
      </w:tr>
      <w:tr w14:paraId="69FE9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pct"/>
            <w:gridSpan w:val="2"/>
            <w:vMerge w:val="restart"/>
            <w:tcBorders>
              <w:tl2br w:val="nil"/>
              <w:tr2bl w:val="nil"/>
            </w:tcBorders>
            <w:noWrap w:val="0"/>
            <w:vAlign w:val="center"/>
          </w:tcPr>
          <w:p w14:paraId="010B7245">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2026.05.31</w:t>
            </w:r>
          </w:p>
        </w:tc>
        <w:tc>
          <w:tcPr>
            <w:tcW w:w="594" w:type="pct"/>
            <w:vMerge w:val="restart"/>
            <w:tcBorders>
              <w:tl2br w:val="nil"/>
              <w:tr2bl w:val="nil"/>
            </w:tcBorders>
            <w:noWrap w:val="0"/>
            <w:vAlign w:val="center"/>
          </w:tcPr>
          <w:p w14:paraId="7030B142">
            <w:pPr>
              <w:adjustRightInd/>
              <w:snapToGrid/>
              <w:spacing w:line="240" w:lineRule="auto"/>
              <w:ind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第</w:t>
            </w:r>
            <w:r>
              <w:rPr>
                <w:rFonts w:hint="eastAsia" w:ascii="Times New Roman" w:hAnsi="Times New Roman" w:cs="Times New Roman"/>
                <w:sz w:val="21"/>
                <w:szCs w:val="21"/>
                <w:vertAlign w:val="baseline"/>
                <w:lang w:val="en-US" w:eastAsia="zh-CN"/>
              </w:rPr>
              <w:t>2</w:t>
            </w:r>
            <w:r>
              <w:rPr>
                <w:rFonts w:hint="default" w:ascii="Times New Roman" w:hAnsi="Times New Roman" w:cs="Times New Roman"/>
                <w:sz w:val="21"/>
                <w:szCs w:val="21"/>
                <w:vertAlign w:val="baseline"/>
                <w:lang w:val="en-US" w:eastAsia="zh-CN"/>
              </w:rPr>
              <w:t>次</w:t>
            </w:r>
          </w:p>
        </w:tc>
        <w:tc>
          <w:tcPr>
            <w:tcW w:w="636" w:type="pct"/>
            <w:gridSpan w:val="3"/>
            <w:tcBorders>
              <w:tl2br w:val="nil"/>
              <w:tr2bl w:val="nil"/>
            </w:tcBorders>
            <w:noWrap w:val="0"/>
            <w:vAlign w:val="center"/>
          </w:tcPr>
          <w:p w14:paraId="0258355C">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厂界</w:t>
            </w:r>
            <w:r>
              <w:rPr>
                <w:rFonts w:hint="default" w:ascii="Times New Roman" w:hAnsi="Times New Roman" w:cs="Times New Roman"/>
                <w:sz w:val="21"/>
                <w:szCs w:val="21"/>
                <w:vertAlign w:val="baseline"/>
                <w:lang w:val="en-US" w:eastAsia="zh-CN"/>
              </w:rPr>
              <w:t>上风向1#</w:t>
            </w:r>
          </w:p>
        </w:tc>
        <w:tc>
          <w:tcPr>
            <w:tcW w:w="600" w:type="pct"/>
            <w:gridSpan w:val="2"/>
            <w:tcBorders>
              <w:tl2br w:val="nil"/>
              <w:tr2bl w:val="nil"/>
            </w:tcBorders>
            <w:noWrap w:val="0"/>
            <w:vAlign w:val="center"/>
          </w:tcPr>
          <w:p w14:paraId="338B50FD">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574" w:type="pct"/>
            <w:tcBorders>
              <w:tl2br w:val="nil"/>
              <w:tr2bl w:val="nil"/>
            </w:tcBorders>
            <w:noWrap w:val="0"/>
            <w:vAlign w:val="center"/>
          </w:tcPr>
          <w:p w14:paraId="2FD1D17F">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625" w:type="pct"/>
            <w:gridSpan w:val="2"/>
            <w:tcBorders>
              <w:tl2br w:val="nil"/>
              <w:tr2bl w:val="nil"/>
            </w:tcBorders>
            <w:noWrap w:val="0"/>
            <w:vAlign w:val="center"/>
          </w:tcPr>
          <w:p w14:paraId="7AFE4D7A">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0.03 </w:t>
            </w:r>
          </w:p>
        </w:tc>
        <w:tc>
          <w:tcPr>
            <w:tcW w:w="606" w:type="pct"/>
            <w:gridSpan w:val="2"/>
            <w:tcBorders>
              <w:tl2br w:val="nil"/>
              <w:tr2bl w:val="nil"/>
            </w:tcBorders>
            <w:noWrap w:val="0"/>
            <w:vAlign w:val="center"/>
          </w:tcPr>
          <w:p w14:paraId="09B17C00">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686" w:type="pct"/>
            <w:gridSpan w:val="2"/>
            <w:vMerge w:val="restart"/>
            <w:tcBorders>
              <w:tl2br w:val="nil"/>
              <w:tr2bl w:val="nil"/>
            </w:tcBorders>
            <w:noWrap w:val="0"/>
            <w:vAlign w:val="center"/>
          </w:tcPr>
          <w:p w14:paraId="251DD9C6">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cs="Times New Roman"/>
                <w:color w:val="auto"/>
                <w:sz w:val="21"/>
                <w:szCs w:val="21"/>
                <w:vertAlign w:val="baseline"/>
                <w:lang w:val="en-US" w:eastAsia="zh-CN"/>
              </w:rPr>
              <w:t>天气：</w:t>
            </w:r>
            <w:r>
              <w:rPr>
                <w:rFonts w:hint="eastAsia" w:ascii="Times New Roman" w:hAnsi="Times New Roman" w:cs="Times New Roman"/>
                <w:color w:val="auto"/>
                <w:sz w:val="21"/>
                <w:szCs w:val="21"/>
                <w:vertAlign w:val="baseline"/>
                <w:lang w:val="en-US" w:eastAsia="zh-CN"/>
              </w:rPr>
              <w:t>多云</w:t>
            </w:r>
          </w:p>
          <w:p w14:paraId="54DA4285">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cs="Times New Roman"/>
                <w:color w:val="auto"/>
                <w:sz w:val="21"/>
                <w:szCs w:val="21"/>
                <w:vertAlign w:val="baseline"/>
                <w:lang w:val="en-US" w:eastAsia="zh-CN"/>
              </w:rPr>
              <w:t>气温（℃）：</w:t>
            </w:r>
            <w:r>
              <w:rPr>
                <w:rFonts w:hint="eastAsia" w:ascii="Times New Roman" w:hAnsi="Times New Roman" w:cs="Times New Roman"/>
                <w:color w:val="auto"/>
                <w:sz w:val="21"/>
                <w:szCs w:val="21"/>
                <w:vertAlign w:val="baseline"/>
                <w:lang w:val="en-US" w:eastAsia="zh-CN"/>
              </w:rPr>
              <w:t>26.4</w:t>
            </w:r>
          </w:p>
          <w:p w14:paraId="48C806E8">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cs="Times New Roman"/>
                <w:color w:val="auto"/>
                <w:sz w:val="21"/>
                <w:szCs w:val="21"/>
                <w:vertAlign w:val="baseline"/>
                <w:lang w:val="en-US" w:eastAsia="zh-CN"/>
              </w:rPr>
              <w:t>气压（kPa）：</w:t>
            </w:r>
            <w:r>
              <w:rPr>
                <w:rFonts w:hint="eastAsia" w:ascii="Times New Roman" w:hAnsi="Times New Roman" w:cs="Times New Roman"/>
                <w:color w:val="auto"/>
                <w:sz w:val="21"/>
                <w:szCs w:val="21"/>
                <w:vertAlign w:val="baseline"/>
                <w:lang w:val="en-US" w:eastAsia="zh-CN"/>
              </w:rPr>
              <w:t>100.5</w:t>
            </w:r>
            <w:r>
              <w:rPr>
                <w:rFonts w:hint="default" w:ascii="Times New Roman" w:hAnsi="Times New Roman" w:cs="Times New Roman"/>
                <w:color w:val="auto"/>
                <w:sz w:val="21"/>
                <w:szCs w:val="21"/>
                <w:vertAlign w:val="baseline"/>
                <w:lang w:val="en-US" w:eastAsia="zh-CN"/>
              </w:rPr>
              <w:t xml:space="preserve"> </w:t>
            </w:r>
          </w:p>
          <w:p w14:paraId="34F8B21B">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风速（m/s）：</w:t>
            </w:r>
            <w:r>
              <w:rPr>
                <w:rFonts w:hint="eastAsia" w:ascii="Times New Roman" w:hAnsi="Times New Roman" w:cs="Times New Roman"/>
                <w:color w:val="auto"/>
                <w:sz w:val="21"/>
                <w:szCs w:val="21"/>
                <w:vertAlign w:val="baseline"/>
                <w:lang w:val="en-US" w:eastAsia="zh-CN"/>
              </w:rPr>
              <w:t>2.0</w:t>
            </w:r>
          </w:p>
          <w:p w14:paraId="33D007F6">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cs="Times New Roman"/>
                <w:color w:val="auto"/>
                <w:sz w:val="21"/>
                <w:szCs w:val="21"/>
                <w:vertAlign w:val="baseline"/>
              </w:rPr>
            </w:pPr>
            <w:r>
              <w:rPr>
                <w:rFonts w:hint="default" w:ascii="Times New Roman" w:hAnsi="Times New Roman" w:cs="Times New Roman"/>
                <w:color w:val="auto"/>
                <w:sz w:val="21"/>
                <w:szCs w:val="21"/>
                <w:vertAlign w:val="baseline"/>
                <w:lang w:val="en-US" w:eastAsia="zh-CN"/>
              </w:rPr>
              <w:t>风向：</w:t>
            </w:r>
            <w:r>
              <w:rPr>
                <w:rFonts w:hint="eastAsia" w:ascii="Times New Roman" w:hAnsi="Times New Roman" w:cs="Times New Roman"/>
                <w:color w:val="auto"/>
                <w:sz w:val="21"/>
                <w:szCs w:val="21"/>
                <w:vertAlign w:val="baseline"/>
                <w:lang w:val="en-US" w:eastAsia="zh-CN"/>
              </w:rPr>
              <w:t>SE</w:t>
            </w:r>
          </w:p>
        </w:tc>
      </w:tr>
      <w:tr w14:paraId="07D8A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pct"/>
            <w:gridSpan w:val="2"/>
            <w:vMerge w:val="continue"/>
            <w:tcBorders>
              <w:tl2br w:val="nil"/>
              <w:tr2bl w:val="nil"/>
            </w:tcBorders>
            <w:noWrap w:val="0"/>
            <w:vAlign w:val="center"/>
          </w:tcPr>
          <w:p w14:paraId="424DB903">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default" w:ascii="Times New Roman" w:hAnsi="Times New Roman" w:eastAsia="宋体" w:cs="Times New Roman"/>
                <w:sz w:val="21"/>
                <w:szCs w:val="21"/>
                <w:vertAlign w:val="baseline"/>
                <w:lang w:val="en-US" w:eastAsia="zh-CN"/>
              </w:rPr>
            </w:pPr>
          </w:p>
        </w:tc>
        <w:tc>
          <w:tcPr>
            <w:tcW w:w="594" w:type="pct"/>
            <w:vMerge w:val="continue"/>
            <w:tcBorders>
              <w:tl2br w:val="nil"/>
              <w:tr2bl w:val="nil"/>
            </w:tcBorders>
            <w:noWrap w:val="0"/>
            <w:vAlign w:val="top"/>
          </w:tcPr>
          <w:p w14:paraId="0C6BAFF9">
            <w:pPr>
              <w:adjustRightInd/>
              <w:snapToGrid/>
              <w:spacing w:line="240" w:lineRule="auto"/>
              <w:ind w:firstLine="0" w:firstLineChars="0"/>
              <w:jc w:val="center"/>
              <w:rPr>
                <w:rFonts w:hint="default" w:ascii="Times New Roman" w:hAnsi="Times New Roman" w:cs="Times New Roman"/>
                <w:sz w:val="21"/>
                <w:szCs w:val="21"/>
                <w:vertAlign w:val="baseline"/>
                <w:lang w:val="en-US" w:eastAsia="zh-CN"/>
              </w:rPr>
            </w:pPr>
          </w:p>
        </w:tc>
        <w:tc>
          <w:tcPr>
            <w:tcW w:w="636" w:type="pct"/>
            <w:gridSpan w:val="3"/>
            <w:tcBorders>
              <w:tl2br w:val="nil"/>
              <w:tr2bl w:val="nil"/>
            </w:tcBorders>
            <w:noWrap w:val="0"/>
            <w:vAlign w:val="center"/>
          </w:tcPr>
          <w:p w14:paraId="5D556FA6">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厂界</w:t>
            </w:r>
            <w:r>
              <w:rPr>
                <w:rFonts w:hint="default" w:ascii="Times New Roman" w:hAnsi="Times New Roman" w:eastAsia="宋体" w:cs="Times New Roman"/>
                <w:sz w:val="21"/>
                <w:szCs w:val="21"/>
                <w:vertAlign w:val="baseline"/>
                <w:lang w:val="en-US" w:eastAsia="zh-CN"/>
              </w:rPr>
              <w:t>下风向2#</w:t>
            </w:r>
          </w:p>
        </w:tc>
        <w:tc>
          <w:tcPr>
            <w:tcW w:w="600" w:type="pct"/>
            <w:gridSpan w:val="2"/>
            <w:tcBorders>
              <w:tl2br w:val="nil"/>
              <w:tr2bl w:val="nil"/>
            </w:tcBorders>
            <w:noWrap w:val="0"/>
            <w:vAlign w:val="center"/>
          </w:tcPr>
          <w:p w14:paraId="6B6051EB">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574" w:type="pct"/>
            <w:tcBorders>
              <w:tl2br w:val="nil"/>
              <w:tr2bl w:val="nil"/>
            </w:tcBorders>
            <w:noWrap w:val="0"/>
            <w:vAlign w:val="center"/>
          </w:tcPr>
          <w:p w14:paraId="553863DC">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625" w:type="pct"/>
            <w:gridSpan w:val="2"/>
            <w:tcBorders>
              <w:tl2br w:val="nil"/>
              <w:tr2bl w:val="nil"/>
            </w:tcBorders>
            <w:noWrap w:val="0"/>
            <w:vAlign w:val="center"/>
          </w:tcPr>
          <w:p w14:paraId="3729723A">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0.10 </w:t>
            </w:r>
          </w:p>
        </w:tc>
        <w:tc>
          <w:tcPr>
            <w:tcW w:w="606" w:type="pct"/>
            <w:gridSpan w:val="2"/>
            <w:tcBorders>
              <w:tl2br w:val="nil"/>
              <w:tr2bl w:val="nil"/>
            </w:tcBorders>
            <w:noWrap w:val="0"/>
            <w:vAlign w:val="center"/>
          </w:tcPr>
          <w:p w14:paraId="203C4E10">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0.013 </w:t>
            </w:r>
          </w:p>
        </w:tc>
        <w:tc>
          <w:tcPr>
            <w:tcW w:w="686" w:type="pct"/>
            <w:gridSpan w:val="2"/>
            <w:vMerge w:val="continue"/>
            <w:tcBorders>
              <w:tl2br w:val="nil"/>
              <w:tr2bl w:val="nil"/>
            </w:tcBorders>
            <w:noWrap w:val="0"/>
            <w:vAlign w:val="center"/>
          </w:tcPr>
          <w:p w14:paraId="3BB9A075">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cs="Times New Roman"/>
                <w:color w:val="auto"/>
                <w:sz w:val="21"/>
                <w:szCs w:val="21"/>
                <w:vertAlign w:val="baseline"/>
              </w:rPr>
            </w:pPr>
          </w:p>
        </w:tc>
      </w:tr>
      <w:tr w14:paraId="4DC30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pct"/>
            <w:gridSpan w:val="2"/>
            <w:vMerge w:val="continue"/>
            <w:tcBorders>
              <w:tl2br w:val="nil"/>
              <w:tr2bl w:val="nil"/>
            </w:tcBorders>
            <w:noWrap w:val="0"/>
            <w:vAlign w:val="center"/>
          </w:tcPr>
          <w:p w14:paraId="137FF56E">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default" w:ascii="Times New Roman" w:hAnsi="Times New Roman" w:eastAsia="宋体" w:cs="Times New Roman"/>
                <w:sz w:val="21"/>
                <w:szCs w:val="21"/>
                <w:vertAlign w:val="baseline"/>
                <w:lang w:val="en-US" w:eastAsia="zh-CN"/>
              </w:rPr>
            </w:pPr>
          </w:p>
        </w:tc>
        <w:tc>
          <w:tcPr>
            <w:tcW w:w="594" w:type="pct"/>
            <w:vMerge w:val="continue"/>
            <w:tcBorders>
              <w:tl2br w:val="nil"/>
              <w:tr2bl w:val="nil"/>
            </w:tcBorders>
            <w:noWrap w:val="0"/>
            <w:vAlign w:val="top"/>
          </w:tcPr>
          <w:p w14:paraId="07B124B5">
            <w:pPr>
              <w:adjustRightInd/>
              <w:snapToGrid/>
              <w:spacing w:line="240" w:lineRule="auto"/>
              <w:ind w:firstLine="0" w:firstLineChars="0"/>
              <w:jc w:val="center"/>
              <w:rPr>
                <w:rFonts w:hint="default" w:ascii="Times New Roman" w:hAnsi="Times New Roman" w:cs="Times New Roman"/>
                <w:sz w:val="21"/>
                <w:szCs w:val="21"/>
                <w:vertAlign w:val="baseline"/>
                <w:lang w:val="en-US" w:eastAsia="zh-CN"/>
              </w:rPr>
            </w:pPr>
          </w:p>
        </w:tc>
        <w:tc>
          <w:tcPr>
            <w:tcW w:w="636" w:type="pct"/>
            <w:gridSpan w:val="3"/>
            <w:tcBorders>
              <w:tl2br w:val="nil"/>
              <w:tr2bl w:val="nil"/>
            </w:tcBorders>
            <w:noWrap w:val="0"/>
            <w:vAlign w:val="center"/>
          </w:tcPr>
          <w:p w14:paraId="6A202EF3">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厂界</w:t>
            </w:r>
            <w:r>
              <w:rPr>
                <w:rFonts w:hint="default" w:ascii="Times New Roman" w:hAnsi="Times New Roman" w:eastAsia="宋体" w:cs="Times New Roman"/>
                <w:sz w:val="21"/>
                <w:szCs w:val="21"/>
                <w:vertAlign w:val="baseline"/>
                <w:lang w:val="en-US" w:eastAsia="zh-CN"/>
              </w:rPr>
              <w:t>下风向3#</w:t>
            </w:r>
          </w:p>
        </w:tc>
        <w:tc>
          <w:tcPr>
            <w:tcW w:w="600" w:type="pct"/>
            <w:gridSpan w:val="2"/>
            <w:tcBorders>
              <w:tl2br w:val="nil"/>
              <w:tr2bl w:val="nil"/>
            </w:tcBorders>
            <w:noWrap w:val="0"/>
            <w:vAlign w:val="center"/>
          </w:tcPr>
          <w:p w14:paraId="4860CAD7">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574" w:type="pct"/>
            <w:tcBorders>
              <w:tl2br w:val="nil"/>
              <w:tr2bl w:val="nil"/>
            </w:tcBorders>
            <w:noWrap w:val="0"/>
            <w:vAlign w:val="center"/>
          </w:tcPr>
          <w:p w14:paraId="5D5954B2">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625" w:type="pct"/>
            <w:gridSpan w:val="2"/>
            <w:tcBorders>
              <w:tl2br w:val="nil"/>
              <w:tr2bl w:val="nil"/>
            </w:tcBorders>
            <w:noWrap w:val="0"/>
            <w:vAlign w:val="center"/>
          </w:tcPr>
          <w:p w14:paraId="534937E1">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0.08 </w:t>
            </w:r>
          </w:p>
        </w:tc>
        <w:tc>
          <w:tcPr>
            <w:tcW w:w="606" w:type="pct"/>
            <w:gridSpan w:val="2"/>
            <w:tcBorders>
              <w:tl2br w:val="nil"/>
              <w:tr2bl w:val="nil"/>
            </w:tcBorders>
            <w:noWrap w:val="0"/>
            <w:vAlign w:val="center"/>
          </w:tcPr>
          <w:p w14:paraId="0B5CB47F">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0.009 </w:t>
            </w:r>
          </w:p>
        </w:tc>
        <w:tc>
          <w:tcPr>
            <w:tcW w:w="686" w:type="pct"/>
            <w:gridSpan w:val="2"/>
            <w:vMerge w:val="continue"/>
            <w:tcBorders>
              <w:tl2br w:val="nil"/>
              <w:tr2bl w:val="nil"/>
            </w:tcBorders>
            <w:noWrap w:val="0"/>
            <w:vAlign w:val="center"/>
          </w:tcPr>
          <w:p w14:paraId="4D0F0B0D">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cs="Times New Roman"/>
                <w:color w:val="auto"/>
                <w:sz w:val="21"/>
                <w:szCs w:val="21"/>
                <w:vertAlign w:val="baseline"/>
              </w:rPr>
            </w:pPr>
          </w:p>
        </w:tc>
      </w:tr>
      <w:tr w14:paraId="06EAE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pct"/>
            <w:gridSpan w:val="2"/>
            <w:vMerge w:val="continue"/>
            <w:tcBorders>
              <w:tl2br w:val="nil"/>
              <w:tr2bl w:val="nil"/>
            </w:tcBorders>
            <w:noWrap w:val="0"/>
            <w:vAlign w:val="center"/>
          </w:tcPr>
          <w:p w14:paraId="189BECA7">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default" w:ascii="Times New Roman" w:hAnsi="Times New Roman" w:eastAsia="宋体" w:cs="Times New Roman"/>
                <w:sz w:val="21"/>
                <w:szCs w:val="21"/>
                <w:vertAlign w:val="baseline"/>
                <w:lang w:val="en-US" w:eastAsia="zh-CN"/>
              </w:rPr>
            </w:pPr>
          </w:p>
        </w:tc>
        <w:tc>
          <w:tcPr>
            <w:tcW w:w="594" w:type="pct"/>
            <w:vMerge w:val="continue"/>
            <w:tcBorders>
              <w:tl2br w:val="nil"/>
              <w:tr2bl w:val="nil"/>
            </w:tcBorders>
            <w:noWrap w:val="0"/>
            <w:vAlign w:val="top"/>
          </w:tcPr>
          <w:p w14:paraId="2D14424A">
            <w:pPr>
              <w:adjustRightInd/>
              <w:snapToGrid/>
              <w:spacing w:line="240" w:lineRule="auto"/>
              <w:ind w:firstLine="0" w:firstLineChars="0"/>
              <w:jc w:val="center"/>
              <w:rPr>
                <w:rFonts w:hint="default" w:ascii="Times New Roman" w:hAnsi="Times New Roman" w:cs="Times New Roman"/>
                <w:sz w:val="21"/>
                <w:szCs w:val="21"/>
                <w:vertAlign w:val="baseline"/>
                <w:lang w:val="en-US" w:eastAsia="zh-CN"/>
              </w:rPr>
            </w:pPr>
          </w:p>
        </w:tc>
        <w:tc>
          <w:tcPr>
            <w:tcW w:w="636" w:type="pct"/>
            <w:gridSpan w:val="3"/>
            <w:tcBorders>
              <w:tl2br w:val="nil"/>
              <w:tr2bl w:val="nil"/>
            </w:tcBorders>
            <w:noWrap w:val="0"/>
            <w:vAlign w:val="center"/>
          </w:tcPr>
          <w:p w14:paraId="5A389456">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厂界</w:t>
            </w:r>
            <w:r>
              <w:rPr>
                <w:rFonts w:hint="default" w:ascii="Times New Roman" w:hAnsi="Times New Roman" w:eastAsia="宋体" w:cs="Times New Roman"/>
                <w:sz w:val="21"/>
                <w:szCs w:val="21"/>
                <w:vertAlign w:val="baseline"/>
                <w:lang w:val="en-US" w:eastAsia="zh-CN"/>
              </w:rPr>
              <w:t>下风向4#</w:t>
            </w:r>
          </w:p>
        </w:tc>
        <w:tc>
          <w:tcPr>
            <w:tcW w:w="600" w:type="pct"/>
            <w:gridSpan w:val="2"/>
            <w:tcBorders>
              <w:tl2br w:val="nil"/>
              <w:tr2bl w:val="nil"/>
            </w:tcBorders>
            <w:noWrap w:val="0"/>
            <w:vAlign w:val="center"/>
          </w:tcPr>
          <w:p w14:paraId="1B466FB9">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574" w:type="pct"/>
            <w:tcBorders>
              <w:tl2br w:val="nil"/>
              <w:tr2bl w:val="nil"/>
            </w:tcBorders>
            <w:noWrap w:val="0"/>
            <w:vAlign w:val="center"/>
          </w:tcPr>
          <w:p w14:paraId="318E8E0E">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625" w:type="pct"/>
            <w:gridSpan w:val="2"/>
            <w:tcBorders>
              <w:tl2br w:val="nil"/>
              <w:tr2bl w:val="nil"/>
            </w:tcBorders>
            <w:noWrap w:val="0"/>
            <w:vAlign w:val="center"/>
          </w:tcPr>
          <w:p w14:paraId="34A56245">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0.11 </w:t>
            </w:r>
          </w:p>
        </w:tc>
        <w:tc>
          <w:tcPr>
            <w:tcW w:w="606" w:type="pct"/>
            <w:gridSpan w:val="2"/>
            <w:tcBorders>
              <w:tl2br w:val="nil"/>
              <w:tr2bl w:val="nil"/>
            </w:tcBorders>
            <w:noWrap w:val="0"/>
            <w:vAlign w:val="center"/>
          </w:tcPr>
          <w:p w14:paraId="02FE0664">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0.011 </w:t>
            </w:r>
          </w:p>
        </w:tc>
        <w:tc>
          <w:tcPr>
            <w:tcW w:w="686" w:type="pct"/>
            <w:gridSpan w:val="2"/>
            <w:vMerge w:val="continue"/>
            <w:tcBorders>
              <w:tl2br w:val="nil"/>
              <w:tr2bl w:val="nil"/>
            </w:tcBorders>
            <w:noWrap w:val="0"/>
            <w:vAlign w:val="center"/>
          </w:tcPr>
          <w:p w14:paraId="6DAE5E91">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cs="Times New Roman"/>
                <w:color w:val="auto"/>
                <w:sz w:val="21"/>
                <w:szCs w:val="21"/>
                <w:vertAlign w:val="baseline"/>
              </w:rPr>
            </w:pPr>
          </w:p>
        </w:tc>
      </w:tr>
      <w:tr w14:paraId="5B47D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pct"/>
            <w:gridSpan w:val="2"/>
            <w:vMerge w:val="restart"/>
            <w:tcBorders>
              <w:tl2br w:val="nil"/>
              <w:tr2bl w:val="nil"/>
            </w:tcBorders>
            <w:noWrap w:val="0"/>
            <w:vAlign w:val="center"/>
          </w:tcPr>
          <w:p w14:paraId="774079FD">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2026.05.31</w:t>
            </w:r>
          </w:p>
        </w:tc>
        <w:tc>
          <w:tcPr>
            <w:tcW w:w="594" w:type="pct"/>
            <w:vMerge w:val="restart"/>
            <w:tcBorders>
              <w:tl2br w:val="nil"/>
              <w:tr2bl w:val="nil"/>
            </w:tcBorders>
            <w:noWrap w:val="0"/>
            <w:vAlign w:val="center"/>
          </w:tcPr>
          <w:p w14:paraId="511261CF">
            <w:pPr>
              <w:adjustRightInd/>
              <w:snapToGrid/>
              <w:spacing w:line="240" w:lineRule="auto"/>
              <w:ind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第</w:t>
            </w:r>
            <w:r>
              <w:rPr>
                <w:rFonts w:hint="eastAsia" w:ascii="Times New Roman" w:hAnsi="Times New Roman" w:cs="Times New Roman"/>
                <w:sz w:val="21"/>
                <w:szCs w:val="21"/>
                <w:vertAlign w:val="baseline"/>
                <w:lang w:val="en-US" w:eastAsia="zh-CN"/>
              </w:rPr>
              <w:t>3</w:t>
            </w:r>
            <w:r>
              <w:rPr>
                <w:rFonts w:hint="default" w:ascii="Times New Roman" w:hAnsi="Times New Roman" w:cs="Times New Roman"/>
                <w:sz w:val="21"/>
                <w:szCs w:val="21"/>
                <w:vertAlign w:val="baseline"/>
                <w:lang w:val="en-US" w:eastAsia="zh-CN"/>
              </w:rPr>
              <w:t>次</w:t>
            </w:r>
          </w:p>
        </w:tc>
        <w:tc>
          <w:tcPr>
            <w:tcW w:w="636" w:type="pct"/>
            <w:gridSpan w:val="3"/>
            <w:tcBorders>
              <w:tl2br w:val="nil"/>
              <w:tr2bl w:val="nil"/>
            </w:tcBorders>
            <w:noWrap w:val="0"/>
            <w:vAlign w:val="center"/>
          </w:tcPr>
          <w:p w14:paraId="7CE67298">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厂界</w:t>
            </w:r>
            <w:r>
              <w:rPr>
                <w:rFonts w:hint="default" w:ascii="Times New Roman" w:hAnsi="Times New Roman" w:cs="Times New Roman"/>
                <w:sz w:val="21"/>
                <w:szCs w:val="21"/>
                <w:vertAlign w:val="baseline"/>
                <w:lang w:val="en-US" w:eastAsia="zh-CN"/>
              </w:rPr>
              <w:t>上风向1#</w:t>
            </w:r>
          </w:p>
        </w:tc>
        <w:tc>
          <w:tcPr>
            <w:tcW w:w="600" w:type="pct"/>
            <w:gridSpan w:val="2"/>
            <w:tcBorders>
              <w:tl2br w:val="nil"/>
              <w:tr2bl w:val="nil"/>
            </w:tcBorders>
            <w:noWrap w:val="0"/>
            <w:vAlign w:val="center"/>
          </w:tcPr>
          <w:p w14:paraId="71F5DCEF">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574" w:type="pct"/>
            <w:tcBorders>
              <w:tl2br w:val="nil"/>
              <w:tr2bl w:val="nil"/>
            </w:tcBorders>
            <w:noWrap w:val="0"/>
            <w:vAlign w:val="center"/>
          </w:tcPr>
          <w:p w14:paraId="6085B4AA">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625" w:type="pct"/>
            <w:gridSpan w:val="2"/>
            <w:tcBorders>
              <w:tl2br w:val="nil"/>
              <w:tr2bl w:val="nil"/>
            </w:tcBorders>
            <w:noWrap w:val="0"/>
            <w:vAlign w:val="center"/>
          </w:tcPr>
          <w:p w14:paraId="38856937">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0.02 </w:t>
            </w:r>
          </w:p>
        </w:tc>
        <w:tc>
          <w:tcPr>
            <w:tcW w:w="606" w:type="pct"/>
            <w:gridSpan w:val="2"/>
            <w:tcBorders>
              <w:tl2br w:val="nil"/>
              <w:tr2bl w:val="nil"/>
            </w:tcBorders>
            <w:noWrap w:val="0"/>
            <w:vAlign w:val="center"/>
          </w:tcPr>
          <w:p w14:paraId="2F898C88">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0.003</w:t>
            </w:r>
          </w:p>
        </w:tc>
        <w:tc>
          <w:tcPr>
            <w:tcW w:w="686" w:type="pct"/>
            <w:gridSpan w:val="2"/>
            <w:vMerge w:val="restart"/>
            <w:tcBorders>
              <w:tl2br w:val="nil"/>
              <w:tr2bl w:val="nil"/>
            </w:tcBorders>
            <w:noWrap w:val="0"/>
            <w:vAlign w:val="center"/>
          </w:tcPr>
          <w:p w14:paraId="7C4CA19D">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cs="Times New Roman"/>
                <w:color w:val="auto"/>
                <w:sz w:val="21"/>
                <w:szCs w:val="21"/>
                <w:vertAlign w:val="baseline"/>
                <w:lang w:val="en-US" w:eastAsia="zh-CN"/>
              </w:rPr>
              <w:t>天气：</w:t>
            </w:r>
            <w:r>
              <w:rPr>
                <w:rFonts w:hint="eastAsia" w:ascii="Times New Roman" w:hAnsi="Times New Roman" w:cs="Times New Roman"/>
                <w:color w:val="auto"/>
                <w:sz w:val="21"/>
                <w:szCs w:val="21"/>
                <w:vertAlign w:val="baseline"/>
                <w:lang w:val="en-US" w:eastAsia="zh-CN"/>
              </w:rPr>
              <w:t>多云</w:t>
            </w:r>
          </w:p>
          <w:p w14:paraId="0204E020">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cs="Times New Roman"/>
                <w:color w:val="auto"/>
                <w:sz w:val="21"/>
                <w:szCs w:val="21"/>
                <w:vertAlign w:val="baseline"/>
                <w:lang w:val="en-US" w:eastAsia="zh-CN"/>
              </w:rPr>
              <w:t>气温（℃）：</w:t>
            </w:r>
            <w:r>
              <w:rPr>
                <w:rFonts w:hint="eastAsia" w:ascii="Times New Roman" w:hAnsi="Times New Roman" w:cs="Times New Roman"/>
                <w:color w:val="auto"/>
                <w:sz w:val="21"/>
                <w:szCs w:val="21"/>
                <w:vertAlign w:val="baseline"/>
                <w:lang w:val="en-US" w:eastAsia="zh-CN"/>
              </w:rPr>
              <w:t xml:space="preserve">33.5 </w:t>
            </w:r>
          </w:p>
          <w:p w14:paraId="049D0F04">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cs="Times New Roman"/>
                <w:color w:val="auto"/>
                <w:sz w:val="21"/>
                <w:szCs w:val="21"/>
                <w:vertAlign w:val="baseline"/>
                <w:lang w:val="en-US" w:eastAsia="zh-CN"/>
              </w:rPr>
              <w:t>气压（kPa）：</w:t>
            </w:r>
            <w:r>
              <w:rPr>
                <w:rFonts w:hint="eastAsia" w:ascii="Times New Roman" w:hAnsi="Times New Roman" w:cs="Times New Roman"/>
                <w:color w:val="auto"/>
                <w:sz w:val="21"/>
                <w:szCs w:val="21"/>
                <w:vertAlign w:val="baseline"/>
                <w:lang w:val="en-US" w:eastAsia="zh-CN"/>
              </w:rPr>
              <w:t>100.2</w:t>
            </w:r>
          </w:p>
          <w:p w14:paraId="5BB4EDC4">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cs="Times New Roman"/>
                <w:color w:val="auto"/>
                <w:sz w:val="21"/>
                <w:szCs w:val="21"/>
                <w:vertAlign w:val="baseline"/>
                <w:lang w:val="en-US" w:eastAsia="zh-CN"/>
              </w:rPr>
              <w:t>风速（m/s）：</w:t>
            </w:r>
            <w:r>
              <w:rPr>
                <w:rFonts w:hint="eastAsia" w:ascii="Times New Roman" w:hAnsi="Times New Roman" w:cs="Times New Roman"/>
                <w:color w:val="auto"/>
                <w:sz w:val="21"/>
                <w:szCs w:val="21"/>
                <w:vertAlign w:val="baseline"/>
                <w:lang w:val="en-US" w:eastAsia="zh-CN"/>
              </w:rPr>
              <w:t>1.8</w:t>
            </w:r>
          </w:p>
          <w:p w14:paraId="0A8F6009">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cs="Times New Roman"/>
                <w:color w:val="auto"/>
                <w:sz w:val="21"/>
                <w:szCs w:val="21"/>
                <w:vertAlign w:val="baseline"/>
              </w:rPr>
            </w:pPr>
            <w:r>
              <w:rPr>
                <w:rFonts w:hint="default" w:ascii="Times New Roman" w:hAnsi="Times New Roman" w:cs="Times New Roman"/>
                <w:color w:val="auto"/>
                <w:sz w:val="21"/>
                <w:szCs w:val="21"/>
                <w:vertAlign w:val="baseline"/>
                <w:lang w:val="en-US" w:eastAsia="zh-CN"/>
              </w:rPr>
              <w:t>风向：</w:t>
            </w:r>
            <w:r>
              <w:rPr>
                <w:rFonts w:hint="eastAsia" w:ascii="Times New Roman" w:hAnsi="Times New Roman" w:cs="Times New Roman"/>
                <w:color w:val="auto"/>
                <w:sz w:val="21"/>
                <w:szCs w:val="21"/>
                <w:vertAlign w:val="baseline"/>
                <w:lang w:val="en-US" w:eastAsia="zh-CN"/>
              </w:rPr>
              <w:t>SE</w:t>
            </w:r>
          </w:p>
        </w:tc>
      </w:tr>
      <w:tr w14:paraId="7C9F3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pct"/>
            <w:gridSpan w:val="2"/>
            <w:vMerge w:val="continue"/>
            <w:tcBorders>
              <w:tl2br w:val="nil"/>
              <w:tr2bl w:val="nil"/>
            </w:tcBorders>
            <w:noWrap w:val="0"/>
            <w:vAlign w:val="center"/>
          </w:tcPr>
          <w:p w14:paraId="3994EB05">
            <w:pPr>
              <w:adjustRightInd/>
              <w:snapToGrid/>
              <w:spacing w:line="240" w:lineRule="auto"/>
              <w:ind w:firstLine="0" w:firstLineChars="0"/>
              <w:rPr>
                <w:rFonts w:hint="default" w:ascii="Times New Roman" w:hAnsi="Times New Roman" w:cs="Times New Roman"/>
                <w:sz w:val="21"/>
                <w:szCs w:val="21"/>
                <w:vertAlign w:val="baseline"/>
              </w:rPr>
            </w:pPr>
          </w:p>
        </w:tc>
        <w:tc>
          <w:tcPr>
            <w:tcW w:w="594" w:type="pct"/>
            <w:vMerge w:val="continue"/>
            <w:tcBorders>
              <w:tl2br w:val="nil"/>
              <w:tr2bl w:val="nil"/>
            </w:tcBorders>
            <w:noWrap w:val="0"/>
            <w:vAlign w:val="top"/>
          </w:tcPr>
          <w:p w14:paraId="201935FC">
            <w:pPr>
              <w:adjustRightInd/>
              <w:snapToGrid/>
              <w:spacing w:line="240" w:lineRule="auto"/>
              <w:ind w:firstLine="0" w:firstLineChars="0"/>
              <w:jc w:val="center"/>
              <w:rPr>
                <w:rFonts w:hint="default" w:ascii="Times New Roman" w:hAnsi="Times New Roman" w:cs="Times New Roman"/>
                <w:sz w:val="21"/>
                <w:szCs w:val="21"/>
                <w:vertAlign w:val="baseline"/>
                <w:lang w:val="en-US" w:eastAsia="zh-CN"/>
              </w:rPr>
            </w:pPr>
          </w:p>
        </w:tc>
        <w:tc>
          <w:tcPr>
            <w:tcW w:w="636" w:type="pct"/>
            <w:gridSpan w:val="3"/>
            <w:tcBorders>
              <w:tl2br w:val="nil"/>
              <w:tr2bl w:val="nil"/>
            </w:tcBorders>
            <w:noWrap w:val="0"/>
            <w:vAlign w:val="center"/>
          </w:tcPr>
          <w:p w14:paraId="442015FF">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厂界</w:t>
            </w:r>
            <w:r>
              <w:rPr>
                <w:rFonts w:hint="default" w:ascii="Times New Roman" w:hAnsi="Times New Roman" w:eastAsia="宋体" w:cs="Times New Roman"/>
                <w:sz w:val="21"/>
                <w:szCs w:val="21"/>
                <w:vertAlign w:val="baseline"/>
                <w:lang w:val="en-US" w:eastAsia="zh-CN"/>
              </w:rPr>
              <w:t>下风向2#</w:t>
            </w:r>
          </w:p>
        </w:tc>
        <w:tc>
          <w:tcPr>
            <w:tcW w:w="600" w:type="pct"/>
            <w:gridSpan w:val="2"/>
            <w:tcBorders>
              <w:tl2br w:val="nil"/>
              <w:tr2bl w:val="nil"/>
            </w:tcBorders>
            <w:noWrap w:val="0"/>
            <w:vAlign w:val="center"/>
          </w:tcPr>
          <w:p w14:paraId="386D5D33">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574" w:type="pct"/>
            <w:tcBorders>
              <w:tl2br w:val="nil"/>
              <w:tr2bl w:val="nil"/>
            </w:tcBorders>
            <w:noWrap w:val="0"/>
            <w:vAlign w:val="center"/>
          </w:tcPr>
          <w:p w14:paraId="3BEBA6A7">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625" w:type="pct"/>
            <w:gridSpan w:val="2"/>
            <w:tcBorders>
              <w:tl2br w:val="nil"/>
              <w:tr2bl w:val="nil"/>
            </w:tcBorders>
            <w:noWrap w:val="0"/>
            <w:vAlign w:val="center"/>
          </w:tcPr>
          <w:p w14:paraId="3A183808">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0.07 </w:t>
            </w:r>
          </w:p>
        </w:tc>
        <w:tc>
          <w:tcPr>
            <w:tcW w:w="606" w:type="pct"/>
            <w:gridSpan w:val="2"/>
            <w:tcBorders>
              <w:tl2br w:val="nil"/>
              <w:tr2bl w:val="nil"/>
            </w:tcBorders>
            <w:noWrap w:val="0"/>
            <w:vAlign w:val="center"/>
          </w:tcPr>
          <w:p w14:paraId="1AA84F01">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0.012 </w:t>
            </w:r>
          </w:p>
        </w:tc>
        <w:tc>
          <w:tcPr>
            <w:tcW w:w="686" w:type="pct"/>
            <w:gridSpan w:val="2"/>
            <w:vMerge w:val="continue"/>
            <w:tcBorders>
              <w:tl2br w:val="nil"/>
              <w:tr2bl w:val="nil"/>
            </w:tcBorders>
            <w:noWrap w:val="0"/>
            <w:vAlign w:val="top"/>
          </w:tcPr>
          <w:p w14:paraId="7E4C13EE">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cs="Times New Roman"/>
                <w:color w:val="auto"/>
                <w:sz w:val="21"/>
                <w:szCs w:val="21"/>
                <w:vertAlign w:val="baseline"/>
              </w:rPr>
            </w:pPr>
          </w:p>
        </w:tc>
      </w:tr>
      <w:tr w14:paraId="0FEA3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pct"/>
            <w:gridSpan w:val="2"/>
            <w:vMerge w:val="continue"/>
            <w:tcBorders>
              <w:tl2br w:val="nil"/>
              <w:tr2bl w:val="nil"/>
            </w:tcBorders>
            <w:noWrap w:val="0"/>
            <w:vAlign w:val="center"/>
          </w:tcPr>
          <w:p w14:paraId="3B1B4118">
            <w:pPr>
              <w:adjustRightInd/>
              <w:snapToGrid/>
              <w:spacing w:line="240" w:lineRule="auto"/>
              <w:ind w:firstLine="0" w:firstLineChars="0"/>
              <w:rPr>
                <w:rFonts w:hint="default" w:ascii="Times New Roman" w:hAnsi="Times New Roman" w:cs="Times New Roman"/>
                <w:sz w:val="21"/>
                <w:szCs w:val="21"/>
                <w:vertAlign w:val="baseline"/>
              </w:rPr>
            </w:pPr>
          </w:p>
        </w:tc>
        <w:tc>
          <w:tcPr>
            <w:tcW w:w="594" w:type="pct"/>
            <w:vMerge w:val="continue"/>
            <w:tcBorders>
              <w:tl2br w:val="nil"/>
              <w:tr2bl w:val="nil"/>
            </w:tcBorders>
            <w:noWrap w:val="0"/>
            <w:vAlign w:val="top"/>
          </w:tcPr>
          <w:p w14:paraId="0765E9DD">
            <w:pPr>
              <w:adjustRightInd/>
              <w:snapToGrid/>
              <w:spacing w:line="240" w:lineRule="auto"/>
              <w:ind w:firstLine="0" w:firstLineChars="0"/>
              <w:jc w:val="center"/>
              <w:rPr>
                <w:rFonts w:hint="default" w:ascii="Times New Roman" w:hAnsi="Times New Roman" w:cs="Times New Roman"/>
                <w:sz w:val="21"/>
                <w:szCs w:val="21"/>
                <w:vertAlign w:val="baseline"/>
                <w:lang w:val="en-US" w:eastAsia="zh-CN"/>
              </w:rPr>
            </w:pPr>
          </w:p>
        </w:tc>
        <w:tc>
          <w:tcPr>
            <w:tcW w:w="636" w:type="pct"/>
            <w:gridSpan w:val="3"/>
            <w:tcBorders>
              <w:tl2br w:val="nil"/>
              <w:tr2bl w:val="nil"/>
            </w:tcBorders>
            <w:noWrap w:val="0"/>
            <w:vAlign w:val="center"/>
          </w:tcPr>
          <w:p w14:paraId="5E73818E">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厂界</w:t>
            </w:r>
            <w:r>
              <w:rPr>
                <w:rFonts w:hint="default" w:ascii="Times New Roman" w:hAnsi="Times New Roman" w:eastAsia="宋体" w:cs="Times New Roman"/>
                <w:sz w:val="21"/>
                <w:szCs w:val="21"/>
                <w:vertAlign w:val="baseline"/>
                <w:lang w:val="en-US" w:eastAsia="zh-CN"/>
              </w:rPr>
              <w:t>下风向3#</w:t>
            </w:r>
          </w:p>
        </w:tc>
        <w:tc>
          <w:tcPr>
            <w:tcW w:w="600" w:type="pct"/>
            <w:gridSpan w:val="2"/>
            <w:tcBorders>
              <w:tl2br w:val="nil"/>
              <w:tr2bl w:val="nil"/>
            </w:tcBorders>
            <w:noWrap w:val="0"/>
            <w:vAlign w:val="center"/>
          </w:tcPr>
          <w:p w14:paraId="1B44B53D">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574" w:type="pct"/>
            <w:tcBorders>
              <w:tl2br w:val="nil"/>
              <w:tr2bl w:val="nil"/>
            </w:tcBorders>
            <w:noWrap w:val="0"/>
            <w:vAlign w:val="center"/>
          </w:tcPr>
          <w:p w14:paraId="62A6698C">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625" w:type="pct"/>
            <w:gridSpan w:val="2"/>
            <w:tcBorders>
              <w:tl2br w:val="nil"/>
              <w:tr2bl w:val="nil"/>
            </w:tcBorders>
            <w:noWrap w:val="0"/>
            <w:vAlign w:val="center"/>
          </w:tcPr>
          <w:p w14:paraId="0671D963">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0.09 </w:t>
            </w:r>
          </w:p>
        </w:tc>
        <w:tc>
          <w:tcPr>
            <w:tcW w:w="606" w:type="pct"/>
            <w:gridSpan w:val="2"/>
            <w:tcBorders>
              <w:tl2br w:val="nil"/>
              <w:tr2bl w:val="nil"/>
            </w:tcBorders>
            <w:noWrap w:val="0"/>
            <w:vAlign w:val="center"/>
          </w:tcPr>
          <w:p w14:paraId="415E2D06">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0.009 </w:t>
            </w:r>
          </w:p>
        </w:tc>
        <w:tc>
          <w:tcPr>
            <w:tcW w:w="686" w:type="pct"/>
            <w:gridSpan w:val="2"/>
            <w:vMerge w:val="continue"/>
            <w:tcBorders>
              <w:tl2br w:val="nil"/>
              <w:tr2bl w:val="nil"/>
            </w:tcBorders>
            <w:noWrap w:val="0"/>
            <w:vAlign w:val="top"/>
          </w:tcPr>
          <w:p w14:paraId="49B2EFEC">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cs="Times New Roman"/>
                <w:color w:val="auto"/>
                <w:sz w:val="21"/>
                <w:szCs w:val="21"/>
                <w:vertAlign w:val="baseline"/>
              </w:rPr>
            </w:pPr>
          </w:p>
        </w:tc>
      </w:tr>
      <w:tr w14:paraId="3D3C5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pct"/>
            <w:gridSpan w:val="2"/>
            <w:vMerge w:val="continue"/>
            <w:tcBorders>
              <w:tl2br w:val="nil"/>
              <w:tr2bl w:val="nil"/>
            </w:tcBorders>
            <w:noWrap w:val="0"/>
            <w:vAlign w:val="center"/>
          </w:tcPr>
          <w:p w14:paraId="5253999E">
            <w:pPr>
              <w:adjustRightInd/>
              <w:snapToGrid/>
              <w:spacing w:line="240" w:lineRule="auto"/>
              <w:ind w:firstLine="0" w:firstLineChars="0"/>
              <w:rPr>
                <w:rFonts w:hint="default" w:ascii="Times New Roman" w:hAnsi="Times New Roman" w:cs="Times New Roman"/>
                <w:sz w:val="21"/>
                <w:szCs w:val="21"/>
                <w:vertAlign w:val="baseline"/>
              </w:rPr>
            </w:pPr>
          </w:p>
        </w:tc>
        <w:tc>
          <w:tcPr>
            <w:tcW w:w="594" w:type="pct"/>
            <w:vMerge w:val="continue"/>
            <w:tcBorders>
              <w:tl2br w:val="nil"/>
              <w:tr2bl w:val="nil"/>
            </w:tcBorders>
            <w:noWrap w:val="0"/>
            <w:vAlign w:val="top"/>
          </w:tcPr>
          <w:p w14:paraId="67B1F79F">
            <w:pPr>
              <w:adjustRightInd/>
              <w:snapToGrid/>
              <w:spacing w:line="240" w:lineRule="auto"/>
              <w:ind w:firstLine="0" w:firstLineChars="0"/>
              <w:jc w:val="center"/>
              <w:rPr>
                <w:rFonts w:hint="default" w:ascii="Times New Roman" w:hAnsi="Times New Roman" w:cs="Times New Roman"/>
                <w:sz w:val="21"/>
                <w:szCs w:val="21"/>
                <w:vertAlign w:val="baseline"/>
                <w:lang w:val="en-US" w:eastAsia="zh-CN"/>
              </w:rPr>
            </w:pPr>
          </w:p>
        </w:tc>
        <w:tc>
          <w:tcPr>
            <w:tcW w:w="636" w:type="pct"/>
            <w:gridSpan w:val="3"/>
            <w:tcBorders>
              <w:tl2br w:val="nil"/>
              <w:tr2bl w:val="nil"/>
            </w:tcBorders>
            <w:noWrap w:val="0"/>
            <w:vAlign w:val="center"/>
          </w:tcPr>
          <w:p w14:paraId="28000A2F">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厂界</w:t>
            </w:r>
            <w:r>
              <w:rPr>
                <w:rFonts w:hint="default" w:ascii="Times New Roman" w:hAnsi="Times New Roman" w:eastAsia="宋体" w:cs="Times New Roman"/>
                <w:sz w:val="21"/>
                <w:szCs w:val="21"/>
                <w:vertAlign w:val="baseline"/>
                <w:lang w:val="en-US" w:eastAsia="zh-CN"/>
              </w:rPr>
              <w:t>下风向4#</w:t>
            </w:r>
          </w:p>
        </w:tc>
        <w:tc>
          <w:tcPr>
            <w:tcW w:w="600" w:type="pct"/>
            <w:gridSpan w:val="2"/>
            <w:tcBorders>
              <w:tl2br w:val="nil"/>
              <w:tr2bl w:val="nil"/>
            </w:tcBorders>
            <w:noWrap w:val="0"/>
            <w:vAlign w:val="center"/>
          </w:tcPr>
          <w:p w14:paraId="6A068094">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574" w:type="pct"/>
            <w:tcBorders>
              <w:tl2br w:val="nil"/>
              <w:tr2bl w:val="nil"/>
            </w:tcBorders>
            <w:noWrap w:val="0"/>
            <w:vAlign w:val="center"/>
          </w:tcPr>
          <w:p w14:paraId="5E902E39">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625" w:type="pct"/>
            <w:gridSpan w:val="2"/>
            <w:tcBorders>
              <w:tl2br w:val="nil"/>
              <w:tr2bl w:val="nil"/>
            </w:tcBorders>
            <w:noWrap w:val="0"/>
            <w:vAlign w:val="center"/>
          </w:tcPr>
          <w:p w14:paraId="0D996544">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0.08 </w:t>
            </w:r>
          </w:p>
        </w:tc>
        <w:tc>
          <w:tcPr>
            <w:tcW w:w="606" w:type="pct"/>
            <w:gridSpan w:val="2"/>
            <w:tcBorders>
              <w:tl2br w:val="nil"/>
              <w:tr2bl w:val="nil"/>
            </w:tcBorders>
            <w:noWrap w:val="0"/>
            <w:vAlign w:val="center"/>
          </w:tcPr>
          <w:p w14:paraId="3770B1E9">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0.014 </w:t>
            </w:r>
          </w:p>
        </w:tc>
        <w:tc>
          <w:tcPr>
            <w:tcW w:w="686" w:type="pct"/>
            <w:gridSpan w:val="2"/>
            <w:vMerge w:val="continue"/>
            <w:tcBorders>
              <w:tl2br w:val="nil"/>
              <w:tr2bl w:val="nil"/>
            </w:tcBorders>
            <w:noWrap w:val="0"/>
            <w:vAlign w:val="top"/>
          </w:tcPr>
          <w:p w14:paraId="0E87BF78">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cs="Times New Roman"/>
                <w:color w:val="auto"/>
                <w:sz w:val="21"/>
                <w:szCs w:val="21"/>
                <w:vertAlign w:val="baseline"/>
              </w:rPr>
            </w:pPr>
          </w:p>
        </w:tc>
      </w:tr>
      <w:tr w14:paraId="3EB46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pct"/>
            <w:gridSpan w:val="2"/>
            <w:vMerge w:val="restart"/>
            <w:tcBorders>
              <w:tl2br w:val="nil"/>
              <w:tr2bl w:val="nil"/>
            </w:tcBorders>
            <w:noWrap w:val="0"/>
            <w:vAlign w:val="center"/>
          </w:tcPr>
          <w:p w14:paraId="7BC35DC3">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default" w:ascii="Times New Roman" w:hAnsi="Times New Roman" w:cs="Times New Roman"/>
                <w:sz w:val="21"/>
                <w:szCs w:val="21"/>
                <w:vertAlign w:val="baseline"/>
                <w:lang w:val="en-US"/>
              </w:rPr>
            </w:pPr>
            <w:r>
              <w:rPr>
                <w:rFonts w:hint="eastAsia" w:ascii="Times New Roman" w:hAnsi="Times New Roman" w:cs="Times New Roman"/>
                <w:sz w:val="21"/>
                <w:szCs w:val="21"/>
                <w:vertAlign w:val="baseline"/>
                <w:lang w:val="en-US" w:eastAsia="zh-CN"/>
              </w:rPr>
              <w:t>2026.05.31</w:t>
            </w:r>
          </w:p>
        </w:tc>
        <w:tc>
          <w:tcPr>
            <w:tcW w:w="594" w:type="pct"/>
            <w:vMerge w:val="restart"/>
            <w:tcBorders>
              <w:tl2br w:val="nil"/>
              <w:tr2bl w:val="nil"/>
            </w:tcBorders>
            <w:noWrap w:val="0"/>
            <w:vAlign w:val="center"/>
          </w:tcPr>
          <w:p w14:paraId="41AF31B4">
            <w:pPr>
              <w:adjustRightInd/>
              <w:snapToGrid/>
              <w:spacing w:line="240" w:lineRule="auto"/>
              <w:ind w:firstLine="0" w:firstLineChars="0"/>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第</w:t>
            </w:r>
            <w:r>
              <w:rPr>
                <w:rFonts w:hint="eastAsia" w:ascii="Times New Roman" w:hAnsi="Times New Roman" w:cs="Times New Roman"/>
                <w:sz w:val="21"/>
                <w:szCs w:val="21"/>
                <w:vertAlign w:val="baseline"/>
                <w:lang w:val="en-US" w:eastAsia="zh-CN"/>
              </w:rPr>
              <w:t>4</w:t>
            </w:r>
            <w:r>
              <w:rPr>
                <w:rFonts w:hint="default" w:ascii="Times New Roman" w:hAnsi="Times New Roman" w:cs="Times New Roman"/>
                <w:sz w:val="21"/>
                <w:szCs w:val="21"/>
                <w:vertAlign w:val="baseline"/>
                <w:lang w:val="en-US" w:eastAsia="zh-CN"/>
              </w:rPr>
              <w:t>次</w:t>
            </w:r>
          </w:p>
        </w:tc>
        <w:tc>
          <w:tcPr>
            <w:tcW w:w="636" w:type="pct"/>
            <w:gridSpan w:val="3"/>
            <w:tcBorders>
              <w:tl2br w:val="nil"/>
              <w:tr2bl w:val="nil"/>
            </w:tcBorders>
            <w:noWrap w:val="0"/>
            <w:vAlign w:val="center"/>
          </w:tcPr>
          <w:p w14:paraId="3406D59A">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eastAsia" w:ascii="Times New Roman" w:hAnsi="Times New Roman" w:eastAsia="宋体" w:cs="Times New Roman"/>
                <w:sz w:val="21"/>
                <w:szCs w:val="21"/>
                <w:vertAlign w:val="baseline"/>
                <w:lang w:val="en-US" w:eastAsia="zh-CN" w:bidi="ar-SA"/>
              </w:rPr>
            </w:pPr>
            <w:r>
              <w:rPr>
                <w:rFonts w:hint="eastAsia" w:ascii="Times New Roman" w:hAnsi="Times New Roman" w:cs="Times New Roman"/>
                <w:sz w:val="21"/>
                <w:szCs w:val="21"/>
                <w:vertAlign w:val="baseline"/>
                <w:lang w:val="en-US" w:eastAsia="zh-CN"/>
              </w:rPr>
              <w:t>厂界</w:t>
            </w:r>
            <w:r>
              <w:rPr>
                <w:rFonts w:hint="default" w:ascii="Times New Roman" w:hAnsi="Times New Roman" w:cs="Times New Roman"/>
                <w:sz w:val="21"/>
                <w:szCs w:val="21"/>
                <w:vertAlign w:val="baseline"/>
                <w:lang w:val="en-US" w:eastAsia="zh-CN"/>
              </w:rPr>
              <w:t>上风向1#</w:t>
            </w:r>
          </w:p>
        </w:tc>
        <w:tc>
          <w:tcPr>
            <w:tcW w:w="600" w:type="pct"/>
            <w:gridSpan w:val="2"/>
            <w:tcBorders>
              <w:tl2br w:val="nil"/>
              <w:tr2bl w:val="nil"/>
            </w:tcBorders>
            <w:noWrap w:val="0"/>
            <w:vAlign w:val="center"/>
          </w:tcPr>
          <w:p w14:paraId="7D4FA48A">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574" w:type="pct"/>
            <w:tcBorders>
              <w:tl2br w:val="nil"/>
              <w:tr2bl w:val="nil"/>
            </w:tcBorders>
            <w:noWrap w:val="0"/>
            <w:vAlign w:val="center"/>
          </w:tcPr>
          <w:p w14:paraId="7A50A2FA">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625" w:type="pct"/>
            <w:gridSpan w:val="2"/>
            <w:tcBorders>
              <w:tl2br w:val="nil"/>
              <w:tr2bl w:val="nil"/>
            </w:tcBorders>
            <w:noWrap w:val="0"/>
            <w:vAlign w:val="center"/>
          </w:tcPr>
          <w:p w14:paraId="5A79182A">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0.04</w:t>
            </w:r>
          </w:p>
        </w:tc>
        <w:tc>
          <w:tcPr>
            <w:tcW w:w="606" w:type="pct"/>
            <w:gridSpan w:val="2"/>
            <w:tcBorders>
              <w:tl2br w:val="nil"/>
              <w:tr2bl w:val="nil"/>
            </w:tcBorders>
            <w:noWrap w:val="0"/>
            <w:vAlign w:val="center"/>
          </w:tcPr>
          <w:p w14:paraId="64B463F2">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0.002 </w:t>
            </w:r>
          </w:p>
        </w:tc>
        <w:tc>
          <w:tcPr>
            <w:tcW w:w="686" w:type="pct"/>
            <w:gridSpan w:val="2"/>
            <w:vMerge w:val="restart"/>
            <w:tcBorders>
              <w:tl2br w:val="nil"/>
              <w:tr2bl w:val="nil"/>
            </w:tcBorders>
            <w:noWrap w:val="0"/>
            <w:vAlign w:val="center"/>
          </w:tcPr>
          <w:p w14:paraId="19D01E60">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cs="Times New Roman"/>
                <w:color w:val="auto"/>
                <w:sz w:val="21"/>
                <w:szCs w:val="21"/>
                <w:vertAlign w:val="baseline"/>
                <w:lang w:val="en-US" w:eastAsia="zh-CN"/>
              </w:rPr>
              <w:t>天气：</w:t>
            </w:r>
            <w:r>
              <w:rPr>
                <w:rFonts w:hint="eastAsia" w:ascii="Times New Roman" w:hAnsi="Times New Roman" w:cs="Times New Roman"/>
                <w:color w:val="auto"/>
                <w:sz w:val="21"/>
                <w:szCs w:val="21"/>
                <w:vertAlign w:val="baseline"/>
                <w:lang w:val="en-US" w:eastAsia="zh-CN"/>
              </w:rPr>
              <w:t>多云</w:t>
            </w:r>
          </w:p>
          <w:p w14:paraId="7C708B09">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eastAsia"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气温（℃）：</w:t>
            </w:r>
            <w:r>
              <w:rPr>
                <w:rFonts w:hint="eastAsia" w:ascii="Times New Roman" w:hAnsi="Times New Roman" w:cs="Times New Roman"/>
                <w:color w:val="auto"/>
                <w:sz w:val="21"/>
                <w:szCs w:val="21"/>
                <w:vertAlign w:val="baseline"/>
                <w:lang w:val="en-US" w:eastAsia="zh-CN"/>
              </w:rPr>
              <w:t xml:space="preserve">29.6 </w:t>
            </w:r>
          </w:p>
          <w:p w14:paraId="4F2AC6EC">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气压（kPa）：</w:t>
            </w:r>
            <w:r>
              <w:rPr>
                <w:rFonts w:hint="eastAsia" w:ascii="Times New Roman" w:hAnsi="Times New Roman" w:cs="Times New Roman"/>
                <w:color w:val="auto"/>
                <w:sz w:val="21"/>
                <w:szCs w:val="21"/>
                <w:vertAlign w:val="baseline"/>
                <w:lang w:val="en-US" w:eastAsia="zh-CN"/>
              </w:rPr>
              <w:t>100.3</w:t>
            </w:r>
          </w:p>
          <w:p w14:paraId="3EE0341C">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cs="Times New Roman"/>
                <w:color w:val="auto"/>
                <w:sz w:val="21"/>
                <w:szCs w:val="21"/>
                <w:vertAlign w:val="baseline"/>
                <w:lang w:val="en-US" w:eastAsia="zh-CN"/>
              </w:rPr>
              <w:t>风速（m/s）：</w:t>
            </w:r>
            <w:r>
              <w:rPr>
                <w:rFonts w:hint="eastAsia" w:ascii="Times New Roman" w:hAnsi="Times New Roman" w:cs="Times New Roman"/>
                <w:color w:val="auto"/>
                <w:sz w:val="21"/>
                <w:szCs w:val="21"/>
                <w:vertAlign w:val="baseline"/>
                <w:lang w:val="en-US" w:eastAsia="zh-CN"/>
              </w:rPr>
              <w:t>1.9</w:t>
            </w:r>
          </w:p>
          <w:p w14:paraId="7B669FBF">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cs="Times New Roman"/>
                <w:color w:val="auto"/>
                <w:sz w:val="21"/>
                <w:szCs w:val="21"/>
                <w:vertAlign w:val="baseline"/>
              </w:rPr>
            </w:pPr>
            <w:r>
              <w:rPr>
                <w:rFonts w:hint="default" w:ascii="Times New Roman" w:hAnsi="Times New Roman" w:cs="Times New Roman"/>
                <w:color w:val="auto"/>
                <w:sz w:val="21"/>
                <w:szCs w:val="21"/>
                <w:vertAlign w:val="baseline"/>
                <w:lang w:val="en-US" w:eastAsia="zh-CN"/>
              </w:rPr>
              <w:t>风向：</w:t>
            </w:r>
            <w:r>
              <w:rPr>
                <w:rFonts w:hint="eastAsia" w:ascii="Times New Roman" w:hAnsi="Times New Roman" w:cs="Times New Roman"/>
                <w:color w:val="auto"/>
                <w:sz w:val="21"/>
                <w:szCs w:val="21"/>
                <w:vertAlign w:val="baseline"/>
                <w:lang w:val="en-US" w:eastAsia="zh-CN"/>
              </w:rPr>
              <w:t>SE</w:t>
            </w:r>
          </w:p>
        </w:tc>
      </w:tr>
      <w:tr w14:paraId="15B46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pct"/>
            <w:gridSpan w:val="2"/>
            <w:vMerge w:val="continue"/>
            <w:tcBorders>
              <w:tl2br w:val="nil"/>
              <w:tr2bl w:val="nil"/>
            </w:tcBorders>
            <w:noWrap w:val="0"/>
            <w:vAlign w:val="center"/>
          </w:tcPr>
          <w:p w14:paraId="6C2A2FFA">
            <w:pPr>
              <w:adjustRightInd/>
              <w:snapToGrid/>
              <w:spacing w:line="240" w:lineRule="auto"/>
              <w:ind w:firstLine="0" w:firstLineChars="0"/>
              <w:rPr>
                <w:rFonts w:hint="default" w:ascii="Times New Roman" w:hAnsi="Times New Roman" w:cs="Times New Roman"/>
                <w:sz w:val="21"/>
                <w:szCs w:val="21"/>
                <w:vertAlign w:val="baseline"/>
              </w:rPr>
            </w:pPr>
          </w:p>
        </w:tc>
        <w:tc>
          <w:tcPr>
            <w:tcW w:w="594" w:type="pct"/>
            <w:vMerge w:val="continue"/>
            <w:tcBorders>
              <w:tl2br w:val="nil"/>
              <w:tr2bl w:val="nil"/>
            </w:tcBorders>
            <w:noWrap w:val="0"/>
            <w:vAlign w:val="top"/>
          </w:tcPr>
          <w:p w14:paraId="1EA6B438">
            <w:pPr>
              <w:adjustRightInd/>
              <w:snapToGrid/>
              <w:spacing w:line="240" w:lineRule="auto"/>
              <w:ind w:firstLine="0" w:firstLineChars="0"/>
              <w:jc w:val="center"/>
              <w:rPr>
                <w:rFonts w:hint="default" w:ascii="Times New Roman" w:hAnsi="Times New Roman" w:cs="Times New Roman"/>
                <w:sz w:val="21"/>
                <w:szCs w:val="21"/>
                <w:vertAlign w:val="baseline"/>
                <w:lang w:val="en-US" w:eastAsia="zh-CN"/>
              </w:rPr>
            </w:pPr>
          </w:p>
        </w:tc>
        <w:tc>
          <w:tcPr>
            <w:tcW w:w="636" w:type="pct"/>
            <w:gridSpan w:val="3"/>
            <w:tcBorders>
              <w:tl2br w:val="nil"/>
              <w:tr2bl w:val="nil"/>
            </w:tcBorders>
            <w:noWrap w:val="0"/>
            <w:vAlign w:val="center"/>
          </w:tcPr>
          <w:p w14:paraId="12BDD84B">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eastAsia" w:ascii="Times New Roman" w:hAnsi="Times New Roman" w:eastAsia="宋体" w:cs="Times New Roman"/>
                <w:sz w:val="21"/>
                <w:szCs w:val="21"/>
                <w:vertAlign w:val="baseline"/>
                <w:lang w:val="en-US" w:eastAsia="zh-CN" w:bidi="ar-SA"/>
              </w:rPr>
            </w:pPr>
            <w:r>
              <w:rPr>
                <w:rFonts w:hint="eastAsia" w:ascii="Times New Roman" w:hAnsi="Times New Roman" w:cs="Times New Roman"/>
                <w:sz w:val="21"/>
                <w:szCs w:val="21"/>
                <w:vertAlign w:val="baseline"/>
                <w:lang w:val="en-US" w:eastAsia="zh-CN"/>
              </w:rPr>
              <w:t>厂界</w:t>
            </w:r>
            <w:r>
              <w:rPr>
                <w:rFonts w:hint="default" w:ascii="Times New Roman" w:hAnsi="Times New Roman" w:eastAsia="宋体" w:cs="Times New Roman"/>
                <w:sz w:val="21"/>
                <w:szCs w:val="21"/>
                <w:vertAlign w:val="baseline"/>
                <w:lang w:val="en-US" w:eastAsia="zh-CN"/>
              </w:rPr>
              <w:t>下风向2#</w:t>
            </w:r>
          </w:p>
        </w:tc>
        <w:tc>
          <w:tcPr>
            <w:tcW w:w="600" w:type="pct"/>
            <w:gridSpan w:val="2"/>
            <w:tcBorders>
              <w:tl2br w:val="nil"/>
              <w:tr2bl w:val="nil"/>
            </w:tcBorders>
            <w:noWrap w:val="0"/>
            <w:vAlign w:val="center"/>
          </w:tcPr>
          <w:p w14:paraId="17E526D9">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574" w:type="pct"/>
            <w:tcBorders>
              <w:tl2br w:val="nil"/>
              <w:tr2bl w:val="nil"/>
            </w:tcBorders>
            <w:noWrap w:val="0"/>
            <w:vAlign w:val="center"/>
          </w:tcPr>
          <w:p w14:paraId="5699EC0E">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625" w:type="pct"/>
            <w:gridSpan w:val="2"/>
            <w:tcBorders>
              <w:tl2br w:val="nil"/>
              <w:tr2bl w:val="nil"/>
            </w:tcBorders>
            <w:noWrap w:val="0"/>
            <w:vAlign w:val="center"/>
          </w:tcPr>
          <w:p w14:paraId="0EBF7BF2">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0.11 </w:t>
            </w:r>
          </w:p>
        </w:tc>
        <w:tc>
          <w:tcPr>
            <w:tcW w:w="606" w:type="pct"/>
            <w:gridSpan w:val="2"/>
            <w:tcBorders>
              <w:tl2br w:val="nil"/>
              <w:tr2bl w:val="nil"/>
            </w:tcBorders>
            <w:noWrap w:val="0"/>
            <w:vAlign w:val="center"/>
          </w:tcPr>
          <w:p w14:paraId="19DD8503">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0.013 </w:t>
            </w:r>
          </w:p>
        </w:tc>
        <w:tc>
          <w:tcPr>
            <w:tcW w:w="686" w:type="pct"/>
            <w:gridSpan w:val="2"/>
            <w:vMerge w:val="continue"/>
            <w:tcBorders>
              <w:tl2br w:val="nil"/>
              <w:tr2bl w:val="nil"/>
            </w:tcBorders>
            <w:noWrap w:val="0"/>
            <w:vAlign w:val="top"/>
          </w:tcPr>
          <w:p w14:paraId="7B4D7B40">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cs="Times New Roman"/>
                <w:color w:val="auto"/>
                <w:sz w:val="21"/>
                <w:szCs w:val="21"/>
                <w:vertAlign w:val="baseline"/>
              </w:rPr>
            </w:pPr>
          </w:p>
        </w:tc>
      </w:tr>
      <w:tr w14:paraId="04798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pct"/>
            <w:gridSpan w:val="2"/>
            <w:vMerge w:val="continue"/>
            <w:tcBorders>
              <w:tl2br w:val="nil"/>
              <w:tr2bl w:val="nil"/>
            </w:tcBorders>
            <w:noWrap w:val="0"/>
            <w:vAlign w:val="center"/>
          </w:tcPr>
          <w:p w14:paraId="5ECE2FD9">
            <w:pPr>
              <w:adjustRightInd/>
              <w:snapToGrid/>
              <w:spacing w:line="240" w:lineRule="auto"/>
              <w:ind w:firstLine="0" w:firstLineChars="0"/>
              <w:rPr>
                <w:rFonts w:hint="default" w:ascii="Times New Roman" w:hAnsi="Times New Roman" w:cs="Times New Roman"/>
                <w:sz w:val="21"/>
                <w:szCs w:val="21"/>
                <w:vertAlign w:val="baseline"/>
              </w:rPr>
            </w:pPr>
          </w:p>
        </w:tc>
        <w:tc>
          <w:tcPr>
            <w:tcW w:w="594" w:type="pct"/>
            <w:vMerge w:val="continue"/>
            <w:tcBorders>
              <w:tl2br w:val="nil"/>
              <w:tr2bl w:val="nil"/>
            </w:tcBorders>
            <w:noWrap w:val="0"/>
            <w:vAlign w:val="top"/>
          </w:tcPr>
          <w:p w14:paraId="432C086F">
            <w:pPr>
              <w:adjustRightInd/>
              <w:snapToGrid/>
              <w:spacing w:line="240" w:lineRule="auto"/>
              <w:ind w:firstLine="0" w:firstLineChars="0"/>
              <w:jc w:val="center"/>
              <w:rPr>
                <w:rFonts w:hint="default" w:ascii="Times New Roman" w:hAnsi="Times New Roman" w:cs="Times New Roman"/>
                <w:sz w:val="21"/>
                <w:szCs w:val="21"/>
                <w:vertAlign w:val="baseline"/>
                <w:lang w:val="en-US" w:eastAsia="zh-CN"/>
              </w:rPr>
            </w:pPr>
          </w:p>
        </w:tc>
        <w:tc>
          <w:tcPr>
            <w:tcW w:w="636" w:type="pct"/>
            <w:gridSpan w:val="3"/>
            <w:tcBorders>
              <w:tl2br w:val="nil"/>
              <w:tr2bl w:val="nil"/>
            </w:tcBorders>
            <w:noWrap w:val="0"/>
            <w:vAlign w:val="center"/>
          </w:tcPr>
          <w:p w14:paraId="47BEF040">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eastAsia" w:ascii="Times New Roman" w:hAnsi="Times New Roman" w:eastAsia="宋体" w:cs="Times New Roman"/>
                <w:sz w:val="21"/>
                <w:szCs w:val="21"/>
                <w:vertAlign w:val="baseline"/>
                <w:lang w:val="en-US" w:eastAsia="zh-CN" w:bidi="ar-SA"/>
              </w:rPr>
            </w:pPr>
            <w:r>
              <w:rPr>
                <w:rFonts w:hint="eastAsia" w:ascii="Times New Roman" w:hAnsi="Times New Roman" w:cs="Times New Roman"/>
                <w:sz w:val="21"/>
                <w:szCs w:val="21"/>
                <w:vertAlign w:val="baseline"/>
                <w:lang w:val="en-US" w:eastAsia="zh-CN"/>
              </w:rPr>
              <w:t>厂界</w:t>
            </w:r>
            <w:r>
              <w:rPr>
                <w:rFonts w:hint="default" w:ascii="Times New Roman" w:hAnsi="Times New Roman" w:eastAsia="宋体" w:cs="Times New Roman"/>
                <w:sz w:val="21"/>
                <w:szCs w:val="21"/>
                <w:vertAlign w:val="baseline"/>
                <w:lang w:val="en-US" w:eastAsia="zh-CN"/>
              </w:rPr>
              <w:t>下风向3#</w:t>
            </w:r>
          </w:p>
        </w:tc>
        <w:tc>
          <w:tcPr>
            <w:tcW w:w="600" w:type="pct"/>
            <w:gridSpan w:val="2"/>
            <w:tcBorders>
              <w:tl2br w:val="nil"/>
              <w:tr2bl w:val="nil"/>
            </w:tcBorders>
            <w:noWrap w:val="0"/>
            <w:vAlign w:val="center"/>
          </w:tcPr>
          <w:p w14:paraId="6F00CFCB">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574" w:type="pct"/>
            <w:tcBorders>
              <w:tl2br w:val="nil"/>
              <w:tr2bl w:val="nil"/>
            </w:tcBorders>
            <w:noWrap w:val="0"/>
            <w:vAlign w:val="center"/>
          </w:tcPr>
          <w:p w14:paraId="7BFBF416">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625" w:type="pct"/>
            <w:gridSpan w:val="2"/>
            <w:tcBorders>
              <w:tl2br w:val="nil"/>
              <w:tr2bl w:val="nil"/>
            </w:tcBorders>
            <w:noWrap w:val="0"/>
            <w:vAlign w:val="center"/>
          </w:tcPr>
          <w:p w14:paraId="3C024803">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0.08 </w:t>
            </w:r>
          </w:p>
        </w:tc>
        <w:tc>
          <w:tcPr>
            <w:tcW w:w="606" w:type="pct"/>
            <w:gridSpan w:val="2"/>
            <w:tcBorders>
              <w:tl2br w:val="nil"/>
              <w:tr2bl w:val="nil"/>
            </w:tcBorders>
            <w:noWrap w:val="0"/>
            <w:vAlign w:val="center"/>
          </w:tcPr>
          <w:p w14:paraId="57C570B8">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0.007 </w:t>
            </w:r>
          </w:p>
        </w:tc>
        <w:tc>
          <w:tcPr>
            <w:tcW w:w="686" w:type="pct"/>
            <w:gridSpan w:val="2"/>
            <w:vMerge w:val="continue"/>
            <w:tcBorders>
              <w:tl2br w:val="nil"/>
              <w:tr2bl w:val="nil"/>
            </w:tcBorders>
            <w:noWrap w:val="0"/>
            <w:vAlign w:val="top"/>
          </w:tcPr>
          <w:p w14:paraId="01D6B12F">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cs="Times New Roman"/>
                <w:color w:val="auto"/>
                <w:sz w:val="21"/>
                <w:szCs w:val="21"/>
                <w:vertAlign w:val="baseline"/>
              </w:rPr>
            </w:pPr>
          </w:p>
        </w:tc>
      </w:tr>
      <w:tr w14:paraId="34A9F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pct"/>
            <w:gridSpan w:val="2"/>
            <w:vMerge w:val="continue"/>
            <w:tcBorders>
              <w:tl2br w:val="nil"/>
              <w:tr2bl w:val="nil"/>
            </w:tcBorders>
            <w:noWrap w:val="0"/>
            <w:vAlign w:val="center"/>
          </w:tcPr>
          <w:p w14:paraId="10F193DB">
            <w:pPr>
              <w:adjustRightInd/>
              <w:snapToGrid/>
              <w:spacing w:line="240" w:lineRule="auto"/>
              <w:ind w:firstLine="0" w:firstLineChars="0"/>
              <w:rPr>
                <w:rFonts w:hint="default" w:ascii="Times New Roman" w:hAnsi="Times New Roman" w:cs="Times New Roman"/>
                <w:sz w:val="21"/>
                <w:szCs w:val="21"/>
                <w:vertAlign w:val="baseline"/>
              </w:rPr>
            </w:pPr>
          </w:p>
        </w:tc>
        <w:tc>
          <w:tcPr>
            <w:tcW w:w="594" w:type="pct"/>
            <w:vMerge w:val="continue"/>
            <w:tcBorders>
              <w:tl2br w:val="nil"/>
              <w:tr2bl w:val="nil"/>
            </w:tcBorders>
            <w:noWrap w:val="0"/>
            <w:vAlign w:val="top"/>
          </w:tcPr>
          <w:p w14:paraId="7747A823">
            <w:pPr>
              <w:adjustRightInd/>
              <w:snapToGrid/>
              <w:spacing w:line="240" w:lineRule="auto"/>
              <w:ind w:firstLine="0" w:firstLineChars="0"/>
              <w:jc w:val="center"/>
              <w:rPr>
                <w:rFonts w:hint="default" w:ascii="Times New Roman" w:hAnsi="Times New Roman" w:cs="Times New Roman"/>
                <w:sz w:val="21"/>
                <w:szCs w:val="21"/>
                <w:vertAlign w:val="baseline"/>
                <w:lang w:val="en-US" w:eastAsia="zh-CN"/>
              </w:rPr>
            </w:pPr>
          </w:p>
        </w:tc>
        <w:tc>
          <w:tcPr>
            <w:tcW w:w="636" w:type="pct"/>
            <w:gridSpan w:val="3"/>
            <w:tcBorders>
              <w:tl2br w:val="nil"/>
              <w:tr2bl w:val="nil"/>
            </w:tcBorders>
            <w:noWrap w:val="0"/>
            <w:vAlign w:val="center"/>
          </w:tcPr>
          <w:p w14:paraId="428870B4">
            <w:pPr>
              <w:keepNext w:val="0"/>
              <w:keepLines w:val="0"/>
              <w:pageBreakBefore w:val="0"/>
              <w:widowControl/>
              <w:kinsoku/>
              <w:wordWrap/>
              <w:overflowPunct/>
              <w:topLinePunct w:val="0"/>
              <w:autoSpaceDE/>
              <w:autoSpaceDN/>
              <w:bidi w:val="0"/>
              <w:adjustRightInd/>
              <w:snapToGrid/>
              <w:spacing w:line="240" w:lineRule="auto"/>
              <w:ind w:left="-120" w:leftChars="-50" w:right="-120" w:rightChars="-50" w:firstLine="0" w:firstLineChars="0"/>
              <w:jc w:val="center"/>
              <w:textAlignment w:val="auto"/>
              <w:rPr>
                <w:rFonts w:hint="eastAsia" w:ascii="Times New Roman" w:hAnsi="Times New Roman" w:eastAsia="宋体" w:cs="Times New Roman"/>
                <w:sz w:val="21"/>
                <w:szCs w:val="21"/>
                <w:vertAlign w:val="baseline"/>
                <w:lang w:val="en-US" w:eastAsia="zh-CN" w:bidi="ar-SA"/>
              </w:rPr>
            </w:pPr>
            <w:r>
              <w:rPr>
                <w:rFonts w:hint="eastAsia" w:ascii="Times New Roman" w:hAnsi="Times New Roman" w:cs="Times New Roman"/>
                <w:sz w:val="21"/>
                <w:szCs w:val="21"/>
                <w:vertAlign w:val="baseline"/>
                <w:lang w:val="en-US" w:eastAsia="zh-CN"/>
              </w:rPr>
              <w:t>厂界</w:t>
            </w:r>
            <w:r>
              <w:rPr>
                <w:rFonts w:hint="default" w:ascii="Times New Roman" w:hAnsi="Times New Roman" w:eastAsia="宋体" w:cs="Times New Roman"/>
                <w:sz w:val="21"/>
                <w:szCs w:val="21"/>
                <w:vertAlign w:val="baseline"/>
                <w:lang w:val="en-US" w:eastAsia="zh-CN"/>
              </w:rPr>
              <w:t>下风向4#</w:t>
            </w:r>
          </w:p>
        </w:tc>
        <w:tc>
          <w:tcPr>
            <w:tcW w:w="600" w:type="pct"/>
            <w:gridSpan w:val="2"/>
            <w:tcBorders>
              <w:tl2br w:val="nil"/>
              <w:tr2bl w:val="nil"/>
            </w:tcBorders>
            <w:noWrap w:val="0"/>
            <w:vAlign w:val="center"/>
          </w:tcPr>
          <w:p w14:paraId="3FBE5C1C">
            <w:pPr>
              <w:adjustRightInd/>
              <w:snapToGrid/>
              <w:spacing w:line="240" w:lineRule="auto"/>
              <w:ind w:firstLine="0" w:firstLineChars="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574" w:type="pct"/>
            <w:tcBorders>
              <w:tl2br w:val="nil"/>
              <w:tr2bl w:val="nil"/>
            </w:tcBorders>
            <w:noWrap w:val="0"/>
            <w:vAlign w:val="center"/>
          </w:tcPr>
          <w:p w14:paraId="26A8521B">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未检出</w:t>
            </w:r>
          </w:p>
        </w:tc>
        <w:tc>
          <w:tcPr>
            <w:tcW w:w="625" w:type="pct"/>
            <w:gridSpan w:val="2"/>
            <w:tcBorders>
              <w:tl2br w:val="nil"/>
              <w:tr2bl w:val="nil"/>
            </w:tcBorders>
            <w:noWrap w:val="0"/>
            <w:vAlign w:val="center"/>
          </w:tcPr>
          <w:p w14:paraId="48ABADB1">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0.08 </w:t>
            </w:r>
          </w:p>
        </w:tc>
        <w:tc>
          <w:tcPr>
            <w:tcW w:w="606" w:type="pct"/>
            <w:gridSpan w:val="2"/>
            <w:tcBorders>
              <w:tl2br w:val="nil"/>
              <w:tr2bl w:val="nil"/>
            </w:tcBorders>
            <w:noWrap w:val="0"/>
            <w:vAlign w:val="center"/>
          </w:tcPr>
          <w:p w14:paraId="0F99C5E7">
            <w:pPr>
              <w:adjustRightInd/>
              <w:snapToGrid/>
              <w:spacing w:line="240" w:lineRule="auto"/>
              <w:ind w:firstLine="0" w:firstLineChars="0"/>
              <w:jc w:val="center"/>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 xml:space="preserve">0.010 </w:t>
            </w:r>
          </w:p>
        </w:tc>
        <w:tc>
          <w:tcPr>
            <w:tcW w:w="686" w:type="pct"/>
            <w:gridSpan w:val="2"/>
            <w:vMerge w:val="continue"/>
            <w:tcBorders>
              <w:tl2br w:val="nil"/>
              <w:tr2bl w:val="nil"/>
            </w:tcBorders>
            <w:noWrap w:val="0"/>
            <w:vAlign w:val="top"/>
          </w:tcPr>
          <w:p w14:paraId="7DA02669">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cs="Times New Roman"/>
                <w:color w:val="auto"/>
                <w:sz w:val="21"/>
                <w:szCs w:val="21"/>
                <w:vertAlign w:val="baseline"/>
              </w:rPr>
            </w:pPr>
          </w:p>
        </w:tc>
      </w:tr>
    </w:tbl>
    <w:p w14:paraId="554DF600">
      <w:pPr>
        <w:ind w:firstLine="480"/>
        <w:jc w:val="both"/>
        <w:rPr>
          <w:rFonts w:hint="eastAsia" w:cs="Times New Roman"/>
          <w:color w:val="FF0000"/>
        </w:rPr>
        <w:sectPr>
          <w:pgSz w:w="16838" w:h="11906" w:orient="landscape"/>
          <w:pgMar w:top="1417" w:right="1417" w:bottom="1417" w:left="1417" w:header="851" w:footer="992" w:gutter="0"/>
          <w:cols w:space="425" w:num="1"/>
          <w:docGrid w:type="lines" w:linePitch="326" w:charSpace="0"/>
        </w:sectPr>
      </w:pPr>
      <w:r>
        <w:rPr>
          <w:rFonts w:cs="Times New Roman"/>
          <w:color w:val="auto"/>
        </w:rPr>
        <w:t>根据上表的监测结果，</w:t>
      </w:r>
      <w:bookmarkStart w:id="57" w:name="_Hlk101360484"/>
      <w:r>
        <w:rPr>
          <w:rFonts w:hint="eastAsia" w:cs="Times New Roman"/>
          <w:color w:val="auto"/>
          <w:lang w:val="en-US" w:eastAsia="zh-CN"/>
        </w:rPr>
        <w:t>各项因子</w:t>
      </w:r>
      <w:r>
        <w:rPr>
          <w:rFonts w:hint="eastAsia"/>
          <w:szCs w:val="24"/>
        </w:rPr>
        <w:t>无组织排放浓度达到《</w:t>
      </w:r>
      <w:r>
        <w:rPr>
          <w:rFonts w:hint="eastAsia"/>
        </w:rPr>
        <w:t>大气污染物综合排放标准》（G</w:t>
      </w:r>
      <w:r>
        <w:t>B16297-1996</w:t>
      </w:r>
      <w:r>
        <w:rPr>
          <w:rFonts w:hint="eastAsia"/>
        </w:rPr>
        <w:t>）氯化氢</w:t>
      </w:r>
      <w:r>
        <w:t>0.2</w:t>
      </w:r>
      <w:r>
        <w:rPr>
          <w:rFonts w:hint="eastAsia"/>
        </w:rPr>
        <w:t>mg/m</w:t>
      </w:r>
      <w:r>
        <w:rPr>
          <w:rFonts w:hint="eastAsia"/>
          <w:vertAlign w:val="superscript"/>
        </w:rPr>
        <w:t>3</w:t>
      </w:r>
      <w:r>
        <w:rPr>
          <w:rFonts w:hint="eastAsia"/>
        </w:rPr>
        <w:t>、硫酸雾1.2mg/m</w:t>
      </w:r>
      <w:r>
        <w:rPr>
          <w:rFonts w:hint="eastAsia"/>
          <w:vertAlign w:val="superscript"/>
        </w:rPr>
        <w:t>3</w:t>
      </w:r>
      <w:r>
        <w:rPr>
          <w:rFonts w:hint="eastAsia"/>
        </w:rPr>
        <w:t>和《恶臭污染物排放标准》（GB14554-93）氨1.5mg/m</w:t>
      </w:r>
      <w:r>
        <w:rPr>
          <w:rFonts w:hint="eastAsia"/>
          <w:vertAlign w:val="superscript"/>
        </w:rPr>
        <w:t>3</w:t>
      </w:r>
      <w:r>
        <w:rPr>
          <w:rFonts w:hint="eastAsia"/>
        </w:rPr>
        <w:t>、硫化氢0.06 mg/m</w:t>
      </w:r>
      <w:r>
        <w:rPr>
          <w:rFonts w:hint="eastAsia"/>
          <w:vertAlign w:val="superscript"/>
        </w:rPr>
        <w:t>3</w:t>
      </w:r>
      <w:r>
        <w:rPr>
          <w:rFonts w:hint="eastAsia"/>
        </w:rPr>
        <w:t>的标准限值</w:t>
      </w:r>
      <w:r>
        <w:rPr>
          <w:rFonts w:ascii="宋体" w:hAnsi="宋体"/>
          <w:szCs w:val="24"/>
        </w:rPr>
        <w:t>。</w:t>
      </w:r>
    </w:p>
    <w:p w14:paraId="1F390F33">
      <w:pPr>
        <w:spacing w:line="93" w:lineRule="auto"/>
        <w:ind w:firstLine="40"/>
        <w:rPr>
          <w:color w:val="FF0000"/>
          <w:sz w:val="2"/>
        </w:rPr>
      </w:pPr>
    </w:p>
    <w:bookmarkEnd w:id="57"/>
    <w:p w14:paraId="4EDBD37C">
      <w:pPr>
        <w:pStyle w:val="5"/>
        <w:ind w:firstLine="482"/>
        <w:rPr>
          <w:rFonts w:cs="Times New Roman"/>
          <w:color w:val="auto"/>
        </w:rPr>
      </w:pPr>
      <w:r>
        <w:rPr>
          <w:rFonts w:cs="Times New Roman"/>
          <w:color w:val="auto"/>
        </w:rPr>
        <w:t>9.2.1.3噪声</w:t>
      </w:r>
    </w:p>
    <w:p w14:paraId="624D258B">
      <w:pPr>
        <w:ind w:firstLine="480"/>
        <w:rPr>
          <w:rFonts w:cs="Times New Roman"/>
          <w:color w:val="auto"/>
          <w:sz w:val="22"/>
        </w:rPr>
      </w:pPr>
      <w:r>
        <w:rPr>
          <w:rFonts w:cs="Times New Roman"/>
          <w:color w:val="auto"/>
        </w:rPr>
        <w:t>本项目</w:t>
      </w:r>
      <w:r>
        <w:rPr>
          <w:rFonts w:hint="eastAsia" w:cs="Times New Roman"/>
          <w:color w:val="auto"/>
        </w:rPr>
        <w:t>厂界</w:t>
      </w:r>
      <w:r>
        <w:rPr>
          <w:rFonts w:cs="Times New Roman"/>
          <w:color w:val="auto"/>
        </w:rPr>
        <w:t>噪声监测结果见下表。</w:t>
      </w:r>
    </w:p>
    <w:p w14:paraId="26027BB2">
      <w:pPr>
        <w:pStyle w:val="40"/>
        <w:spacing w:beforeLines="0" w:line="520" w:lineRule="exact"/>
        <w:rPr>
          <w:color w:val="auto"/>
        </w:rPr>
      </w:pPr>
      <w:r>
        <w:rPr>
          <w:color w:val="auto"/>
        </w:rPr>
        <w:t>表9-</w:t>
      </w:r>
      <w:r>
        <w:rPr>
          <w:rFonts w:hint="eastAsia"/>
          <w:color w:val="auto"/>
        </w:rPr>
        <w:t>7</w:t>
      </w:r>
      <w:r>
        <w:rPr>
          <w:color w:val="auto"/>
        </w:rPr>
        <w:t xml:space="preserve">                                 噪声监测结果</w:t>
      </w:r>
    </w:p>
    <w:tbl>
      <w:tblPr>
        <w:tblStyle w:val="26"/>
        <w:tblW w:w="498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64"/>
        <w:gridCol w:w="2220"/>
        <w:gridCol w:w="1152"/>
        <w:gridCol w:w="1239"/>
        <w:gridCol w:w="1741"/>
        <w:gridCol w:w="1439"/>
      </w:tblGrid>
      <w:tr w14:paraId="4D44D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31" w:type="pct"/>
            <w:vAlign w:val="center"/>
          </w:tcPr>
          <w:p w14:paraId="0354E6A0">
            <w:pPr>
              <w:pStyle w:val="69"/>
              <w:rPr>
                <w:b/>
                <w:bCs/>
                <w:color w:val="auto"/>
              </w:rPr>
            </w:pPr>
            <w:r>
              <w:rPr>
                <w:rFonts w:hint="eastAsia"/>
                <w:b/>
                <w:bCs/>
                <w:color w:val="auto"/>
              </w:rPr>
              <w:t>检测点位</w:t>
            </w:r>
          </w:p>
        </w:tc>
        <w:tc>
          <w:tcPr>
            <w:tcW w:w="1001" w:type="pct"/>
            <w:vAlign w:val="center"/>
          </w:tcPr>
          <w:p w14:paraId="6B202C3D">
            <w:pPr>
              <w:pStyle w:val="69"/>
              <w:rPr>
                <w:b/>
                <w:bCs/>
                <w:color w:val="auto"/>
              </w:rPr>
            </w:pPr>
            <w:r>
              <w:rPr>
                <w:rFonts w:hint="eastAsia"/>
                <w:b/>
                <w:bCs/>
                <w:color w:val="auto"/>
              </w:rPr>
              <w:t>检测日期</w:t>
            </w:r>
          </w:p>
        </w:tc>
        <w:tc>
          <w:tcPr>
            <w:tcW w:w="1371" w:type="pct"/>
            <w:gridSpan w:val="2"/>
            <w:vAlign w:val="center"/>
          </w:tcPr>
          <w:p w14:paraId="4C4E0F22">
            <w:pPr>
              <w:pStyle w:val="69"/>
              <w:rPr>
                <w:b/>
                <w:bCs/>
                <w:color w:val="auto"/>
              </w:rPr>
            </w:pPr>
            <w:r>
              <w:rPr>
                <w:rFonts w:hint="eastAsia"/>
                <w:b/>
                <w:bCs/>
                <w:color w:val="auto"/>
              </w:rPr>
              <w:t>检测时间</w:t>
            </w:r>
          </w:p>
        </w:tc>
        <w:tc>
          <w:tcPr>
            <w:tcW w:w="980" w:type="pct"/>
            <w:vAlign w:val="center"/>
          </w:tcPr>
          <w:p w14:paraId="69A75634">
            <w:pPr>
              <w:pStyle w:val="69"/>
              <w:rPr>
                <w:b/>
                <w:bCs/>
                <w:color w:val="auto"/>
              </w:rPr>
            </w:pPr>
            <w:r>
              <w:rPr>
                <w:rFonts w:hint="eastAsia"/>
                <w:b/>
                <w:bCs/>
                <w:color w:val="auto"/>
              </w:rPr>
              <w:t>检测结果</w:t>
            </w:r>
          </w:p>
          <w:p w14:paraId="53A2F456">
            <w:pPr>
              <w:pStyle w:val="69"/>
              <w:rPr>
                <w:b/>
                <w:bCs/>
                <w:color w:val="auto"/>
              </w:rPr>
            </w:pPr>
            <w:r>
              <w:rPr>
                <w:b/>
                <w:bCs/>
                <w:color w:val="auto"/>
              </w:rPr>
              <w:t>L</w:t>
            </w:r>
            <w:r>
              <w:rPr>
                <w:b/>
                <w:bCs/>
                <w:color w:val="auto"/>
                <w:vertAlign w:val="subscript"/>
              </w:rPr>
              <w:t>eq</w:t>
            </w:r>
            <w:r>
              <w:rPr>
                <w:b/>
                <w:bCs/>
                <w:color w:val="auto"/>
              </w:rPr>
              <w:t>[dB(A)]</w:t>
            </w:r>
          </w:p>
        </w:tc>
        <w:tc>
          <w:tcPr>
            <w:tcW w:w="815" w:type="pct"/>
            <w:vAlign w:val="center"/>
          </w:tcPr>
          <w:p w14:paraId="2D847337">
            <w:pPr>
              <w:pStyle w:val="69"/>
              <w:rPr>
                <w:b/>
                <w:bCs/>
                <w:color w:val="auto"/>
              </w:rPr>
            </w:pPr>
            <w:r>
              <w:rPr>
                <w:rFonts w:hint="eastAsia"/>
                <w:b/>
                <w:bCs/>
                <w:color w:val="auto"/>
              </w:rPr>
              <w:t>主要声源</w:t>
            </w:r>
          </w:p>
        </w:tc>
      </w:tr>
      <w:tr w14:paraId="7162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31" w:type="pct"/>
            <w:vMerge w:val="restart"/>
            <w:vAlign w:val="center"/>
          </w:tcPr>
          <w:p w14:paraId="75154C6E">
            <w:pPr>
              <w:pStyle w:val="69"/>
              <w:rPr>
                <w:color w:val="auto"/>
              </w:rPr>
            </w:pPr>
            <w:r>
              <w:rPr>
                <w:rFonts w:hint="eastAsia"/>
                <w:color w:val="auto"/>
              </w:rPr>
              <w:t>北厂界</w:t>
            </w:r>
          </w:p>
        </w:tc>
        <w:tc>
          <w:tcPr>
            <w:tcW w:w="1853" w:type="dxa"/>
            <w:vMerge w:val="restart"/>
            <w:vAlign w:val="center"/>
          </w:tcPr>
          <w:p w14:paraId="4D220428">
            <w:pPr>
              <w:pStyle w:val="69"/>
              <w:rPr>
                <w:rFonts w:hint="eastAsia"/>
                <w:color w:val="auto"/>
              </w:rPr>
            </w:pPr>
            <w:r>
              <w:rPr>
                <w:rFonts w:hint="eastAsia"/>
                <w:color w:val="auto"/>
                <w:lang w:val="en-US" w:eastAsia="zh-CN"/>
              </w:rPr>
              <w:t>2026.05.06~2026.05.07</w:t>
            </w:r>
          </w:p>
        </w:tc>
        <w:tc>
          <w:tcPr>
            <w:tcW w:w="1371" w:type="pct"/>
            <w:gridSpan w:val="2"/>
            <w:vAlign w:val="center"/>
          </w:tcPr>
          <w:p w14:paraId="2D065776">
            <w:pPr>
              <w:pStyle w:val="69"/>
              <w:rPr>
                <w:color w:val="auto"/>
              </w:rPr>
            </w:pPr>
            <w:r>
              <w:rPr>
                <w:rFonts w:hint="eastAsia"/>
                <w:color w:val="auto"/>
              </w:rPr>
              <w:t>昼间</w:t>
            </w:r>
          </w:p>
        </w:tc>
        <w:tc>
          <w:tcPr>
            <w:tcW w:w="1814" w:type="dxa"/>
            <w:vAlign w:val="center"/>
          </w:tcPr>
          <w:p w14:paraId="6756170B">
            <w:pPr>
              <w:pStyle w:val="69"/>
              <w:rPr>
                <w:rFonts w:hint="eastAsia"/>
                <w:color w:val="auto"/>
              </w:rPr>
            </w:pPr>
            <w:r>
              <w:rPr>
                <w:rFonts w:hint="eastAsia"/>
                <w:color w:val="auto"/>
                <w:lang w:val="en-US" w:eastAsia="zh-CN"/>
              </w:rPr>
              <w:t>54</w:t>
            </w:r>
          </w:p>
        </w:tc>
        <w:tc>
          <w:tcPr>
            <w:tcW w:w="815" w:type="pct"/>
            <w:vAlign w:val="center"/>
          </w:tcPr>
          <w:p w14:paraId="6CBEDE48">
            <w:pPr>
              <w:pStyle w:val="69"/>
              <w:rPr>
                <w:color w:val="auto"/>
              </w:rPr>
            </w:pPr>
            <w:r>
              <w:rPr>
                <w:rFonts w:hint="eastAsia"/>
                <w:color w:val="auto"/>
              </w:rPr>
              <w:t>机械噪声</w:t>
            </w:r>
          </w:p>
        </w:tc>
      </w:tr>
      <w:tr w14:paraId="5F921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31" w:type="pct"/>
            <w:vMerge w:val="continue"/>
            <w:vAlign w:val="center"/>
          </w:tcPr>
          <w:p w14:paraId="638F63DE">
            <w:pPr>
              <w:pStyle w:val="69"/>
              <w:rPr>
                <w:color w:val="auto"/>
              </w:rPr>
            </w:pPr>
          </w:p>
        </w:tc>
        <w:tc>
          <w:tcPr>
            <w:tcW w:w="1001" w:type="pct"/>
            <w:vMerge w:val="continue"/>
            <w:vAlign w:val="center"/>
          </w:tcPr>
          <w:p w14:paraId="0EF71B2F">
            <w:pPr>
              <w:pStyle w:val="69"/>
              <w:rPr>
                <w:rFonts w:hint="eastAsia"/>
                <w:color w:val="auto"/>
              </w:rPr>
            </w:pPr>
          </w:p>
        </w:tc>
        <w:tc>
          <w:tcPr>
            <w:tcW w:w="1371" w:type="pct"/>
            <w:gridSpan w:val="2"/>
            <w:vAlign w:val="center"/>
          </w:tcPr>
          <w:p w14:paraId="38DAA441">
            <w:pPr>
              <w:pStyle w:val="69"/>
              <w:rPr>
                <w:color w:val="auto"/>
              </w:rPr>
            </w:pPr>
            <w:r>
              <w:rPr>
                <w:rFonts w:hint="eastAsia"/>
                <w:color w:val="auto"/>
              </w:rPr>
              <w:t>夜间</w:t>
            </w:r>
          </w:p>
        </w:tc>
        <w:tc>
          <w:tcPr>
            <w:tcW w:w="1814" w:type="dxa"/>
            <w:vAlign w:val="center"/>
          </w:tcPr>
          <w:p w14:paraId="36DC24B6">
            <w:pPr>
              <w:pStyle w:val="69"/>
              <w:rPr>
                <w:rFonts w:hint="eastAsia"/>
                <w:color w:val="auto"/>
              </w:rPr>
            </w:pPr>
            <w:r>
              <w:rPr>
                <w:rFonts w:hint="eastAsia"/>
                <w:color w:val="auto"/>
                <w:lang w:val="en-US" w:eastAsia="zh-CN"/>
              </w:rPr>
              <w:t>42</w:t>
            </w:r>
          </w:p>
        </w:tc>
        <w:tc>
          <w:tcPr>
            <w:tcW w:w="815" w:type="pct"/>
            <w:vAlign w:val="center"/>
          </w:tcPr>
          <w:p w14:paraId="36791E74">
            <w:pPr>
              <w:pStyle w:val="69"/>
              <w:rPr>
                <w:color w:val="auto"/>
              </w:rPr>
            </w:pPr>
            <w:r>
              <w:rPr>
                <w:rFonts w:hint="eastAsia"/>
                <w:color w:val="auto"/>
              </w:rPr>
              <w:t>机械噪声</w:t>
            </w:r>
          </w:p>
        </w:tc>
      </w:tr>
      <w:tr w14:paraId="08482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31" w:type="pct"/>
            <w:vMerge w:val="continue"/>
            <w:vAlign w:val="center"/>
          </w:tcPr>
          <w:p w14:paraId="0234829F">
            <w:pPr>
              <w:pStyle w:val="69"/>
              <w:rPr>
                <w:color w:val="auto"/>
              </w:rPr>
            </w:pPr>
          </w:p>
        </w:tc>
        <w:tc>
          <w:tcPr>
            <w:tcW w:w="1853" w:type="dxa"/>
            <w:vMerge w:val="restart"/>
            <w:vAlign w:val="center"/>
          </w:tcPr>
          <w:p w14:paraId="3383BD31">
            <w:pPr>
              <w:pStyle w:val="69"/>
              <w:rPr>
                <w:rFonts w:hint="eastAsia"/>
                <w:color w:val="auto"/>
              </w:rPr>
            </w:pPr>
            <w:r>
              <w:rPr>
                <w:rFonts w:hint="eastAsia"/>
                <w:color w:val="auto"/>
                <w:lang w:val="en-US" w:eastAsia="zh-CN"/>
              </w:rPr>
              <w:t>2026.05.30~2026.05.31</w:t>
            </w:r>
          </w:p>
        </w:tc>
        <w:tc>
          <w:tcPr>
            <w:tcW w:w="1371" w:type="pct"/>
            <w:gridSpan w:val="2"/>
            <w:vAlign w:val="center"/>
          </w:tcPr>
          <w:p w14:paraId="5FFDD9D1">
            <w:pPr>
              <w:pStyle w:val="69"/>
              <w:rPr>
                <w:color w:val="auto"/>
              </w:rPr>
            </w:pPr>
            <w:r>
              <w:rPr>
                <w:rFonts w:hint="eastAsia"/>
                <w:color w:val="auto"/>
              </w:rPr>
              <w:t>昼间</w:t>
            </w:r>
          </w:p>
        </w:tc>
        <w:tc>
          <w:tcPr>
            <w:tcW w:w="1814" w:type="dxa"/>
            <w:vAlign w:val="center"/>
          </w:tcPr>
          <w:p w14:paraId="289A0FAD">
            <w:pPr>
              <w:pStyle w:val="69"/>
              <w:rPr>
                <w:rFonts w:hint="eastAsia"/>
                <w:color w:val="auto"/>
              </w:rPr>
            </w:pPr>
            <w:r>
              <w:rPr>
                <w:rFonts w:hint="eastAsia"/>
                <w:color w:val="auto"/>
                <w:lang w:val="en-US" w:eastAsia="zh-CN"/>
              </w:rPr>
              <w:t>55</w:t>
            </w:r>
          </w:p>
        </w:tc>
        <w:tc>
          <w:tcPr>
            <w:tcW w:w="815" w:type="pct"/>
            <w:vAlign w:val="center"/>
          </w:tcPr>
          <w:p w14:paraId="39583724">
            <w:pPr>
              <w:pStyle w:val="69"/>
              <w:rPr>
                <w:color w:val="auto"/>
              </w:rPr>
            </w:pPr>
            <w:r>
              <w:rPr>
                <w:rFonts w:hint="eastAsia"/>
                <w:color w:val="auto"/>
              </w:rPr>
              <w:t>机械噪声</w:t>
            </w:r>
          </w:p>
        </w:tc>
      </w:tr>
      <w:tr w14:paraId="57E54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31" w:type="pct"/>
            <w:vMerge w:val="continue"/>
            <w:vAlign w:val="center"/>
          </w:tcPr>
          <w:p w14:paraId="53A6B7C7">
            <w:pPr>
              <w:pStyle w:val="69"/>
              <w:rPr>
                <w:color w:val="auto"/>
              </w:rPr>
            </w:pPr>
          </w:p>
        </w:tc>
        <w:tc>
          <w:tcPr>
            <w:tcW w:w="1001" w:type="pct"/>
            <w:vMerge w:val="continue"/>
            <w:vAlign w:val="center"/>
          </w:tcPr>
          <w:p w14:paraId="3DE53525">
            <w:pPr>
              <w:pStyle w:val="69"/>
              <w:rPr>
                <w:color w:val="auto"/>
              </w:rPr>
            </w:pPr>
          </w:p>
        </w:tc>
        <w:tc>
          <w:tcPr>
            <w:tcW w:w="1371" w:type="pct"/>
            <w:gridSpan w:val="2"/>
            <w:vAlign w:val="center"/>
          </w:tcPr>
          <w:p w14:paraId="1D349CD8">
            <w:pPr>
              <w:pStyle w:val="69"/>
              <w:rPr>
                <w:color w:val="auto"/>
              </w:rPr>
            </w:pPr>
            <w:r>
              <w:rPr>
                <w:rFonts w:hint="eastAsia"/>
                <w:color w:val="auto"/>
              </w:rPr>
              <w:t>夜间</w:t>
            </w:r>
          </w:p>
        </w:tc>
        <w:tc>
          <w:tcPr>
            <w:tcW w:w="1814" w:type="dxa"/>
            <w:vAlign w:val="center"/>
          </w:tcPr>
          <w:p w14:paraId="0671BA21">
            <w:pPr>
              <w:pStyle w:val="69"/>
              <w:rPr>
                <w:rFonts w:hint="eastAsia"/>
                <w:color w:val="auto"/>
              </w:rPr>
            </w:pPr>
            <w:r>
              <w:rPr>
                <w:rFonts w:hint="eastAsia"/>
                <w:color w:val="auto"/>
                <w:lang w:val="en-US" w:eastAsia="zh-CN"/>
              </w:rPr>
              <w:t>43</w:t>
            </w:r>
          </w:p>
        </w:tc>
        <w:tc>
          <w:tcPr>
            <w:tcW w:w="815" w:type="pct"/>
            <w:vAlign w:val="center"/>
          </w:tcPr>
          <w:p w14:paraId="53FE252E">
            <w:pPr>
              <w:pStyle w:val="69"/>
              <w:rPr>
                <w:color w:val="auto"/>
              </w:rPr>
            </w:pPr>
            <w:r>
              <w:rPr>
                <w:rFonts w:hint="eastAsia"/>
                <w:color w:val="auto"/>
              </w:rPr>
              <w:t>机械噪声</w:t>
            </w:r>
          </w:p>
        </w:tc>
      </w:tr>
      <w:tr w14:paraId="3BD1D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6"/>
            <w:vAlign w:val="center"/>
          </w:tcPr>
          <w:p w14:paraId="110D06FD">
            <w:pPr>
              <w:pStyle w:val="69"/>
              <w:rPr>
                <w:b/>
                <w:bCs/>
                <w:color w:val="auto"/>
              </w:rPr>
            </w:pPr>
            <w:r>
              <w:rPr>
                <w:rFonts w:hint="eastAsia"/>
                <w:color w:val="auto"/>
              </w:rPr>
              <w:t>备注：监测期间，</w:t>
            </w:r>
            <w:r>
              <w:rPr>
                <w:rFonts w:hint="eastAsia"/>
                <w:color w:val="auto"/>
                <w:lang w:val="en-US" w:eastAsia="zh-CN"/>
              </w:rPr>
              <w:t>东、南、西厂界均</w:t>
            </w:r>
            <w:r>
              <w:rPr>
                <w:rFonts w:hint="eastAsia"/>
                <w:color w:val="auto"/>
              </w:rPr>
              <w:t>为临厂共用墙不具备监测条件</w:t>
            </w:r>
          </w:p>
        </w:tc>
      </w:tr>
      <w:tr w14:paraId="38DAE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6"/>
            <w:vAlign w:val="center"/>
          </w:tcPr>
          <w:p w14:paraId="7C4331D0">
            <w:pPr>
              <w:pStyle w:val="69"/>
              <w:rPr>
                <w:color w:val="auto"/>
              </w:rPr>
            </w:pPr>
            <w:r>
              <w:rPr>
                <w:rFonts w:hint="eastAsia"/>
                <w:b/>
                <w:bCs/>
                <w:color w:val="auto"/>
              </w:rPr>
              <w:t xml:space="preserve">《工业企业厂界环境噪声排放标准》GB12348-2008 </w:t>
            </w:r>
            <w:r>
              <w:rPr>
                <w:rFonts w:hint="eastAsia"/>
                <w:b/>
                <w:bCs/>
                <w:color w:val="auto"/>
                <w:lang w:eastAsia="zh-CN"/>
              </w:rPr>
              <w:t>3</w:t>
            </w:r>
            <w:r>
              <w:rPr>
                <w:rFonts w:hint="eastAsia"/>
                <w:b/>
                <w:bCs/>
                <w:color w:val="auto"/>
              </w:rPr>
              <w:t>类</w:t>
            </w:r>
          </w:p>
        </w:tc>
      </w:tr>
      <w:tr w14:paraId="1518D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94" w:type="pct"/>
            <w:gridSpan w:val="3"/>
            <w:vAlign w:val="center"/>
          </w:tcPr>
          <w:p w14:paraId="41C2FD54">
            <w:pPr>
              <w:pStyle w:val="69"/>
              <w:rPr>
                <w:color w:val="auto"/>
              </w:rPr>
            </w:pPr>
            <w:r>
              <w:rPr>
                <w:rFonts w:hint="eastAsia"/>
                <w:color w:val="auto"/>
              </w:rPr>
              <w:t>检测项目</w:t>
            </w:r>
          </w:p>
        </w:tc>
        <w:tc>
          <w:tcPr>
            <w:tcW w:w="2505" w:type="pct"/>
            <w:gridSpan w:val="3"/>
            <w:vAlign w:val="center"/>
          </w:tcPr>
          <w:p w14:paraId="707D61AB">
            <w:pPr>
              <w:pStyle w:val="69"/>
              <w:rPr>
                <w:color w:val="auto"/>
              </w:rPr>
            </w:pPr>
            <w:r>
              <w:rPr>
                <w:rFonts w:hint="eastAsia"/>
                <w:color w:val="auto"/>
              </w:rPr>
              <w:t>标准限值</w:t>
            </w:r>
            <w:r>
              <w:rPr>
                <w:color w:val="auto"/>
              </w:rPr>
              <w:t>dB(A)</w:t>
            </w:r>
          </w:p>
        </w:tc>
      </w:tr>
      <w:tr w14:paraId="1481A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94" w:type="pct"/>
            <w:gridSpan w:val="3"/>
            <w:vAlign w:val="center"/>
          </w:tcPr>
          <w:p w14:paraId="75A4CE42">
            <w:pPr>
              <w:pStyle w:val="69"/>
              <w:rPr>
                <w:color w:val="auto"/>
              </w:rPr>
            </w:pPr>
            <w:r>
              <w:rPr>
                <w:rFonts w:hint="eastAsia"/>
                <w:color w:val="auto"/>
              </w:rPr>
              <w:t>昼间</w:t>
            </w:r>
          </w:p>
        </w:tc>
        <w:tc>
          <w:tcPr>
            <w:tcW w:w="2505" w:type="pct"/>
            <w:gridSpan w:val="3"/>
            <w:vAlign w:val="center"/>
          </w:tcPr>
          <w:p w14:paraId="4E89B8C1">
            <w:pPr>
              <w:pStyle w:val="69"/>
              <w:rPr>
                <w:color w:val="auto"/>
                <w:lang w:eastAsia="zh-CN"/>
              </w:rPr>
            </w:pPr>
            <w:r>
              <w:rPr>
                <w:rFonts w:hint="eastAsia"/>
                <w:color w:val="auto"/>
              </w:rPr>
              <w:t>6</w:t>
            </w:r>
            <w:r>
              <w:rPr>
                <w:rFonts w:hint="eastAsia"/>
                <w:color w:val="auto"/>
                <w:lang w:eastAsia="zh-CN"/>
              </w:rPr>
              <w:t>5</w:t>
            </w:r>
          </w:p>
        </w:tc>
      </w:tr>
      <w:tr w14:paraId="577DD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94" w:type="pct"/>
            <w:gridSpan w:val="3"/>
            <w:vAlign w:val="center"/>
          </w:tcPr>
          <w:p w14:paraId="4D83D511">
            <w:pPr>
              <w:pStyle w:val="69"/>
              <w:rPr>
                <w:color w:val="auto"/>
              </w:rPr>
            </w:pPr>
            <w:r>
              <w:rPr>
                <w:rFonts w:hint="eastAsia"/>
                <w:color w:val="auto"/>
              </w:rPr>
              <w:t>夜间</w:t>
            </w:r>
          </w:p>
        </w:tc>
        <w:tc>
          <w:tcPr>
            <w:tcW w:w="2505" w:type="pct"/>
            <w:gridSpan w:val="3"/>
            <w:vAlign w:val="center"/>
          </w:tcPr>
          <w:p w14:paraId="5591DAA5">
            <w:pPr>
              <w:pStyle w:val="69"/>
              <w:rPr>
                <w:color w:val="auto"/>
                <w:lang w:eastAsia="zh-CN"/>
              </w:rPr>
            </w:pPr>
            <w:r>
              <w:rPr>
                <w:rFonts w:hint="eastAsia"/>
                <w:color w:val="auto"/>
              </w:rPr>
              <w:t>5</w:t>
            </w:r>
            <w:r>
              <w:rPr>
                <w:rFonts w:hint="eastAsia"/>
                <w:color w:val="auto"/>
                <w:lang w:eastAsia="zh-CN"/>
              </w:rPr>
              <w:t>5</w:t>
            </w:r>
          </w:p>
        </w:tc>
      </w:tr>
    </w:tbl>
    <w:p w14:paraId="08B106BF">
      <w:pPr>
        <w:ind w:firstLine="480"/>
        <w:jc w:val="both"/>
        <w:rPr>
          <w:rFonts w:cs="Times New Roman"/>
          <w:color w:val="auto"/>
        </w:rPr>
      </w:pPr>
      <w:r>
        <w:rPr>
          <w:rFonts w:cs="Times New Roman"/>
          <w:color w:val="auto"/>
        </w:rPr>
        <w:t>由上表可知，</w:t>
      </w:r>
      <w:r>
        <w:rPr>
          <w:rFonts w:hint="eastAsia" w:cs="Times New Roman"/>
          <w:color w:val="auto"/>
          <w:lang w:val="en-US" w:eastAsia="zh-CN"/>
        </w:rPr>
        <w:t>东、南、西厂界</w:t>
      </w:r>
      <w:r>
        <w:rPr>
          <w:rFonts w:hint="eastAsia" w:cs="Times New Roman"/>
          <w:color w:val="auto"/>
        </w:rPr>
        <w:t>噪声不具备检测条件，北厂界</w:t>
      </w:r>
      <w:r>
        <w:rPr>
          <w:rFonts w:cs="Times New Roman"/>
          <w:color w:val="auto"/>
        </w:rPr>
        <w:t>噪声能够达到《工业企业厂界环境噪声排放标准》（GB12348-2008）3类标准要求。</w:t>
      </w:r>
    </w:p>
    <w:p w14:paraId="0A5C7733">
      <w:pPr>
        <w:pStyle w:val="5"/>
        <w:ind w:firstLine="482"/>
        <w:rPr>
          <w:rFonts w:cs="Times New Roman"/>
          <w:color w:val="auto"/>
        </w:rPr>
      </w:pPr>
      <w:r>
        <w:rPr>
          <w:rFonts w:cs="Times New Roman"/>
          <w:color w:val="auto"/>
        </w:rPr>
        <w:t>9.2.1.4固体废物</w:t>
      </w:r>
    </w:p>
    <w:p w14:paraId="08FEAA26">
      <w:pPr>
        <w:rPr>
          <w:rFonts w:hint="eastAsia" w:cs="Times New Roman"/>
          <w:color w:val="auto"/>
        </w:rPr>
      </w:pPr>
      <w:r>
        <w:rPr>
          <w:rFonts w:cs="Times New Roman"/>
          <w:color w:val="auto"/>
        </w:rPr>
        <w:t>本项目</w:t>
      </w:r>
      <w:r>
        <w:rPr>
          <w:rFonts w:hint="eastAsia" w:cs="Times New Roman"/>
          <w:color w:val="auto"/>
        </w:rPr>
        <w:t>固废为一般固废和危险废物，其中一般固废包括废边角料</w:t>
      </w:r>
      <w:r>
        <w:rPr>
          <w:rFonts w:hint="eastAsia" w:cs="Times New Roman"/>
          <w:color w:val="auto"/>
          <w:lang w:eastAsia="zh-CN"/>
        </w:rPr>
        <w:t>、</w:t>
      </w:r>
      <w:r>
        <w:rPr>
          <w:rFonts w:hint="eastAsia" w:cs="Times New Roman"/>
          <w:color w:val="auto"/>
        </w:rPr>
        <w:t>废钢带</w:t>
      </w:r>
      <w:r>
        <w:rPr>
          <w:rFonts w:hint="eastAsia" w:cs="Times New Roman"/>
          <w:color w:val="auto"/>
          <w:lang w:eastAsia="zh-CN"/>
        </w:rPr>
        <w:t>、</w:t>
      </w:r>
      <w:r>
        <w:rPr>
          <w:rFonts w:hint="eastAsia" w:cs="Times New Roman"/>
          <w:color w:val="auto"/>
        </w:rPr>
        <w:t>污泥</w:t>
      </w:r>
      <w:r>
        <w:rPr>
          <w:rFonts w:hint="eastAsia" w:cs="Times New Roman"/>
          <w:color w:val="auto"/>
          <w:lang w:eastAsia="zh-CN"/>
        </w:rPr>
        <w:t>、</w:t>
      </w:r>
      <w:r>
        <w:rPr>
          <w:rFonts w:hint="eastAsia" w:cs="Times New Roman"/>
          <w:color w:val="auto"/>
        </w:rPr>
        <w:t>废过滤器</w:t>
      </w:r>
      <w:r>
        <w:rPr>
          <w:rFonts w:hint="eastAsia" w:cs="Times New Roman"/>
          <w:color w:val="auto"/>
          <w:lang w:eastAsia="zh-CN"/>
        </w:rPr>
        <w:t>、</w:t>
      </w:r>
      <w:r>
        <w:rPr>
          <w:rFonts w:hint="eastAsia" w:cs="Times New Roman"/>
          <w:color w:val="auto"/>
        </w:rPr>
        <w:t>废活性炭</w:t>
      </w:r>
      <w:r>
        <w:rPr>
          <w:rFonts w:hint="eastAsia" w:cs="Times New Roman"/>
          <w:color w:val="auto"/>
          <w:lang w:eastAsia="zh-CN"/>
        </w:rPr>
        <w:t>、</w:t>
      </w:r>
      <w:r>
        <w:rPr>
          <w:rFonts w:hint="eastAsia" w:cs="Times New Roman"/>
          <w:color w:val="auto"/>
        </w:rPr>
        <w:t>废RO膜；危险废物主要包括废包装物</w:t>
      </w:r>
      <w:r>
        <w:rPr>
          <w:rFonts w:hint="eastAsia" w:cs="Times New Roman"/>
          <w:color w:val="auto"/>
          <w:lang w:eastAsia="zh-CN"/>
        </w:rPr>
        <w:t>、</w:t>
      </w:r>
      <w:r>
        <w:rPr>
          <w:rFonts w:hint="eastAsia" w:cs="Times New Roman"/>
          <w:color w:val="auto"/>
        </w:rPr>
        <w:t>废拉伸油</w:t>
      </w:r>
      <w:r>
        <w:rPr>
          <w:rFonts w:hint="eastAsia" w:cs="Times New Roman"/>
          <w:color w:val="auto"/>
          <w:lang w:eastAsia="zh-CN"/>
        </w:rPr>
        <w:t>、</w:t>
      </w:r>
      <w:r>
        <w:rPr>
          <w:rFonts w:hint="eastAsia" w:cs="Times New Roman"/>
          <w:color w:val="auto"/>
        </w:rPr>
        <w:t>废切削液</w:t>
      </w:r>
      <w:r>
        <w:rPr>
          <w:rFonts w:hint="eastAsia" w:cs="Times New Roman"/>
          <w:color w:val="auto"/>
          <w:lang w:eastAsia="zh-CN"/>
        </w:rPr>
        <w:t>、</w:t>
      </w:r>
      <w:r>
        <w:rPr>
          <w:rFonts w:hint="eastAsia" w:cs="Times New Roman"/>
          <w:color w:val="auto"/>
        </w:rPr>
        <w:t>废油渣</w:t>
      </w:r>
      <w:r>
        <w:rPr>
          <w:rFonts w:hint="eastAsia" w:cs="Times New Roman"/>
          <w:color w:val="auto"/>
          <w:lang w:eastAsia="zh-CN"/>
        </w:rPr>
        <w:t>、</w:t>
      </w:r>
      <w:r>
        <w:rPr>
          <w:rFonts w:hint="eastAsia" w:cs="Times New Roman"/>
          <w:color w:val="auto"/>
        </w:rPr>
        <w:t>含酸废水预处理系统重金属污泥</w:t>
      </w:r>
      <w:r>
        <w:rPr>
          <w:rFonts w:hint="eastAsia" w:cs="Times New Roman"/>
          <w:color w:val="auto"/>
          <w:lang w:eastAsia="zh-CN"/>
        </w:rPr>
        <w:t>、</w:t>
      </w:r>
      <w:r>
        <w:rPr>
          <w:rFonts w:hint="eastAsia" w:cs="Times New Roman"/>
          <w:color w:val="auto"/>
        </w:rPr>
        <w:t>含镍废槽液</w:t>
      </w:r>
      <w:r>
        <w:rPr>
          <w:rFonts w:hint="eastAsia" w:cs="Times New Roman"/>
          <w:color w:val="auto"/>
          <w:lang w:eastAsia="zh-CN"/>
        </w:rPr>
        <w:t>、</w:t>
      </w:r>
      <w:r>
        <w:rPr>
          <w:rFonts w:hint="eastAsia" w:cs="Times New Roman"/>
          <w:color w:val="auto"/>
        </w:rPr>
        <w:t>含镍废槽渣</w:t>
      </w:r>
      <w:r>
        <w:rPr>
          <w:rFonts w:hint="eastAsia" w:cs="Times New Roman"/>
          <w:color w:val="auto"/>
          <w:lang w:eastAsia="zh-CN"/>
        </w:rPr>
        <w:t>、</w:t>
      </w:r>
      <w:r>
        <w:rPr>
          <w:rFonts w:hint="eastAsia" w:cs="Times New Roman"/>
          <w:color w:val="auto"/>
        </w:rPr>
        <w:t>含锌废槽液</w:t>
      </w:r>
      <w:r>
        <w:rPr>
          <w:rFonts w:hint="eastAsia" w:cs="Times New Roman"/>
          <w:color w:val="auto"/>
          <w:lang w:eastAsia="zh-CN"/>
        </w:rPr>
        <w:t>、</w:t>
      </w:r>
      <w:r>
        <w:rPr>
          <w:rFonts w:hint="eastAsia" w:cs="Times New Roman"/>
          <w:color w:val="auto"/>
        </w:rPr>
        <w:t>含锌废槽渣</w:t>
      </w:r>
      <w:r>
        <w:rPr>
          <w:rFonts w:hint="eastAsia" w:cs="Times New Roman"/>
          <w:color w:val="auto"/>
          <w:lang w:eastAsia="zh-CN"/>
        </w:rPr>
        <w:t>、</w:t>
      </w:r>
      <w:r>
        <w:rPr>
          <w:rFonts w:hint="eastAsia" w:cs="Times New Roman"/>
          <w:color w:val="auto"/>
        </w:rPr>
        <w:t>退锌线废槽液</w:t>
      </w:r>
      <w:r>
        <w:rPr>
          <w:rFonts w:hint="eastAsia" w:cs="Times New Roman"/>
          <w:color w:val="auto"/>
          <w:lang w:eastAsia="zh-CN"/>
        </w:rPr>
        <w:t>、</w:t>
      </w:r>
      <w:r>
        <w:rPr>
          <w:rFonts w:hint="eastAsia" w:cs="Times New Roman"/>
          <w:color w:val="auto"/>
        </w:rPr>
        <w:t>退镍线废槽液</w:t>
      </w:r>
      <w:r>
        <w:rPr>
          <w:rFonts w:hint="eastAsia" w:cs="Times New Roman"/>
          <w:color w:val="auto"/>
          <w:lang w:eastAsia="zh-CN"/>
        </w:rPr>
        <w:t>、</w:t>
      </w:r>
      <w:r>
        <w:rPr>
          <w:rFonts w:hint="eastAsia" w:cs="Times New Roman"/>
          <w:color w:val="auto"/>
        </w:rPr>
        <w:t>废滤芯</w:t>
      </w:r>
      <w:r>
        <w:rPr>
          <w:rFonts w:hint="eastAsia" w:cs="Times New Roman"/>
          <w:color w:val="auto"/>
          <w:lang w:eastAsia="zh-CN"/>
        </w:rPr>
        <w:t>、</w:t>
      </w:r>
      <w:r>
        <w:rPr>
          <w:rFonts w:hint="eastAsia" w:cs="Times New Roman"/>
          <w:color w:val="auto"/>
        </w:rPr>
        <w:t>废油渣</w:t>
      </w:r>
      <w:r>
        <w:rPr>
          <w:rFonts w:hint="eastAsia" w:cs="Times New Roman"/>
          <w:color w:val="auto"/>
          <w:lang w:eastAsia="zh-CN"/>
        </w:rPr>
        <w:t>、</w:t>
      </w:r>
      <w:r>
        <w:rPr>
          <w:rFonts w:hint="eastAsia" w:cs="Times New Roman"/>
          <w:color w:val="auto"/>
        </w:rPr>
        <w:t>含镍废活性炭</w:t>
      </w:r>
      <w:r>
        <w:rPr>
          <w:rFonts w:hint="eastAsia" w:cs="Times New Roman"/>
          <w:color w:val="auto"/>
          <w:lang w:eastAsia="zh-CN"/>
        </w:rPr>
        <w:t>、</w:t>
      </w:r>
      <w:r>
        <w:rPr>
          <w:rFonts w:hint="eastAsia" w:cs="Times New Roman"/>
          <w:color w:val="auto"/>
        </w:rPr>
        <w:t>含镍废过滤膜</w:t>
      </w:r>
      <w:r>
        <w:rPr>
          <w:rFonts w:hint="eastAsia" w:cs="Times New Roman"/>
          <w:color w:val="auto"/>
          <w:lang w:eastAsia="zh-CN"/>
        </w:rPr>
        <w:t>、</w:t>
      </w:r>
      <w:r>
        <w:rPr>
          <w:rFonts w:hint="eastAsia" w:cs="Times New Roman"/>
          <w:color w:val="auto"/>
        </w:rPr>
        <w:t>含镍污泥</w:t>
      </w:r>
      <w:r>
        <w:rPr>
          <w:rFonts w:hint="eastAsia" w:cs="Times New Roman"/>
          <w:color w:val="auto"/>
          <w:lang w:eastAsia="zh-CN"/>
        </w:rPr>
        <w:t>、</w:t>
      </w:r>
      <w:r>
        <w:rPr>
          <w:rFonts w:hint="eastAsia" w:cs="Times New Roman"/>
          <w:color w:val="auto"/>
        </w:rPr>
        <w:t>含铬废活性炭</w:t>
      </w:r>
      <w:r>
        <w:rPr>
          <w:rFonts w:hint="eastAsia" w:cs="Times New Roman"/>
          <w:color w:val="auto"/>
          <w:lang w:eastAsia="zh-CN"/>
        </w:rPr>
        <w:t>、</w:t>
      </w:r>
      <w:r>
        <w:rPr>
          <w:rFonts w:hint="eastAsia" w:cs="Times New Roman"/>
          <w:color w:val="auto"/>
        </w:rPr>
        <w:t>含铬废过滤膜</w:t>
      </w:r>
      <w:r>
        <w:rPr>
          <w:rFonts w:hint="eastAsia" w:cs="Times New Roman"/>
          <w:color w:val="auto"/>
          <w:lang w:eastAsia="zh-CN"/>
        </w:rPr>
        <w:t>、</w:t>
      </w:r>
      <w:r>
        <w:rPr>
          <w:rFonts w:hint="eastAsia" w:cs="Times New Roman"/>
          <w:color w:val="auto"/>
        </w:rPr>
        <w:t>含铬污泥</w:t>
      </w:r>
      <w:r>
        <w:rPr>
          <w:rFonts w:hint="eastAsia" w:cs="Times New Roman"/>
          <w:color w:val="auto"/>
          <w:lang w:eastAsia="zh-CN"/>
        </w:rPr>
        <w:t>、</w:t>
      </w:r>
      <w:r>
        <w:rPr>
          <w:rFonts w:hint="eastAsia" w:cs="Times New Roman"/>
          <w:color w:val="auto"/>
        </w:rPr>
        <w:t>蒸发浓液</w:t>
      </w:r>
      <w:r>
        <w:rPr>
          <w:rFonts w:hint="eastAsia" w:cs="Times New Roman"/>
          <w:color w:val="auto"/>
          <w:lang w:eastAsia="zh-CN"/>
        </w:rPr>
        <w:t>、</w:t>
      </w:r>
      <w:r>
        <w:rPr>
          <w:rFonts w:hint="eastAsia" w:cs="Times New Roman"/>
          <w:color w:val="auto"/>
        </w:rPr>
        <w:t>含锌废活性炭</w:t>
      </w:r>
      <w:r>
        <w:rPr>
          <w:rFonts w:hint="eastAsia" w:cs="Times New Roman"/>
          <w:color w:val="auto"/>
          <w:lang w:eastAsia="zh-CN"/>
        </w:rPr>
        <w:t>、</w:t>
      </w:r>
      <w:r>
        <w:rPr>
          <w:rFonts w:hint="eastAsia" w:cs="Times New Roman"/>
          <w:color w:val="auto"/>
        </w:rPr>
        <w:t>含锌废过滤膜</w:t>
      </w:r>
      <w:r>
        <w:rPr>
          <w:rFonts w:hint="eastAsia" w:cs="Times New Roman"/>
          <w:color w:val="auto"/>
          <w:lang w:eastAsia="zh-CN"/>
        </w:rPr>
        <w:t>、</w:t>
      </w:r>
      <w:r>
        <w:rPr>
          <w:rFonts w:hint="eastAsia" w:cs="Times New Roman"/>
          <w:color w:val="auto"/>
        </w:rPr>
        <w:t>含锌污泥</w:t>
      </w:r>
      <w:r>
        <w:rPr>
          <w:rFonts w:hint="eastAsia" w:cs="Times New Roman"/>
          <w:color w:val="auto"/>
          <w:lang w:eastAsia="zh-CN"/>
        </w:rPr>
        <w:t>、</w:t>
      </w:r>
      <w:r>
        <w:rPr>
          <w:rFonts w:hint="eastAsia" w:cs="Times New Roman"/>
          <w:color w:val="auto"/>
        </w:rPr>
        <w:t>含铬镍污泥</w:t>
      </w:r>
      <w:r>
        <w:rPr>
          <w:rFonts w:hint="eastAsia" w:cs="Times New Roman"/>
          <w:color w:val="auto"/>
          <w:lang w:eastAsia="zh-CN"/>
        </w:rPr>
        <w:t>、</w:t>
      </w:r>
      <w:r>
        <w:rPr>
          <w:rFonts w:hint="eastAsia" w:cs="Times New Roman"/>
          <w:color w:val="auto"/>
        </w:rPr>
        <w:t>含铬镍废活性炭</w:t>
      </w:r>
      <w:r>
        <w:rPr>
          <w:rFonts w:hint="eastAsia" w:cs="Times New Roman"/>
          <w:color w:val="auto"/>
          <w:lang w:eastAsia="zh-CN"/>
        </w:rPr>
        <w:t>、</w:t>
      </w:r>
      <w:r>
        <w:rPr>
          <w:rFonts w:hint="eastAsia" w:cs="Times New Roman"/>
          <w:color w:val="auto"/>
        </w:rPr>
        <w:t>含铬镍废过滤膜。</w:t>
      </w:r>
    </w:p>
    <w:p w14:paraId="11914314">
      <w:pPr>
        <w:rPr>
          <w:rFonts w:hint="default" w:eastAsia="宋体" w:cs="Times New Roman"/>
          <w:color w:val="auto"/>
          <w:lang w:val="en-US" w:eastAsia="zh-CN"/>
        </w:rPr>
      </w:pPr>
      <w:r>
        <w:rPr>
          <w:rFonts w:hint="eastAsia" w:cs="Times New Roman"/>
          <w:color w:val="auto"/>
          <w:lang w:val="en-US" w:eastAsia="zh-CN"/>
        </w:rPr>
        <w:t>一般固废中的</w:t>
      </w:r>
      <w:r>
        <w:rPr>
          <w:rFonts w:hint="eastAsia" w:cs="Times New Roman"/>
          <w:color w:val="auto"/>
        </w:rPr>
        <w:t>废边角料</w:t>
      </w:r>
      <w:r>
        <w:rPr>
          <w:rFonts w:hint="eastAsia" w:cs="Times New Roman"/>
          <w:color w:val="auto"/>
          <w:lang w:eastAsia="zh-CN"/>
        </w:rPr>
        <w:t>、</w:t>
      </w:r>
      <w:r>
        <w:rPr>
          <w:rFonts w:hint="eastAsia" w:cs="Times New Roman"/>
          <w:color w:val="auto"/>
        </w:rPr>
        <w:t>废钢带</w:t>
      </w:r>
      <w:r>
        <w:rPr>
          <w:rFonts w:hint="eastAsia" w:cs="Times New Roman"/>
          <w:color w:val="auto"/>
          <w:lang w:eastAsia="zh-CN"/>
        </w:rPr>
        <w:t>、</w:t>
      </w:r>
      <w:r>
        <w:rPr>
          <w:rFonts w:hint="eastAsia" w:cs="Times New Roman"/>
          <w:color w:val="auto"/>
        </w:rPr>
        <w:t>污泥</w:t>
      </w:r>
      <w:r>
        <w:rPr>
          <w:rFonts w:hint="eastAsia" w:cs="Times New Roman"/>
          <w:color w:val="auto"/>
          <w:lang w:val="en-US" w:eastAsia="zh-CN"/>
        </w:rPr>
        <w:t>经收集后于一般固废暂存场暂存，定期外售，</w:t>
      </w:r>
      <w:r>
        <w:rPr>
          <w:rFonts w:hint="eastAsia" w:cs="Times New Roman"/>
          <w:color w:val="auto"/>
        </w:rPr>
        <w:t>废过滤器</w:t>
      </w:r>
      <w:r>
        <w:rPr>
          <w:rFonts w:hint="eastAsia" w:cs="Times New Roman"/>
          <w:color w:val="auto"/>
          <w:lang w:eastAsia="zh-CN"/>
        </w:rPr>
        <w:t>、</w:t>
      </w:r>
      <w:r>
        <w:rPr>
          <w:rFonts w:hint="eastAsia" w:cs="Times New Roman"/>
          <w:color w:val="auto"/>
        </w:rPr>
        <w:t>废活性炭</w:t>
      </w:r>
      <w:r>
        <w:rPr>
          <w:rFonts w:hint="eastAsia" w:cs="Times New Roman"/>
          <w:color w:val="auto"/>
          <w:lang w:eastAsia="zh-CN"/>
        </w:rPr>
        <w:t>、</w:t>
      </w:r>
      <w:r>
        <w:rPr>
          <w:rFonts w:hint="eastAsia" w:cs="Times New Roman"/>
          <w:color w:val="auto"/>
        </w:rPr>
        <w:t>废RO膜</w:t>
      </w:r>
      <w:r>
        <w:rPr>
          <w:rFonts w:hint="eastAsia" w:cs="Times New Roman"/>
          <w:color w:val="auto"/>
          <w:lang w:val="en-US" w:eastAsia="zh-CN"/>
        </w:rPr>
        <w:t>由生产厂家定期更换回收；危险废物经收集后于危险废物贮存库内暂存，定期委托有资质单位安全处置。</w:t>
      </w:r>
    </w:p>
    <w:p w14:paraId="70F42F7D">
      <w:r>
        <w:rPr>
          <w:rFonts w:cs="Times New Roman"/>
          <w:color w:val="auto"/>
        </w:rPr>
        <w:t>厂区内设置</w:t>
      </w:r>
      <w:r>
        <w:rPr>
          <w:rFonts w:hint="eastAsia" w:cs="Times New Roman"/>
          <w:color w:val="auto"/>
        </w:rPr>
        <w:t>一般固废暂存场1处（30m²）</w:t>
      </w:r>
      <w:r>
        <w:rPr>
          <w:rFonts w:hint="eastAsia" w:cs="Times New Roman"/>
          <w:color w:val="auto"/>
          <w:lang w:eastAsia="zh-CN"/>
        </w:rPr>
        <w:t>，</w:t>
      </w:r>
      <w:r>
        <w:rPr>
          <w:rFonts w:hint="eastAsia" w:cs="Times New Roman"/>
          <w:color w:val="auto"/>
        </w:rPr>
        <w:t>不再建设污泥间，污泥暂存于一般固废暂存场内</w:t>
      </w:r>
      <w:r>
        <w:rPr>
          <w:rFonts w:hint="eastAsia" w:cs="Times New Roman"/>
          <w:color w:val="auto"/>
          <w:lang w:eastAsia="zh-CN"/>
        </w:rPr>
        <w:t>，</w:t>
      </w:r>
      <w:r>
        <w:rPr>
          <w:rFonts w:hint="eastAsia"/>
          <w:color w:val="auto"/>
          <w:szCs w:val="24"/>
        </w:rPr>
        <w:t>一般固废暂存间满足《一般工业固体废物贮存和填埋污染控制标准》（GB18599-2020）中防渗漏、防雨淋、防扬尘等环境保护要求；</w:t>
      </w:r>
      <w:r>
        <w:rPr>
          <w:rFonts w:hint="eastAsia" w:cs="Times New Roman"/>
          <w:color w:val="auto"/>
        </w:rPr>
        <w:t>危险废物贮存库1座</w:t>
      </w:r>
      <w:r>
        <w:rPr>
          <w:rFonts w:hint="eastAsia" w:cs="Times New Roman"/>
          <w:color w:val="auto"/>
          <w:lang w:val="en-US" w:eastAsia="zh-CN"/>
        </w:rPr>
        <w:t>5</w:t>
      </w:r>
      <w:r>
        <w:rPr>
          <w:rFonts w:cs="Times New Roman"/>
          <w:color w:val="auto"/>
        </w:rPr>
        <w:t>0m</w:t>
      </w:r>
      <w:r>
        <w:rPr>
          <w:rFonts w:cs="Times New Roman"/>
          <w:color w:val="auto"/>
          <w:vertAlign w:val="superscript"/>
        </w:rPr>
        <w:t>2</w:t>
      </w:r>
      <w:r>
        <w:rPr>
          <w:rFonts w:hint="eastAsia" w:cs="Times New Roman"/>
          <w:color w:val="auto"/>
        </w:rPr>
        <w:t>，</w:t>
      </w:r>
      <w:r>
        <w:rPr>
          <w:rFonts w:hint="eastAsia" w:cs="Times New Roman"/>
          <w:color w:val="auto"/>
          <w:lang w:val="en-US" w:eastAsia="zh-CN"/>
        </w:rPr>
        <w:t>能够</w:t>
      </w:r>
      <w:r>
        <w:rPr>
          <w:rFonts w:cs="Times New Roman"/>
          <w:bCs/>
          <w:color w:val="auto"/>
        </w:rPr>
        <w:t>满足</w:t>
      </w:r>
      <w:r>
        <w:rPr>
          <w:rFonts w:cs="Times New Roman"/>
          <w:color w:val="auto"/>
        </w:rPr>
        <w:t>《</w:t>
      </w:r>
      <w:r>
        <w:rPr>
          <w:rFonts w:cs="Times New Roman"/>
          <w:bCs/>
          <w:color w:val="auto"/>
        </w:rPr>
        <w:t>危险废物贮存污染控制标准》</w:t>
      </w:r>
      <w:r>
        <w:rPr>
          <w:rFonts w:cs="Times New Roman"/>
          <w:color w:val="auto"/>
        </w:rPr>
        <w:t>（GB18597-2023）</w:t>
      </w:r>
      <w:r>
        <w:rPr>
          <w:rFonts w:hint="eastAsia" w:cs="Times New Roman"/>
          <w:color w:val="auto"/>
        </w:rPr>
        <w:t>中对危险废物的暂存</w:t>
      </w:r>
      <w:r>
        <w:rPr>
          <w:rFonts w:cs="Times New Roman"/>
          <w:color w:val="auto"/>
        </w:rPr>
        <w:t>要求。</w:t>
      </w:r>
      <w:r>
        <w:rPr>
          <w:rFonts w:hint="eastAsia" w:cs="Times New Roman"/>
          <w:color w:val="auto"/>
        </w:rPr>
        <w:t>危险废物贮存库</w:t>
      </w:r>
      <w:r>
        <w:rPr>
          <w:rFonts w:cs="Times New Roman"/>
          <w:color w:val="auto"/>
        </w:rPr>
        <w:t>的地面</w:t>
      </w:r>
      <w:r>
        <w:rPr>
          <w:rFonts w:hint="eastAsia" w:cs="Times New Roman"/>
          <w:color w:val="auto"/>
        </w:rPr>
        <w:t>已</w:t>
      </w:r>
      <w:r>
        <w:rPr>
          <w:rFonts w:cs="Times New Roman"/>
          <w:color w:val="auto"/>
        </w:rPr>
        <w:t>进行硬化，有防渗漏、防雨淋、防扬尘设施。</w:t>
      </w:r>
    </w:p>
    <w:p w14:paraId="38C5E786">
      <w:pPr>
        <w:pStyle w:val="5"/>
        <w:ind w:firstLine="482"/>
        <w:rPr>
          <w:rFonts w:cs="Times New Roman"/>
          <w:color w:val="auto"/>
        </w:rPr>
      </w:pPr>
      <w:r>
        <w:rPr>
          <w:rFonts w:cs="Times New Roman"/>
          <w:color w:val="auto"/>
        </w:rPr>
        <w:t>9.2.1.5污染物排放总量核算</w:t>
      </w:r>
    </w:p>
    <w:p w14:paraId="1A9F6610">
      <w:pPr>
        <w:widowControl w:val="0"/>
        <w:adjustRightInd/>
        <w:snapToGrid/>
        <w:ind w:firstLine="482"/>
        <w:jc w:val="both"/>
        <w:rPr>
          <w:b/>
          <w:bCs/>
          <w:color w:val="auto"/>
        </w:rPr>
      </w:pPr>
      <w:r>
        <w:rPr>
          <w:rFonts w:hint="eastAsia"/>
          <w:b/>
          <w:bCs/>
          <w:color w:val="auto"/>
        </w:rPr>
        <w:t>1、废气</w:t>
      </w:r>
    </w:p>
    <w:p w14:paraId="701B2231">
      <w:pPr>
        <w:widowControl w:val="0"/>
        <w:adjustRightInd/>
        <w:snapToGrid/>
        <w:ind w:firstLine="480"/>
        <w:jc w:val="both"/>
        <w:rPr>
          <w:rFonts w:cs="Times New Roman"/>
          <w:color w:val="auto"/>
          <w:kern w:val="2"/>
        </w:rPr>
      </w:pPr>
      <w:r>
        <w:rPr>
          <w:color w:val="auto"/>
        </w:rPr>
        <w:t>根据检测数据</w:t>
      </w:r>
      <w:r>
        <w:rPr>
          <w:rFonts w:hint="eastAsia"/>
          <w:color w:val="auto"/>
        </w:rPr>
        <w:t>可以计算出项目的</w:t>
      </w:r>
      <w:r>
        <w:rPr>
          <w:rFonts w:hint="eastAsia" w:cs="Times New Roman"/>
          <w:color w:val="auto"/>
          <w:kern w:val="2"/>
        </w:rPr>
        <w:t>废气污染物排放情况见下表。</w:t>
      </w:r>
    </w:p>
    <w:p w14:paraId="5EA9E78F">
      <w:pPr>
        <w:widowControl w:val="0"/>
        <w:adjustRightInd/>
        <w:snapToGrid/>
        <w:ind w:firstLine="480"/>
        <w:rPr>
          <w:rFonts w:eastAsia="黑体" w:cs="Times New Roman"/>
          <w:color w:val="auto"/>
          <w:kern w:val="2"/>
          <w:szCs w:val="24"/>
        </w:rPr>
      </w:pPr>
      <w:r>
        <w:rPr>
          <w:rFonts w:hint="eastAsia" w:eastAsia="黑体" w:cs="Times New Roman"/>
          <w:color w:val="auto"/>
          <w:kern w:val="2"/>
          <w:szCs w:val="24"/>
        </w:rPr>
        <w:t>表</w:t>
      </w:r>
      <w:r>
        <w:rPr>
          <w:rFonts w:eastAsia="黑体" w:cs="Times New Roman"/>
          <w:color w:val="auto"/>
          <w:kern w:val="2"/>
          <w:szCs w:val="24"/>
        </w:rPr>
        <w:t>9</w:t>
      </w:r>
      <w:r>
        <w:rPr>
          <w:rFonts w:hint="eastAsia" w:eastAsia="黑体" w:cs="Times New Roman"/>
          <w:color w:val="auto"/>
          <w:kern w:val="2"/>
          <w:szCs w:val="24"/>
        </w:rPr>
        <w:t xml:space="preserve">-8   </w:t>
      </w:r>
      <w:r>
        <w:rPr>
          <w:rFonts w:eastAsia="黑体" w:cs="Times New Roman"/>
          <w:color w:val="auto"/>
          <w:kern w:val="2"/>
          <w:szCs w:val="24"/>
        </w:rPr>
        <w:t xml:space="preserve">                          </w:t>
      </w:r>
      <w:r>
        <w:rPr>
          <w:rFonts w:hint="eastAsia" w:eastAsia="黑体" w:cs="Times New Roman"/>
          <w:color w:val="auto"/>
          <w:kern w:val="2"/>
          <w:szCs w:val="24"/>
          <w:lang w:val="en-US" w:eastAsia="zh-CN"/>
        </w:rPr>
        <w:t xml:space="preserve">   </w:t>
      </w:r>
      <w:r>
        <w:rPr>
          <w:rFonts w:eastAsia="黑体" w:cs="Times New Roman"/>
          <w:color w:val="auto"/>
          <w:kern w:val="2"/>
          <w:szCs w:val="24"/>
        </w:rPr>
        <w:t xml:space="preserve">    </w:t>
      </w:r>
      <w:r>
        <w:rPr>
          <w:rFonts w:hint="eastAsia" w:eastAsia="黑体" w:cs="Times New Roman"/>
          <w:color w:val="auto"/>
          <w:kern w:val="2"/>
          <w:szCs w:val="24"/>
        </w:rPr>
        <w:t>废气污染物排放情况</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2009"/>
        <w:gridCol w:w="1092"/>
        <w:gridCol w:w="1718"/>
        <w:gridCol w:w="1094"/>
        <w:gridCol w:w="1563"/>
        <w:gridCol w:w="1652"/>
      </w:tblGrid>
      <w:tr w14:paraId="3C253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101" w:type="pct"/>
            <w:vAlign w:val="center"/>
          </w:tcPr>
          <w:p w14:paraId="37254200">
            <w:pPr>
              <w:widowControl w:val="0"/>
              <w:adjustRightInd/>
              <w:spacing w:line="240" w:lineRule="auto"/>
              <w:ind w:firstLine="0" w:firstLineChars="0"/>
              <w:jc w:val="center"/>
              <w:textAlignment w:val="baseline"/>
              <w:rPr>
                <w:rFonts w:cs="Times New Roman"/>
                <w:b/>
                <w:bCs/>
                <w:color w:val="auto"/>
                <w:kern w:val="2"/>
                <w:sz w:val="21"/>
                <w:szCs w:val="21"/>
              </w:rPr>
            </w:pPr>
            <w:r>
              <w:rPr>
                <w:rFonts w:cs="Times New Roman"/>
                <w:b/>
                <w:bCs/>
                <w:color w:val="auto"/>
                <w:kern w:val="2"/>
                <w:sz w:val="21"/>
                <w:szCs w:val="21"/>
              </w:rPr>
              <w:t>排放点</w:t>
            </w:r>
          </w:p>
        </w:tc>
        <w:tc>
          <w:tcPr>
            <w:tcW w:w="598" w:type="pct"/>
            <w:vAlign w:val="center"/>
          </w:tcPr>
          <w:p w14:paraId="2B61C6CE">
            <w:pPr>
              <w:widowControl w:val="0"/>
              <w:adjustRightInd/>
              <w:spacing w:line="240" w:lineRule="auto"/>
              <w:ind w:firstLine="0" w:firstLineChars="0"/>
              <w:jc w:val="center"/>
              <w:textAlignment w:val="baseline"/>
              <w:rPr>
                <w:rFonts w:cs="Times New Roman"/>
                <w:b/>
                <w:bCs/>
                <w:color w:val="auto"/>
                <w:kern w:val="2"/>
                <w:sz w:val="21"/>
                <w:szCs w:val="21"/>
              </w:rPr>
            </w:pPr>
            <w:r>
              <w:rPr>
                <w:rFonts w:cs="Times New Roman"/>
                <w:b/>
                <w:bCs/>
                <w:color w:val="auto"/>
                <w:kern w:val="2"/>
                <w:sz w:val="21"/>
                <w:szCs w:val="21"/>
              </w:rPr>
              <w:t>污染因子</w:t>
            </w:r>
          </w:p>
        </w:tc>
        <w:tc>
          <w:tcPr>
            <w:tcW w:w="941" w:type="pct"/>
            <w:vAlign w:val="center"/>
          </w:tcPr>
          <w:p w14:paraId="61148747">
            <w:pPr>
              <w:widowControl w:val="0"/>
              <w:adjustRightInd/>
              <w:spacing w:line="240" w:lineRule="auto"/>
              <w:ind w:firstLine="0" w:firstLineChars="0"/>
              <w:jc w:val="center"/>
              <w:textAlignment w:val="baseline"/>
              <w:rPr>
                <w:rFonts w:cs="Times New Roman"/>
                <w:b/>
                <w:bCs/>
                <w:color w:val="auto"/>
                <w:kern w:val="2"/>
                <w:sz w:val="21"/>
                <w:szCs w:val="21"/>
              </w:rPr>
            </w:pPr>
            <w:r>
              <w:rPr>
                <w:rFonts w:hint="eastAsia" w:cs="Times New Roman"/>
                <w:b/>
                <w:bCs/>
                <w:color w:val="auto"/>
                <w:kern w:val="2"/>
                <w:sz w:val="21"/>
                <w:szCs w:val="21"/>
              </w:rPr>
              <w:t>最大</w:t>
            </w:r>
            <w:r>
              <w:rPr>
                <w:rFonts w:cs="Times New Roman"/>
                <w:b/>
                <w:bCs/>
                <w:color w:val="auto"/>
                <w:kern w:val="2"/>
                <w:sz w:val="21"/>
                <w:szCs w:val="21"/>
              </w:rPr>
              <w:t>排放速率</w:t>
            </w:r>
          </w:p>
        </w:tc>
        <w:tc>
          <w:tcPr>
            <w:tcW w:w="599" w:type="pct"/>
            <w:vAlign w:val="center"/>
          </w:tcPr>
          <w:p w14:paraId="6B96A2B4">
            <w:pPr>
              <w:widowControl w:val="0"/>
              <w:adjustRightInd/>
              <w:spacing w:line="240" w:lineRule="auto"/>
              <w:ind w:firstLine="0" w:firstLineChars="0"/>
              <w:jc w:val="center"/>
              <w:textAlignment w:val="baseline"/>
              <w:rPr>
                <w:rFonts w:cs="Times New Roman"/>
                <w:b/>
                <w:bCs/>
                <w:color w:val="auto"/>
                <w:kern w:val="2"/>
                <w:sz w:val="21"/>
                <w:szCs w:val="21"/>
              </w:rPr>
            </w:pPr>
            <w:r>
              <w:rPr>
                <w:rFonts w:cs="Times New Roman"/>
                <w:b/>
                <w:bCs/>
                <w:color w:val="auto"/>
                <w:kern w:val="2"/>
                <w:sz w:val="21"/>
                <w:szCs w:val="21"/>
              </w:rPr>
              <w:t>排放时</w:t>
            </w:r>
            <w:r>
              <w:rPr>
                <w:rFonts w:hint="eastAsia" w:cs="Times New Roman"/>
                <w:b/>
                <w:bCs/>
                <w:color w:val="auto"/>
                <w:kern w:val="2"/>
                <w:sz w:val="21"/>
                <w:szCs w:val="21"/>
              </w:rPr>
              <w:t>间</w:t>
            </w:r>
          </w:p>
        </w:tc>
        <w:tc>
          <w:tcPr>
            <w:tcW w:w="856" w:type="pct"/>
            <w:vAlign w:val="center"/>
          </w:tcPr>
          <w:p w14:paraId="0CECD385">
            <w:pPr>
              <w:widowControl w:val="0"/>
              <w:adjustRightInd/>
              <w:spacing w:line="240" w:lineRule="auto"/>
              <w:ind w:firstLine="0" w:firstLineChars="0"/>
              <w:jc w:val="center"/>
              <w:textAlignment w:val="baseline"/>
              <w:rPr>
                <w:rFonts w:cs="Times New Roman"/>
                <w:b/>
                <w:bCs/>
                <w:color w:val="auto"/>
                <w:kern w:val="2"/>
                <w:sz w:val="21"/>
                <w:szCs w:val="21"/>
              </w:rPr>
            </w:pPr>
            <w:r>
              <w:rPr>
                <w:rFonts w:hint="eastAsia" w:cs="Times New Roman"/>
                <w:b/>
                <w:bCs/>
                <w:color w:val="auto"/>
                <w:kern w:val="2"/>
                <w:sz w:val="21"/>
                <w:szCs w:val="21"/>
              </w:rPr>
              <w:t>实测排放量</w:t>
            </w:r>
          </w:p>
        </w:tc>
        <w:tc>
          <w:tcPr>
            <w:tcW w:w="903" w:type="pct"/>
            <w:vAlign w:val="center"/>
          </w:tcPr>
          <w:p w14:paraId="747B602B">
            <w:pPr>
              <w:widowControl w:val="0"/>
              <w:adjustRightInd/>
              <w:spacing w:line="240" w:lineRule="auto"/>
              <w:ind w:firstLine="0" w:firstLineChars="0"/>
              <w:jc w:val="center"/>
              <w:textAlignment w:val="baseline"/>
              <w:rPr>
                <w:rFonts w:cs="Times New Roman"/>
                <w:b/>
                <w:bCs/>
                <w:color w:val="auto"/>
                <w:kern w:val="2"/>
                <w:sz w:val="21"/>
                <w:szCs w:val="21"/>
              </w:rPr>
            </w:pPr>
            <w:r>
              <w:rPr>
                <w:rFonts w:hint="eastAsia" w:cs="Times New Roman"/>
                <w:b/>
                <w:bCs/>
                <w:color w:val="auto"/>
                <w:kern w:val="2"/>
                <w:sz w:val="21"/>
                <w:szCs w:val="21"/>
              </w:rPr>
              <w:t>折算</w:t>
            </w:r>
            <w:r>
              <w:rPr>
                <w:rFonts w:cs="Times New Roman"/>
                <w:b/>
                <w:bCs/>
                <w:color w:val="auto"/>
                <w:kern w:val="2"/>
                <w:sz w:val="21"/>
                <w:szCs w:val="21"/>
              </w:rPr>
              <w:t>排放量</w:t>
            </w:r>
            <w:r>
              <w:rPr>
                <w:rFonts w:hint="eastAsia" w:cs="Times New Roman"/>
                <w:b/>
                <w:bCs/>
                <w:color w:val="auto"/>
                <w:kern w:val="2"/>
                <w:sz w:val="28"/>
                <w:szCs w:val="28"/>
                <w:vertAlign w:val="superscript"/>
              </w:rPr>
              <w:t>①</w:t>
            </w:r>
          </w:p>
        </w:tc>
      </w:tr>
      <w:tr w14:paraId="7E412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101" w:type="pct"/>
            <w:vAlign w:val="center"/>
          </w:tcPr>
          <w:p w14:paraId="6671F34E">
            <w:pPr>
              <w:widowControl w:val="0"/>
              <w:adjustRightInd/>
              <w:spacing w:line="240" w:lineRule="auto"/>
              <w:ind w:firstLine="0" w:firstLineChars="0"/>
              <w:jc w:val="center"/>
              <w:textAlignment w:val="baseline"/>
              <w:rPr>
                <w:rFonts w:hint="default" w:eastAsia="宋体" w:cs="Times New Roman"/>
                <w:color w:val="auto"/>
                <w:kern w:val="2"/>
                <w:sz w:val="21"/>
                <w:szCs w:val="21"/>
                <w:lang w:val="en-US" w:eastAsia="zh-CN"/>
              </w:rPr>
            </w:pPr>
            <w:r>
              <w:rPr>
                <w:rFonts w:hint="eastAsia" w:cs="Times New Roman"/>
                <w:color w:val="auto"/>
                <w:kern w:val="2"/>
                <w:sz w:val="21"/>
                <w:szCs w:val="21"/>
                <w:lang w:val="en-US" w:eastAsia="zh-CN"/>
              </w:rPr>
              <w:t>DA003</w:t>
            </w:r>
          </w:p>
        </w:tc>
        <w:tc>
          <w:tcPr>
            <w:tcW w:w="598" w:type="pct"/>
            <w:vAlign w:val="center"/>
          </w:tcPr>
          <w:p w14:paraId="3C8FE21C">
            <w:pPr>
              <w:widowControl w:val="0"/>
              <w:adjustRightInd/>
              <w:spacing w:line="240" w:lineRule="auto"/>
              <w:ind w:firstLine="0" w:firstLineChars="0"/>
              <w:jc w:val="center"/>
              <w:textAlignment w:val="baseline"/>
              <w:rPr>
                <w:rFonts w:cs="Times New Roman"/>
                <w:color w:val="auto"/>
                <w:kern w:val="2"/>
                <w:sz w:val="21"/>
                <w:szCs w:val="21"/>
              </w:rPr>
            </w:pPr>
            <w:r>
              <w:rPr>
                <w:rFonts w:hint="eastAsia" w:cs="Times New Roman"/>
                <w:color w:val="auto"/>
                <w:kern w:val="2"/>
                <w:sz w:val="21"/>
                <w:szCs w:val="21"/>
              </w:rPr>
              <w:t>硫酸雾</w:t>
            </w:r>
          </w:p>
        </w:tc>
        <w:tc>
          <w:tcPr>
            <w:tcW w:w="941" w:type="pct"/>
            <w:vAlign w:val="center"/>
          </w:tcPr>
          <w:p w14:paraId="76E21FCA">
            <w:pPr>
              <w:widowControl w:val="0"/>
              <w:adjustRightInd/>
              <w:spacing w:line="240" w:lineRule="auto"/>
              <w:ind w:firstLine="0" w:firstLineChars="0"/>
              <w:jc w:val="center"/>
              <w:textAlignment w:val="baseline"/>
              <w:rPr>
                <w:rFonts w:eastAsia="等线" w:cs="Times New Roman"/>
                <w:color w:val="auto"/>
                <w:sz w:val="21"/>
                <w:szCs w:val="21"/>
              </w:rPr>
            </w:pPr>
            <w:r>
              <w:rPr>
                <w:rFonts w:hint="eastAsia" w:eastAsia="等线" w:cs="Times New Roman"/>
                <w:color w:val="auto"/>
                <w:sz w:val="21"/>
                <w:szCs w:val="21"/>
                <w:lang w:val="en-US" w:eastAsia="zh-CN"/>
              </w:rPr>
              <w:t>0.00372</w:t>
            </w:r>
            <w:r>
              <w:rPr>
                <w:rFonts w:hint="eastAsia" w:eastAsia="等线" w:cs="Times New Roman"/>
                <w:color w:val="auto"/>
                <w:sz w:val="21"/>
                <w:szCs w:val="21"/>
              </w:rPr>
              <w:t>kg</w:t>
            </w:r>
            <w:r>
              <w:rPr>
                <w:rFonts w:eastAsia="等线" w:cs="Times New Roman"/>
                <w:color w:val="auto"/>
                <w:sz w:val="21"/>
                <w:szCs w:val="21"/>
              </w:rPr>
              <w:t>/</w:t>
            </w:r>
            <w:r>
              <w:rPr>
                <w:rFonts w:hint="eastAsia" w:eastAsia="等线" w:cs="Times New Roman"/>
                <w:color w:val="auto"/>
                <w:sz w:val="21"/>
                <w:szCs w:val="21"/>
              </w:rPr>
              <w:t>h</w:t>
            </w:r>
          </w:p>
        </w:tc>
        <w:tc>
          <w:tcPr>
            <w:tcW w:w="599" w:type="pct"/>
            <w:vAlign w:val="center"/>
          </w:tcPr>
          <w:p w14:paraId="5BEA7D7F">
            <w:pPr>
              <w:widowControl w:val="0"/>
              <w:spacing w:line="240" w:lineRule="auto"/>
              <w:ind w:firstLine="0" w:firstLineChars="0"/>
              <w:jc w:val="center"/>
              <w:textAlignment w:val="baseline"/>
              <w:rPr>
                <w:rFonts w:eastAsia="等线" w:cs="Times New Roman"/>
                <w:color w:val="auto"/>
                <w:sz w:val="21"/>
                <w:szCs w:val="21"/>
              </w:rPr>
            </w:pPr>
            <w:r>
              <w:rPr>
                <w:rFonts w:hint="eastAsia" w:eastAsia="等线" w:cs="Times New Roman"/>
                <w:color w:val="auto"/>
                <w:sz w:val="21"/>
                <w:szCs w:val="21"/>
              </w:rPr>
              <w:t>72</w:t>
            </w:r>
            <w:r>
              <w:rPr>
                <w:rFonts w:eastAsia="等线" w:cs="Times New Roman"/>
                <w:color w:val="auto"/>
                <w:sz w:val="21"/>
                <w:szCs w:val="21"/>
              </w:rPr>
              <w:t>00</w:t>
            </w:r>
            <w:r>
              <w:rPr>
                <w:rFonts w:hint="eastAsia" w:eastAsia="等线" w:cs="Times New Roman"/>
                <w:color w:val="auto"/>
                <w:sz w:val="21"/>
                <w:szCs w:val="21"/>
              </w:rPr>
              <w:t>h</w:t>
            </w:r>
            <w:r>
              <w:rPr>
                <w:rFonts w:eastAsia="等线" w:cs="Times New Roman"/>
                <w:color w:val="auto"/>
                <w:sz w:val="21"/>
                <w:szCs w:val="21"/>
              </w:rPr>
              <w:t>/</w:t>
            </w:r>
            <w:r>
              <w:rPr>
                <w:rFonts w:hint="eastAsia" w:eastAsia="等线" w:cs="Times New Roman"/>
                <w:color w:val="auto"/>
                <w:sz w:val="21"/>
                <w:szCs w:val="21"/>
              </w:rPr>
              <w:t>a</w:t>
            </w:r>
          </w:p>
        </w:tc>
        <w:tc>
          <w:tcPr>
            <w:tcW w:w="1563" w:type="dxa"/>
            <w:vAlign w:val="center"/>
          </w:tcPr>
          <w:p w14:paraId="4DDD4761">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default" w:eastAsia="等线" w:cs="Times New Roman"/>
                <w:color w:val="auto"/>
                <w:sz w:val="21"/>
                <w:szCs w:val="21"/>
                <w:lang w:val="en-US"/>
              </w:rPr>
            </w:pPr>
            <w:r>
              <w:rPr>
                <w:rFonts w:hint="default" w:eastAsia="等线" w:cs="Times New Roman"/>
                <w:color w:val="auto"/>
                <w:sz w:val="21"/>
                <w:szCs w:val="21"/>
                <w:lang w:val="en-US" w:eastAsia="zh-CN"/>
              </w:rPr>
              <w:t>0.0268</w:t>
            </w:r>
            <w:r>
              <w:rPr>
                <w:rFonts w:hint="eastAsia" w:eastAsia="等线" w:cs="Times New Roman"/>
                <w:color w:val="auto"/>
                <w:sz w:val="21"/>
                <w:szCs w:val="21"/>
                <w:lang w:val="en-US" w:eastAsia="zh-CN"/>
              </w:rPr>
              <w:t>t/a</w:t>
            </w:r>
          </w:p>
        </w:tc>
        <w:tc>
          <w:tcPr>
            <w:tcW w:w="1652" w:type="dxa"/>
            <w:vAlign w:val="center"/>
          </w:tcPr>
          <w:p w14:paraId="3D0830B3">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eastAsia" w:eastAsia="等线" w:cs="Times New Roman"/>
                <w:color w:val="auto"/>
                <w:sz w:val="21"/>
                <w:szCs w:val="21"/>
              </w:rPr>
            </w:pPr>
            <w:r>
              <w:rPr>
                <w:rFonts w:hint="default" w:eastAsia="等线" w:cs="Times New Roman"/>
                <w:color w:val="auto"/>
                <w:sz w:val="21"/>
                <w:szCs w:val="21"/>
                <w:lang w:val="en-US" w:eastAsia="zh-CN"/>
              </w:rPr>
              <w:t>0.0287</w:t>
            </w:r>
            <w:r>
              <w:rPr>
                <w:rFonts w:hint="eastAsia" w:eastAsia="等线" w:cs="Times New Roman"/>
                <w:color w:val="auto"/>
                <w:sz w:val="21"/>
                <w:szCs w:val="21"/>
                <w:lang w:val="en-US" w:eastAsia="zh-CN"/>
              </w:rPr>
              <w:t>t/a</w:t>
            </w:r>
          </w:p>
        </w:tc>
      </w:tr>
      <w:tr w14:paraId="1EFEB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101" w:type="pct"/>
            <w:vAlign w:val="center"/>
          </w:tcPr>
          <w:p w14:paraId="04CC40B6">
            <w:pPr>
              <w:widowControl w:val="0"/>
              <w:adjustRightInd/>
              <w:spacing w:line="240" w:lineRule="auto"/>
              <w:ind w:firstLine="0" w:firstLineChars="0"/>
              <w:jc w:val="center"/>
              <w:textAlignment w:val="baseline"/>
              <w:rPr>
                <w:rFonts w:hint="default" w:cs="Times New Roman"/>
                <w:color w:val="auto"/>
                <w:kern w:val="2"/>
                <w:sz w:val="21"/>
                <w:szCs w:val="21"/>
                <w:lang w:val="en-US" w:eastAsia="zh-CN"/>
              </w:rPr>
            </w:pPr>
            <w:r>
              <w:rPr>
                <w:rFonts w:hint="eastAsia" w:cs="Times New Roman"/>
                <w:color w:val="auto"/>
                <w:kern w:val="2"/>
                <w:sz w:val="21"/>
                <w:szCs w:val="21"/>
                <w:lang w:val="en-US" w:eastAsia="zh-CN"/>
              </w:rPr>
              <w:t>DA004</w:t>
            </w:r>
          </w:p>
        </w:tc>
        <w:tc>
          <w:tcPr>
            <w:tcW w:w="598" w:type="pct"/>
            <w:vAlign w:val="center"/>
          </w:tcPr>
          <w:p w14:paraId="7A9F396C">
            <w:pPr>
              <w:widowControl w:val="0"/>
              <w:adjustRightInd/>
              <w:spacing w:line="240" w:lineRule="auto"/>
              <w:ind w:firstLine="0" w:firstLineChars="0"/>
              <w:jc w:val="center"/>
              <w:textAlignment w:val="baseline"/>
              <w:rPr>
                <w:rFonts w:hint="eastAsia" w:cs="Times New Roman"/>
                <w:color w:val="auto"/>
                <w:kern w:val="2"/>
                <w:sz w:val="21"/>
                <w:szCs w:val="21"/>
              </w:rPr>
            </w:pPr>
            <w:r>
              <w:rPr>
                <w:rFonts w:hint="eastAsia" w:cs="Times New Roman"/>
                <w:color w:val="auto"/>
                <w:kern w:val="2"/>
                <w:sz w:val="21"/>
                <w:szCs w:val="21"/>
              </w:rPr>
              <w:t>硫酸雾</w:t>
            </w:r>
          </w:p>
        </w:tc>
        <w:tc>
          <w:tcPr>
            <w:tcW w:w="941" w:type="pct"/>
            <w:vAlign w:val="center"/>
          </w:tcPr>
          <w:p w14:paraId="4FD14A6B">
            <w:pPr>
              <w:widowControl w:val="0"/>
              <w:adjustRightInd/>
              <w:spacing w:line="240" w:lineRule="auto"/>
              <w:ind w:firstLine="0" w:firstLineChars="0"/>
              <w:jc w:val="center"/>
              <w:textAlignment w:val="baseline"/>
              <w:rPr>
                <w:rFonts w:hint="default" w:eastAsia="等线" w:cs="Times New Roman"/>
                <w:color w:val="auto"/>
                <w:sz w:val="21"/>
                <w:szCs w:val="21"/>
                <w:lang w:val="en-US" w:eastAsia="zh-CN"/>
              </w:rPr>
            </w:pPr>
            <w:r>
              <w:rPr>
                <w:rFonts w:hint="eastAsia" w:eastAsia="等线" w:cs="Times New Roman"/>
                <w:color w:val="auto"/>
                <w:sz w:val="21"/>
                <w:szCs w:val="21"/>
                <w:lang w:val="en-US" w:eastAsia="zh-CN"/>
              </w:rPr>
              <w:t>0.00257</w:t>
            </w:r>
            <w:r>
              <w:rPr>
                <w:rFonts w:hint="eastAsia" w:eastAsia="等线" w:cs="Times New Roman"/>
                <w:color w:val="auto"/>
                <w:sz w:val="21"/>
                <w:szCs w:val="21"/>
              </w:rPr>
              <w:t>kg</w:t>
            </w:r>
            <w:r>
              <w:rPr>
                <w:rFonts w:eastAsia="等线" w:cs="Times New Roman"/>
                <w:color w:val="auto"/>
                <w:sz w:val="21"/>
                <w:szCs w:val="21"/>
              </w:rPr>
              <w:t>/</w:t>
            </w:r>
            <w:r>
              <w:rPr>
                <w:rFonts w:hint="eastAsia" w:eastAsia="等线" w:cs="Times New Roman"/>
                <w:color w:val="auto"/>
                <w:sz w:val="21"/>
                <w:szCs w:val="21"/>
              </w:rPr>
              <w:t>h</w:t>
            </w:r>
          </w:p>
        </w:tc>
        <w:tc>
          <w:tcPr>
            <w:tcW w:w="599" w:type="pct"/>
            <w:vAlign w:val="center"/>
          </w:tcPr>
          <w:p w14:paraId="0DDA3C2C">
            <w:pPr>
              <w:widowControl w:val="0"/>
              <w:spacing w:line="240" w:lineRule="auto"/>
              <w:ind w:firstLine="0" w:firstLineChars="0"/>
              <w:jc w:val="center"/>
              <w:textAlignment w:val="baseline"/>
              <w:rPr>
                <w:rFonts w:hint="eastAsia" w:eastAsia="等线" w:cs="Times New Roman"/>
                <w:color w:val="auto"/>
                <w:sz w:val="21"/>
                <w:szCs w:val="21"/>
              </w:rPr>
            </w:pPr>
            <w:r>
              <w:rPr>
                <w:rFonts w:hint="eastAsia" w:eastAsia="等线" w:cs="Times New Roman"/>
                <w:color w:val="auto"/>
                <w:sz w:val="21"/>
                <w:szCs w:val="21"/>
              </w:rPr>
              <w:t>72</w:t>
            </w:r>
            <w:r>
              <w:rPr>
                <w:rFonts w:eastAsia="等线" w:cs="Times New Roman"/>
                <w:color w:val="auto"/>
                <w:sz w:val="21"/>
                <w:szCs w:val="21"/>
              </w:rPr>
              <w:t>00</w:t>
            </w:r>
            <w:r>
              <w:rPr>
                <w:rFonts w:hint="eastAsia" w:eastAsia="等线" w:cs="Times New Roman"/>
                <w:color w:val="auto"/>
                <w:sz w:val="21"/>
                <w:szCs w:val="21"/>
              </w:rPr>
              <w:t>h</w:t>
            </w:r>
            <w:r>
              <w:rPr>
                <w:rFonts w:eastAsia="等线" w:cs="Times New Roman"/>
                <w:color w:val="auto"/>
                <w:sz w:val="21"/>
                <w:szCs w:val="21"/>
              </w:rPr>
              <w:t>/</w:t>
            </w:r>
            <w:r>
              <w:rPr>
                <w:rFonts w:hint="eastAsia" w:eastAsia="等线" w:cs="Times New Roman"/>
                <w:color w:val="auto"/>
                <w:sz w:val="21"/>
                <w:szCs w:val="21"/>
              </w:rPr>
              <w:t>a</w:t>
            </w:r>
          </w:p>
        </w:tc>
        <w:tc>
          <w:tcPr>
            <w:tcW w:w="1563" w:type="dxa"/>
            <w:vAlign w:val="center"/>
          </w:tcPr>
          <w:p w14:paraId="323F467E">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eastAsia" w:eastAsia="等线" w:cs="Times New Roman"/>
                <w:color w:val="auto"/>
                <w:sz w:val="21"/>
                <w:szCs w:val="21"/>
              </w:rPr>
            </w:pPr>
            <w:r>
              <w:rPr>
                <w:rFonts w:hint="default" w:eastAsia="等线" w:cs="Times New Roman"/>
                <w:color w:val="auto"/>
                <w:sz w:val="21"/>
                <w:szCs w:val="21"/>
                <w:lang w:val="en-US" w:eastAsia="zh-CN"/>
              </w:rPr>
              <w:t>0.0185</w:t>
            </w:r>
            <w:r>
              <w:rPr>
                <w:rFonts w:hint="eastAsia" w:eastAsia="等线" w:cs="Times New Roman"/>
                <w:color w:val="auto"/>
                <w:sz w:val="21"/>
                <w:szCs w:val="21"/>
                <w:lang w:val="en-US" w:eastAsia="zh-CN"/>
              </w:rPr>
              <w:t>t/a</w:t>
            </w:r>
          </w:p>
        </w:tc>
        <w:tc>
          <w:tcPr>
            <w:tcW w:w="1652" w:type="dxa"/>
            <w:vAlign w:val="center"/>
          </w:tcPr>
          <w:p w14:paraId="0852D8F7">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eastAsia" w:eastAsia="等线" w:cs="Times New Roman"/>
                <w:color w:val="auto"/>
                <w:sz w:val="21"/>
                <w:szCs w:val="21"/>
              </w:rPr>
            </w:pPr>
            <w:r>
              <w:rPr>
                <w:rFonts w:hint="default" w:eastAsia="等线" w:cs="Times New Roman"/>
                <w:color w:val="auto"/>
                <w:sz w:val="21"/>
                <w:szCs w:val="21"/>
                <w:lang w:val="en-US" w:eastAsia="zh-CN"/>
              </w:rPr>
              <w:t>0.0198</w:t>
            </w:r>
            <w:r>
              <w:rPr>
                <w:rFonts w:hint="eastAsia" w:eastAsia="等线" w:cs="Times New Roman"/>
                <w:color w:val="auto"/>
                <w:sz w:val="21"/>
                <w:szCs w:val="21"/>
                <w:lang w:val="en-US" w:eastAsia="zh-CN"/>
              </w:rPr>
              <w:t>t/a</w:t>
            </w:r>
          </w:p>
        </w:tc>
      </w:tr>
      <w:tr w14:paraId="2E4EF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101" w:type="pct"/>
            <w:vAlign w:val="center"/>
          </w:tcPr>
          <w:p w14:paraId="62B877AB">
            <w:pPr>
              <w:widowControl w:val="0"/>
              <w:adjustRightInd/>
              <w:spacing w:line="240" w:lineRule="auto"/>
              <w:ind w:firstLine="0" w:firstLineChars="0"/>
              <w:jc w:val="center"/>
              <w:textAlignment w:val="baseline"/>
              <w:rPr>
                <w:rFonts w:hint="default" w:cs="Times New Roman"/>
                <w:color w:val="auto"/>
                <w:kern w:val="2"/>
                <w:sz w:val="21"/>
                <w:szCs w:val="21"/>
                <w:lang w:val="en-US" w:eastAsia="zh-CN"/>
              </w:rPr>
            </w:pPr>
            <w:r>
              <w:rPr>
                <w:rFonts w:hint="eastAsia" w:cs="Times New Roman"/>
                <w:color w:val="auto"/>
                <w:kern w:val="2"/>
                <w:sz w:val="21"/>
                <w:szCs w:val="21"/>
                <w:lang w:val="en-US" w:eastAsia="zh-CN"/>
              </w:rPr>
              <w:t>DA005</w:t>
            </w:r>
          </w:p>
        </w:tc>
        <w:tc>
          <w:tcPr>
            <w:tcW w:w="598" w:type="pct"/>
            <w:vAlign w:val="center"/>
          </w:tcPr>
          <w:p w14:paraId="13228824">
            <w:pPr>
              <w:widowControl w:val="0"/>
              <w:adjustRightInd/>
              <w:spacing w:line="240" w:lineRule="auto"/>
              <w:ind w:firstLine="0" w:firstLineChars="0"/>
              <w:jc w:val="center"/>
              <w:textAlignment w:val="baseline"/>
              <w:rPr>
                <w:rFonts w:hint="eastAsia" w:cs="Times New Roman"/>
                <w:color w:val="auto"/>
                <w:kern w:val="2"/>
                <w:sz w:val="21"/>
                <w:szCs w:val="21"/>
              </w:rPr>
            </w:pPr>
            <w:r>
              <w:rPr>
                <w:rFonts w:hint="eastAsia" w:cs="Times New Roman"/>
                <w:color w:val="auto"/>
                <w:kern w:val="2"/>
                <w:sz w:val="21"/>
                <w:szCs w:val="21"/>
              </w:rPr>
              <w:t>硫酸雾</w:t>
            </w:r>
          </w:p>
        </w:tc>
        <w:tc>
          <w:tcPr>
            <w:tcW w:w="941" w:type="pct"/>
            <w:vAlign w:val="center"/>
          </w:tcPr>
          <w:p w14:paraId="7A28F487">
            <w:pPr>
              <w:widowControl w:val="0"/>
              <w:adjustRightInd/>
              <w:spacing w:line="240" w:lineRule="auto"/>
              <w:ind w:firstLine="0" w:firstLineChars="0"/>
              <w:jc w:val="center"/>
              <w:textAlignment w:val="baseline"/>
              <w:rPr>
                <w:rFonts w:hint="default" w:eastAsia="等线" w:cs="Times New Roman"/>
                <w:color w:val="auto"/>
                <w:sz w:val="21"/>
                <w:szCs w:val="21"/>
                <w:lang w:val="en-US" w:eastAsia="zh-CN"/>
              </w:rPr>
            </w:pPr>
            <w:r>
              <w:rPr>
                <w:rFonts w:hint="eastAsia" w:eastAsia="等线" w:cs="Times New Roman"/>
                <w:color w:val="auto"/>
                <w:sz w:val="21"/>
                <w:szCs w:val="21"/>
                <w:lang w:val="en-US" w:eastAsia="zh-CN"/>
              </w:rPr>
              <w:t>0.00957</w:t>
            </w:r>
            <w:r>
              <w:rPr>
                <w:rFonts w:hint="eastAsia" w:eastAsia="等线" w:cs="Times New Roman"/>
                <w:color w:val="auto"/>
                <w:sz w:val="21"/>
                <w:szCs w:val="21"/>
              </w:rPr>
              <w:t>kg</w:t>
            </w:r>
            <w:r>
              <w:rPr>
                <w:rFonts w:eastAsia="等线" w:cs="Times New Roman"/>
                <w:color w:val="auto"/>
                <w:sz w:val="21"/>
                <w:szCs w:val="21"/>
              </w:rPr>
              <w:t>/</w:t>
            </w:r>
            <w:r>
              <w:rPr>
                <w:rFonts w:hint="eastAsia" w:eastAsia="等线" w:cs="Times New Roman"/>
                <w:color w:val="auto"/>
                <w:sz w:val="21"/>
                <w:szCs w:val="21"/>
              </w:rPr>
              <w:t>h</w:t>
            </w:r>
          </w:p>
        </w:tc>
        <w:tc>
          <w:tcPr>
            <w:tcW w:w="599" w:type="pct"/>
            <w:vAlign w:val="center"/>
          </w:tcPr>
          <w:p w14:paraId="1E1E99B6">
            <w:pPr>
              <w:widowControl w:val="0"/>
              <w:spacing w:line="240" w:lineRule="auto"/>
              <w:ind w:firstLine="0" w:firstLineChars="0"/>
              <w:jc w:val="center"/>
              <w:textAlignment w:val="baseline"/>
              <w:rPr>
                <w:rFonts w:hint="eastAsia" w:eastAsia="等线" w:cs="Times New Roman"/>
                <w:color w:val="auto"/>
                <w:sz w:val="21"/>
                <w:szCs w:val="21"/>
              </w:rPr>
            </w:pPr>
            <w:r>
              <w:rPr>
                <w:rFonts w:hint="eastAsia" w:eastAsia="等线" w:cs="Times New Roman"/>
                <w:color w:val="auto"/>
                <w:sz w:val="21"/>
                <w:szCs w:val="21"/>
              </w:rPr>
              <w:t>72</w:t>
            </w:r>
            <w:r>
              <w:rPr>
                <w:rFonts w:eastAsia="等线" w:cs="Times New Roman"/>
                <w:color w:val="auto"/>
                <w:sz w:val="21"/>
                <w:szCs w:val="21"/>
              </w:rPr>
              <w:t>00</w:t>
            </w:r>
            <w:r>
              <w:rPr>
                <w:rFonts w:hint="eastAsia" w:eastAsia="等线" w:cs="Times New Roman"/>
                <w:color w:val="auto"/>
                <w:sz w:val="21"/>
                <w:szCs w:val="21"/>
              </w:rPr>
              <w:t>h</w:t>
            </w:r>
            <w:r>
              <w:rPr>
                <w:rFonts w:eastAsia="等线" w:cs="Times New Roman"/>
                <w:color w:val="auto"/>
                <w:sz w:val="21"/>
                <w:szCs w:val="21"/>
              </w:rPr>
              <w:t>/</w:t>
            </w:r>
            <w:r>
              <w:rPr>
                <w:rFonts w:hint="eastAsia" w:eastAsia="等线" w:cs="Times New Roman"/>
                <w:color w:val="auto"/>
                <w:sz w:val="21"/>
                <w:szCs w:val="21"/>
              </w:rPr>
              <w:t>a</w:t>
            </w:r>
          </w:p>
        </w:tc>
        <w:tc>
          <w:tcPr>
            <w:tcW w:w="1563" w:type="dxa"/>
            <w:vAlign w:val="center"/>
          </w:tcPr>
          <w:p w14:paraId="74E446F5">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eastAsia" w:eastAsia="等线" w:cs="Times New Roman"/>
                <w:color w:val="auto"/>
                <w:sz w:val="21"/>
                <w:szCs w:val="21"/>
              </w:rPr>
            </w:pPr>
            <w:r>
              <w:rPr>
                <w:rFonts w:hint="default" w:eastAsia="等线" w:cs="Times New Roman"/>
                <w:color w:val="auto"/>
                <w:sz w:val="21"/>
                <w:szCs w:val="21"/>
                <w:lang w:val="en-US" w:eastAsia="zh-CN"/>
              </w:rPr>
              <w:t>0.0689</w:t>
            </w:r>
            <w:r>
              <w:rPr>
                <w:rFonts w:hint="eastAsia" w:eastAsia="等线" w:cs="Times New Roman"/>
                <w:color w:val="auto"/>
                <w:sz w:val="21"/>
                <w:szCs w:val="21"/>
                <w:lang w:val="en-US" w:eastAsia="zh-CN"/>
              </w:rPr>
              <w:t>t/a</w:t>
            </w:r>
          </w:p>
        </w:tc>
        <w:tc>
          <w:tcPr>
            <w:tcW w:w="1652" w:type="dxa"/>
            <w:vAlign w:val="center"/>
          </w:tcPr>
          <w:p w14:paraId="6E256DD7">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eastAsia" w:eastAsia="等线" w:cs="Times New Roman"/>
                <w:color w:val="auto"/>
                <w:sz w:val="21"/>
                <w:szCs w:val="21"/>
              </w:rPr>
            </w:pPr>
            <w:r>
              <w:rPr>
                <w:rFonts w:hint="default" w:eastAsia="等线" w:cs="Times New Roman"/>
                <w:color w:val="auto"/>
                <w:sz w:val="21"/>
                <w:szCs w:val="21"/>
                <w:lang w:val="en-US" w:eastAsia="zh-CN"/>
              </w:rPr>
              <w:t>0.0739</w:t>
            </w:r>
            <w:r>
              <w:rPr>
                <w:rFonts w:hint="eastAsia" w:eastAsia="等线" w:cs="Times New Roman"/>
                <w:color w:val="auto"/>
                <w:sz w:val="21"/>
                <w:szCs w:val="21"/>
                <w:lang w:val="en-US" w:eastAsia="zh-CN"/>
              </w:rPr>
              <w:t>t/a</w:t>
            </w:r>
          </w:p>
        </w:tc>
      </w:tr>
      <w:tr w14:paraId="15CF7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101" w:type="pct"/>
            <w:vMerge w:val="restart"/>
            <w:vAlign w:val="center"/>
          </w:tcPr>
          <w:p w14:paraId="4E99558B">
            <w:pPr>
              <w:widowControl w:val="0"/>
              <w:adjustRightInd/>
              <w:spacing w:line="240" w:lineRule="auto"/>
              <w:ind w:firstLine="0" w:firstLineChars="0"/>
              <w:jc w:val="center"/>
              <w:textAlignment w:val="baseline"/>
              <w:rPr>
                <w:rFonts w:hint="default" w:cs="Times New Roman"/>
                <w:color w:val="auto"/>
                <w:kern w:val="2"/>
                <w:sz w:val="21"/>
                <w:szCs w:val="21"/>
                <w:lang w:val="en-US" w:eastAsia="zh-CN"/>
              </w:rPr>
            </w:pPr>
            <w:r>
              <w:rPr>
                <w:rFonts w:hint="eastAsia" w:cs="Times New Roman"/>
                <w:color w:val="auto"/>
                <w:kern w:val="2"/>
                <w:sz w:val="21"/>
                <w:szCs w:val="21"/>
                <w:lang w:val="en-US" w:eastAsia="zh-CN"/>
              </w:rPr>
              <w:t>DA006</w:t>
            </w:r>
          </w:p>
        </w:tc>
        <w:tc>
          <w:tcPr>
            <w:tcW w:w="598" w:type="pct"/>
            <w:vAlign w:val="center"/>
          </w:tcPr>
          <w:p w14:paraId="65B0C2C6">
            <w:pPr>
              <w:widowControl w:val="0"/>
              <w:adjustRightInd/>
              <w:spacing w:line="240" w:lineRule="auto"/>
              <w:ind w:firstLine="0" w:firstLineChars="0"/>
              <w:jc w:val="center"/>
              <w:textAlignment w:val="baseline"/>
              <w:rPr>
                <w:rFonts w:hint="default" w:eastAsia="宋体" w:cs="Times New Roman"/>
                <w:color w:val="auto"/>
                <w:kern w:val="2"/>
                <w:sz w:val="21"/>
                <w:szCs w:val="21"/>
                <w:lang w:val="en-US" w:eastAsia="zh-CN"/>
              </w:rPr>
            </w:pPr>
            <w:r>
              <w:rPr>
                <w:rFonts w:hint="eastAsia" w:cs="Times New Roman"/>
                <w:color w:val="auto"/>
                <w:kern w:val="2"/>
                <w:sz w:val="21"/>
                <w:szCs w:val="21"/>
                <w:lang w:val="en-US" w:eastAsia="zh-CN"/>
              </w:rPr>
              <w:t>氯化氢</w:t>
            </w:r>
          </w:p>
        </w:tc>
        <w:tc>
          <w:tcPr>
            <w:tcW w:w="941" w:type="pct"/>
            <w:vAlign w:val="center"/>
          </w:tcPr>
          <w:p w14:paraId="472B8ADB">
            <w:pPr>
              <w:widowControl w:val="0"/>
              <w:adjustRightInd/>
              <w:spacing w:line="240" w:lineRule="auto"/>
              <w:ind w:firstLine="0" w:firstLineChars="0"/>
              <w:jc w:val="center"/>
              <w:textAlignment w:val="baseline"/>
              <w:rPr>
                <w:rFonts w:hint="default" w:eastAsia="等线" w:cs="Times New Roman"/>
                <w:color w:val="auto"/>
                <w:sz w:val="21"/>
                <w:szCs w:val="21"/>
                <w:lang w:val="en-US" w:eastAsia="zh-CN"/>
              </w:rPr>
            </w:pPr>
            <w:r>
              <w:rPr>
                <w:rFonts w:hint="eastAsia" w:eastAsia="等线" w:cs="Times New Roman"/>
                <w:color w:val="auto"/>
                <w:sz w:val="21"/>
                <w:szCs w:val="21"/>
                <w:lang w:val="en-US" w:eastAsia="zh-CN"/>
              </w:rPr>
              <w:t>0.00673</w:t>
            </w:r>
            <w:r>
              <w:rPr>
                <w:rFonts w:hint="eastAsia" w:eastAsia="等线" w:cs="Times New Roman"/>
                <w:color w:val="auto"/>
                <w:sz w:val="21"/>
                <w:szCs w:val="21"/>
              </w:rPr>
              <w:t>kg</w:t>
            </w:r>
            <w:r>
              <w:rPr>
                <w:rFonts w:eastAsia="等线" w:cs="Times New Roman"/>
                <w:color w:val="auto"/>
                <w:sz w:val="21"/>
                <w:szCs w:val="21"/>
              </w:rPr>
              <w:t>/</w:t>
            </w:r>
            <w:r>
              <w:rPr>
                <w:rFonts w:hint="eastAsia" w:eastAsia="等线" w:cs="Times New Roman"/>
                <w:color w:val="auto"/>
                <w:sz w:val="21"/>
                <w:szCs w:val="21"/>
              </w:rPr>
              <w:t>h</w:t>
            </w:r>
          </w:p>
        </w:tc>
        <w:tc>
          <w:tcPr>
            <w:tcW w:w="599" w:type="pct"/>
            <w:vAlign w:val="center"/>
          </w:tcPr>
          <w:p w14:paraId="46122C82">
            <w:pPr>
              <w:widowControl w:val="0"/>
              <w:spacing w:line="240" w:lineRule="auto"/>
              <w:ind w:firstLine="0" w:firstLineChars="0"/>
              <w:jc w:val="center"/>
              <w:textAlignment w:val="baseline"/>
              <w:rPr>
                <w:rFonts w:hint="eastAsia" w:eastAsia="等线" w:cs="Times New Roman"/>
                <w:color w:val="auto"/>
                <w:sz w:val="21"/>
                <w:szCs w:val="21"/>
              </w:rPr>
            </w:pPr>
            <w:r>
              <w:rPr>
                <w:rFonts w:hint="eastAsia" w:eastAsia="等线" w:cs="Times New Roman"/>
                <w:color w:val="auto"/>
                <w:sz w:val="21"/>
                <w:szCs w:val="21"/>
              </w:rPr>
              <w:t>72</w:t>
            </w:r>
            <w:r>
              <w:rPr>
                <w:rFonts w:eastAsia="等线" w:cs="Times New Roman"/>
                <w:color w:val="auto"/>
                <w:sz w:val="21"/>
                <w:szCs w:val="21"/>
              </w:rPr>
              <w:t>00</w:t>
            </w:r>
            <w:r>
              <w:rPr>
                <w:rFonts w:hint="eastAsia" w:eastAsia="等线" w:cs="Times New Roman"/>
                <w:color w:val="auto"/>
                <w:sz w:val="21"/>
                <w:szCs w:val="21"/>
              </w:rPr>
              <w:t>h</w:t>
            </w:r>
            <w:r>
              <w:rPr>
                <w:rFonts w:eastAsia="等线" w:cs="Times New Roman"/>
                <w:color w:val="auto"/>
                <w:sz w:val="21"/>
                <w:szCs w:val="21"/>
              </w:rPr>
              <w:t>/</w:t>
            </w:r>
            <w:r>
              <w:rPr>
                <w:rFonts w:hint="eastAsia" w:eastAsia="等线" w:cs="Times New Roman"/>
                <w:color w:val="auto"/>
                <w:sz w:val="21"/>
                <w:szCs w:val="21"/>
              </w:rPr>
              <w:t>a</w:t>
            </w:r>
          </w:p>
        </w:tc>
        <w:tc>
          <w:tcPr>
            <w:tcW w:w="1563" w:type="dxa"/>
            <w:vAlign w:val="center"/>
          </w:tcPr>
          <w:p w14:paraId="309E9587">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eastAsia" w:eastAsia="等线" w:cs="Times New Roman"/>
                <w:color w:val="auto"/>
                <w:sz w:val="21"/>
                <w:szCs w:val="21"/>
              </w:rPr>
            </w:pPr>
            <w:r>
              <w:rPr>
                <w:rFonts w:hint="default" w:eastAsia="等线" w:cs="Times New Roman"/>
                <w:color w:val="auto"/>
                <w:sz w:val="21"/>
                <w:szCs w:val="21"/>
                <w:lang w:val="en-US" w:eastAsia="zh-CN"/>
              </w:rPr>
              <w:t>0.0485</w:t>
            </w:r>
            <w:r>
              <w:rPr>
                <w:rFonts w:hint="eastAsia" w:eastAsia="等线" w:cs="Times New Roman"/>
                <w:color w:val="auto"/>
                <w:sz w:val="21"/>
                <w:szCs w:val="21"/>
                <w:lang w:val="en-US" w:eastAsia="zh-CN"/>
              </w:rPr>
              <w:t>t/a</w:t>
            </w:r>
          </w:p>
        </w:tc>
        <w:tc>
          <w:tcPr>
            <w:tcW w:w="1652" w:type="dxa"/>
            <w:vAlign w:val="center"/>
          </w:tcPr>
          <w:p w14:paraId="113EE75C">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eastAsia" w:eastAsia="等线" w:cs="Times New Roman"/>
                <w:color w:val="auto"/>
                <w:sz w:val="21"/>
                <w:szCs w:val="21"/>
              </w:rPr>
            </w:pPr>
            <w:r>
              <w:rPr>
                <w:rFonts w:hint="default" w:eastAsia="等线" w:cs="Times New Roman"/>
                <w:color w:val="auto"/>
                <w:sz w:val="21"/>
                <w:szCs w:val="21"/>
                <w:lang w:val="en-US" w:eastAsia="zh-CN"/>
              </w:rPr>
              <w:t>0.0519</w:t>
            </w:r>
            <w:r>
              <w:rPr>
                <w:rFonts w:hint="eastAsia" w:eastAsia="等线" w:cs="Times New Roman"/>
                <w:color w:val="auto"/>
                <w:sz w:val="21"/>
                <w:szCs w:val="21"/>
                <w:lang w:val="en-US" w:eastAsia="zh-CN"/>
              </w:rPr>
              <w:t>t/a</w:t>
            </w:r>
          </w:p>
        </w:tc>
      </w:tr>
      <w:tr w14:paraId="2C495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101" w:type="pct"/>
            <w:vMerge w:val="continue"/>
            <w:vAlign w:val="center"/>
          </w:tcPr>
          <w:p w14:paraId="7749AB28">
            <w:pPr>
              <w:widowControl w:val="0"/>
              <w:adjustRightInd/>
              <w:spacing w:line="240" w:lineRule="auto"/>
              <w:ind w:firstLine="0" w:firstLineChars="0"/>
              <w:jc w:val="center"/>
              <w:textAlignment w:val="baseline"/>
              <w:rPr>
                <w:rFonts w:hint="eastAsia" w:cs="Times New Roman"/>
                <w:color w:val="auto"/>
                <w:kern w:val="2"/>
                <w:sz w:val="21"/>
                <w:szCs w:val="21"/>
                <w:lang w:val="en-US" w:eastAsia="zh-CN"/>
              </w:rPr>
            </w:pPr>
          </w:p>
        </w:tc>
        <w:tc>
          <w:tcPr>
            <w:tcW w:w="598" w:type="pct"/>
            <w:vAlign w:val="center"/>
          </w:tcPr>
          <w:p w14:paraId="3BB303B9">
            <w:pPr>
              <w:widowControl w:val="0"/>
              <w:adjustRightInd/>
              <w:spacing w:line="240" w:lineRule="auto"/>
              <w:ind w:firstLine="0" w:firstLineChars="0"/>
              <w:jc w:val="center"/>
              <w:textAlignment w:val="baseline"/>
              <w:rPr>
                <w:rFonts w:hint="eastAsia" w:eastAsia="宋体" w:cs="Times New Roman"/>
                <w:color w:val="auto"/>
                <w:kern w:val="2"/>
                <w:sz w:val="21"/>
                <w:szCs w:val="21"/>
                <w:lang w:val="en-US" w:eastAsia="zh-CN"/>
              </w:rPr>
            </w:pPr>
            <w:r>
              <w:rPr>
                <w:rFonts w:hint="eastAsia" w:cs="Times New Roman"/>
                <w:color w:val="auto"/>
                <w:kern w:val="2"/>
                <w:sz w:val="21"/>
                <w:szCs w:val="21"/>
                <w:lang w:val="en-US" w:eastAsia="zh-CN"/>
              </w:rPr>
              <w:t>氮氧化物</w:t>
            </w:r>
          </w:p>
        </w:tc>
        <w:tc>
          <w:tcPr>
            <w:tcW w:w="941" w:type="pct"/>
            <w:vAlign w:val="center"/>
          </w:tcPr>
          <w:p w14:paraId="0AEA035E">
            <w:pPr>
              <w:widowControl w:val="0"/>
              <w:adjustRightInd/>
              <w:spacing w:line="240" w:lineRule="auto"/>
              <w:ind w:firstLine="0" w:firstLineChars="0"/>
              <w:jc w:val="center"/>
              <w:textAlignment w:val="baseline"/>
              <w:rPr>
                <w:rFonts w:hint="default" w:eastAsia="等线" w:cs="Times New Roman"/>
                <w:color w:val="auto"/>
                <w:sz w:val="21"/>
                <w:szCs w:val="21"/>
                <w:lang w:val="en-US" w:eastAsia="zh-CN"/>
              </w:rPr>
            </w:pPr>
            <w:r>
              <w:rPr>
                <w:rFonts w:hint="eastAsia" w:eastAsia="等线" w:cs="Times New Roman"/>
                <w:color w:val="auto"/>
                <w:sz w:val="21"/>
                <w:szCs w:val="21"/>
                <w:lang w:val="en-US" w:eastAsia="zh-CN"/>
              </w:rPr>
              <w:t>/</w:t>
            </w:r>
          </w:p>
        </w:tc>
        <w:tc>
          <w:tcPr>
            <w:tcW w:w="599" w:type="pct"/>
            <w:vAlign w:val="center"/>
          </w:tcPr>
          <w:p w14:paraId="6BAC52C1">
            <w:pPr>
              <w:widowControl w:val="0"/>
              <w:spacing w:line="240" w:lineRule="auto"/>
              <w:ind w:firstLine="0" w:firstLineChars="0"/>
              <w:jc w:val="center"/>
              <w:textAlignment w:val="baseline"/>
              <w:rPr>
                <w:rFonts w:hint="eastAsia" w:eastAsia="等线" w:cs="Times New Roman"/>
                <w:color w:val="auto"/>
                <w:sz w:val="21"/>
                <w:szCs w:val="21"/>
                <w:lang w:val="en-US" w:eastAsia="zh-CN"/>
              </w:rPr>
            </w:pPr>
            <w:r>
              <w:rPr>
                <w:rFonts w:hint="eastAsia" w:eastAsia="等线" w:cs="Times New Roman"/>
                <w:color w:val="auto"/>
                <w:sz w:val="21"/>
                <w:szCs w:val="21"/>
                <w:lang w:val="en-US" w:eastAsia="zh-CN"/>
              </w:rPr>
              <w:t>/</w:t>
            </w:r>
          </w:p>
        </w:tc>
        <w:tc>
          <w:tcPr>
            <w:tcW w:w="1563" w:type="dxa"/>
            <w:vAlign w:val="center"/>
          </w:tcPr>
          <w:p w14:paraId="2AA4AD65">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eastAsia" w:eastAsia="等线" w:cs="Times New Roman"/>
                <w:color w:val="auto"/>
                <w:sz w:val="21"/>
                <w:szCs w:val="21"/>
                <w:lang w:val="en-US" w:eastAsia="zh-CN"/>
              </w:rPr>
            </w:pPr>
            <w:r>
              <w:rPr>
                <w:rFonts w:hint="eastAsia" w:eastAsia="等线" w:cs="Times New Roman"/>
                <w:color w:val="auto"/>
                <w:sz w:val="21"/>
                <w:szCs w:val="21"/>
                <w:lang w:val="en-US" w:eastAsia="zh-CN"/>
              </w:rPr>
              <w:t>/</w:t>
            </w:r>
          </w:p>
        </w:tc>
        <w:tc>
          <w:tcPr>
            <w:tcW w:w="1652" w:type="dxa"/>
            <w:vAlign w:val="center"/>
          </w:tcPr>
          <w:p w14:paraId="49EAF5A1">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eastAsia" w:eastAsia="等线" w:cs="Times New Roman"/>
                <w:color w:val="auto"/>
                <w:sz w:val="21"/>
                <w:szCs w:val="21"/>
                <w:lang w:val="en-US" w:eastAsia="zh-CN"/>
              </w:rPr>
            </w:pPr>
            <w:r>
              <w:rPr>
                <w:rFonts w:hint="eastAsia" w:eastAsia="等线" w:cs="Times New Roman"/>
                <w:color w:val="auto"/>
                <w:sz w:val="21"/>
                <w:szCs w:val="21"/>
                <w:lang w:val="en-US" w:eastAsia="zh-CN"/>
              </w:rPr>
              <w:t>/</w:t>
            </w:r>
          </w:p>
        </w:tc>
      </w:tr>
      <w:tr w14:paraId="13B1B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101" w:type="pct"/>
            <w:vMerge w:val="continue"/>
            <w:vAlign w:val="center"/>
          </w:tcPr>
          <w:p w14:paraId="72FE1C1A">
            <w:pPr>
              <w:widowControl w:val="0"/>
              <w:adjustRightInd/>
              <w:spacing w:line="240" w:lineRule="auto"/>
              <w:ind w:firstLine="0" w:firstLineChars="0"/>
              <w:jc w:val="center"/>
              <w:textAlignment w:val="baseline"/>
              <w:rPr>
                <w:rFonts w:hint="eastAsia" w:cs="Times New Roman"/>
                <w:color w:val="auto"/>
                <w:kern w:val="2"/>
                <w:sz w:val="21"/>
                <w:szCs w:val="21"/>
                <w:lang w:val="en-US" w:eastAsia="zh-CN"/>
              </w:rPr>
            </w:pPr>
          </w:p>
        </w:tc>
        <w:tc>
          <w:tcPr>
            <w:tcW w:w="598" w:type="pct"/>
            <w:vAlign w:val="center"/>
          </w:tcPr>
          <w:p w14:paraId="635FE9B2">
            <w:pPr>
              <w:widowControl w:val="0"/>
              <w:adjustRightInd/>
              <w:spacing w:line="240" w:lineRule="auto"/>
              <w:ind w:firstLine="0" w:firstLineChars="0"/>
              <w:jc w:val="center"/>
              <w:textAlignment w:val="baseline"/>
              <w:rPr>
                <w:rFonts w:hint="eastAsia" w:eastAsia="宋体" w:cs="Times New Roman"/>
                <w:color w:val="auto"/>
                <w:kern w:val="2"/>
                <w:sz w:val="21"/>
                <w:szCs w:val="21"/>
                <w:lang w:val="en-US" w:eastAsia="zh-CN"/>
              </w:rPr>
            </w:pPr>
            <w:r>
              <w:rPr>
                <w:rFonts w:hint="eastAsia" w:cs="Times New Roman"/>
                <w:color w:val="auto"/>
                <w:kern w:val="2"/>
                <w:sz w:val="21"/>
                <w:szCs w:val="21"/>
                <w:lang w:val="en-US" w:eastAsia="zh-CN"/>
              </w:rPr>
              <w:t>铬酸雾</w:t>
            </w:r>
          </w:p>
        </w:tc>
        <w:tc>
          <w:tcPr>
            <w:tcW w:w="941" w:type="pct"/>
            <w:vAlign w:val="center"/>
          </w:tcPr>
          <w:p w14:paraId="3890C88D">
            <w:pPr>
              <w:widowControl w:val="0"/>
              <w:adjustRightInd/>
              <w:spacing w:line="240" w:lineRule="auto"/>
              <w:ind w:firstLine="0" w:firstLineChars="0"/>
              <w:jc w:val="center"/>
              <w:textAlignment w:val="baseline"/>
              <w:rPr>
                <w:rFonts w:hint="default" w:eastAsia="等线" w:cs="Times New Roman"/>
                <w:color w:val="auto"/>
                <w:sz w:val="21"/>
                <w:szCs w:val="21"/>
                <w:lang w:val="en-US" w:eastAsia="zh-CN"/>
              </w:rPr>
            </w:pPr>
            <w:r>
              <w:rPr>
                <w:rFonts w:hint="eastAsia" w:eastAsia="等线" w:cs="Times New Roman"/>
                <w:color w:val="auto"/>
                <w:sz w:val="21"/>
                <w:szCs w:val="21"/>
                <w:lang w:val="en-US" w:eastAsia="zh-CN"/>
              </w:rPr>
              <w:t>/</w:t>
            </w:r>
          </w:p>
        </w:tc>
        <w:tc>
          <w:tcPr>
            <w:tcW w:w="599" w:type="pct"/>
            <w:vAlign w:val="center"/>
          </w:tcPr>
          <w:p w14:paraId="109E6D29">
            <w:pPr>
              <w:widowControl w:val="0"/>
              <w:spacing w:line="240" w:lineRule="auto"/>
              <w:ind w:firstLine="0" w:firstLineChars="0"/>
              <w:jc w:val="center"/>
              <w:textAlignment w:val="baseline"/>
              <w:rPr>
                <w:rFonts w:hint="eastAsia" w:eastAsia="等线" w:cs="Times New Roman"/>
                <w:color w:val="auto"/>
                <w:sz w:val="21"/>
                <w:szCs w:val="21"/>
                <w:lang w:val="en-US" w:eastAsia="zh-CN"/>
              </w:rPr>
            </w:pPr>
            <w:r>
              <w:rPr>
                <w:rFonts w:hint="eastAsia" w:eastAsia="等线" w:cs="Times New Roman"/>
                <w:color w:val="auto"/>
                <w:sz w:val="21"/>
                <w:szCs w:val="21"/>
                <w:lang w:val="en-US" w:eastAsia="zh-CN"/>
              </w:rPr>
              <w:t>/</w:t>
            </w:r>
          </w:p>
        </w:tc>
        <w:tc>
          <w:tcPr>
            <w:tcW w:w="1563" w:type="dxa"/>
            <w:vAlign w:val="center"/>
          </w:tcPr>
          <w:p w14:paraId="2FE7E94B">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eastAsia" w:eastAsia="等线" w:cs="Times New Roman"/>
                <w:color w:val="auto"/>
                <w:sz w:val="21"/>
                <w:szCs w:val="21"/>
                <w:lang w:val="en-US" w:eastAsia="zh-CN"/>
              </w:rPr>
            </w:pPr>
            <w:r>
              <w:rPr>
                <w:rFonts w:hint="eastAsia" w:eastAsia="等线" w:cs="Times New Roman"/>
                <w:color w:val="auto"/>
                <w:sz w:val="21"/>
                <w:szCs w:val="21"/>
                <w:lang w:val="en-US" w:eastAsia="zh-CN"/>
              </w:rPr>
              <w:t>/</w:t>
            </w:r>
          </w:p>
        </w:tc>
        <w:tc>
          <w:tcPr>
            <w:tcW w:w="1652" w:type="dxa"/>
            <w:vAlign w:val="center"/>
          </w:tcPr>
          <w:p w14:paraId="6EE33AEA">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eastAsia" w:eastAsia="等线" w:cs="Times New Roman"/>
                <w:color w:val="auto"/>
                <w:sz w:val="21"/>
                <w:szCs w:val="21"/>
                <w:lang w:val="en-US" w:eastAsia="zh-CN"/>
              </w:rPr>
            </w:pPr>
            <w:r>
              <w:rPr>
                <w:rFonts w:hint="eastAsia" w:eastAsia="等线" w:cs="Times New Roman"/>
                <w:color w:val="auto"/>
                <w:sz w:val="21"/>
                <w:szCs w:val="21"/>
                <w:lang w:val="en-US" w:eastAsia="zh-CN"/>
              </w:rPr>
              <w:t>/</w:t>
            </w:r>
          </w:p>
        </w:tc>
      </w:tr>
      <w:tr w14:paraId="55189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101" w:type="pct"/>
            <w:vMerge w:val="restart"/>
            <w:vAlign w:val="center"/>
          </w:tcPr>
          <w:p w14:paraId="78109E75">
            <w:pPr>
              <w:widowControl w:val="0"/>
              <w:adjustRightInd/>
              <w:spacing w:line="240" w:lineRule="auto"/>
              <w:ind w:firstLine="0" w:firstLineChars="0"/>
              <w:jc w:val="center"/>
              <w:textAlignment w:val="baseline"/>
              <w:rPr>
                <w:rFonts w:hint="default" w:cs="Times New Roman"/>
                <w:color w:val="auto"/>
                <w:kern w:val="2"/>
                <w:sz w:val="21"/>
                <w:szCs w:val="21"/>
                <w:lang w:val="en-US" w:eastAsia="zh-CN"/>
              </w:rPr>
            </w:pPr>
            <w:r>
              <w:rPr>
                <w:rFonts w:hint="eastAsia" w:cs="Times New Roman"/>
                <w:color w:val="auto"/>
                <w:kern w:val="2"/>
                <w:sz w:val="21"/>
                <w:szCs w:val="21"/>
                <w:lang w:val="en-US" w:eastAsia="zh-CN"/>
              </w:rPr>
              <w:t>DA007</w:t>
            </w:r>
          </w:p>
        </w:tc>
        <w:tc>
          <w:tcPr>
            <w:tcW w:w="598" w:type="pct"/>
            <w:vAlign w:val="center"/>
          </w:tcPr>
          <w:p w14:paraId="34E50765">
            <w:pPr>
              <w:widowControl w:val="0"/>
              <w:adjustRightInd/>
              <w:spacing w:line="240" w:lineRule="auto"/>
              <w:ind w:firstLine="0" w:firstLineChars="0"/>
              <w:jc w:val="center"/>
              <w:textAlignment w:val="baseline"/>
              <w:rPr>
                <w:rFonts w:hint="default" w:eastAsia="宋体" w:cs="Times New Roman"/>
                <w:color w:val="auto"/>
                <w:kern w:val="2"/>
                <w:sz w:val="21"/>
                <w:szCs w:val="21"/>
                <w:lang w:val="en-US" w:eastAsia="zh-CN"/>
              </w:rPr>
            </w:pPr>
            <w:r>
              <w:rPr>
                <w:rFonts w:hint="eastAsia" w:cs="Times New Roman"/>
                <w:color w:val="auto"/>
                <w:kern w:val="2"/>
                <w:sz w:val="21"/>
                <w:szCs w:val="21"/>
                <w:lang w:val="en-US" w:eastAsia="zh-CN"/>
              </w:rPr>
              <w:t>氨</w:t>
            </w:r>
          </w:p>
        </w:tc>
        <w:tc>
          <w:tcPr>
            <w:tcW w:w="941" w:type="pct"/>
            <w:vAlign w:val="center"/>
          </w:tcPr>
          <w:p w14:paraId="455D4770">
            <w:pPr>
              <w:widowControl w:val="0"/>
              <w:adjustRightInd/>
              <w:spacing w:line="240" w:lineRule="auto"/>
              <w:ind w:firstLine="0" w:firstLineChars="0"/>
              <w:jc w:val="center"/>
              <w:textAlignment w:val="baseline"/>
              <w:rPr>
                <w:rFonts w:hint="default" w:eastAsia="等线" w:cs="Times New Roman"/>
                <w:color w:val="auto"/>
                <w:sz w:val="21"/>
                <w:szCs w:val="21"/>
                <w:lang w:val="en-US" w:eastAsia="zh-CN"/>
              </w:rPr>
            </w:pPr>
            <w:r>
              <w:rPr>
                <w:rFonts w:hint="eastAsia" w:eastAsia="等线" w:cs="Times New Roman"/>
                <w:color w:val="auto"/>
                <w:sz w:val="21"/>
                <w:szCs w:val="21"/>
                <w:lang w:val="en-US" w:eastAsia="zh-CN"/>
              </w:rPr>
              <w:t>0.000225</w:t>
            </w:r>
            <w:r>
              <w:rPr>
                <w:rFonts w:hint="eastAsia" w:eastAsia="等线" w:cs="Times New Roman"/>
                <w:color w:val="auto"/>
                <w:sz w:val="21"/>
                <w:szCs w:val="21"/>
              </w:rPr>
              <w:t>kg</w:t>
            </w:r>
            <w:r>
              <w:rPr>
                <w:rFonts w:eastAsia="等线" w:cs="Times New Roman"/>
                <w:color w:val="auto"/>
                <w:sz w:val="21"/>
                <w:szCs w:val="21"/>
              </w:rPr>
              <w:t>/</w:t>
            </w:r>
            <w:r>
              <w:rPr>
                <w:rFonts w:hint="eastAsia" w:eastAsia="等线" w:cs="Times New Roman"/>
                <w:color w:val="auto"/>
                <w:sz w:val="21"/>
                <w:szCs w:val="21"/>
              </w:rPr>
              <w:t>h</w:t>
            </w:r>
          </w:p>
        </w:tc>
        <w:tc>
          <w:tcPr>
            <w:tcW w:w="599" w:type="pct"/>
            <w:vAlign w:val="center"/>
          </w:tcPr>
          <w:p w14:paraId="26660667">
            <w:pPr>
              <w:widowControl w:val="0"/>
              <w:spacing w:line="240" w:lineRule="auto"/>
              <w:ind w:firstLine="0" w:firstLineChars="0"/>
              <w:jc w:val="center"/>
              <w:textAlignment w:val="baseline"/>
              <w:rPr>
                <w:rFonts w:hint="eastAsia" w:eastAsia="等线" w:cs="Times New Roman"/>
                <w:color w:val="auto"/>
                <w:sz w:val="21"/>
                <w:szCs w:val="21"/>
              </w:rPr>
            </w:pPr>
            <w:r>
              <w:rPr>
                <w:rFonts w:hint="eastAsia" w:eastAsia="等线" w:cs="Times New Roman"/>
                <w:color w:val="auto"/>
                <w:sz w:val="21"/>
                <w:szCs w:val="21"/>
              </w:rPr>
              <w:t>72</w:t>
            </w:r>
            <w:r>
              <w:rPr>
                <w:rFonts w:eastAsia="等线" w:cs="Times New Roman"/>
                <w:color w:val="auto"/>
                <w:sz w:val="21"/>
                <w:szCs w:val="21"/>
              </w:rPr>
              <w:t>00</w:t>
            </w:r>
            <w:r>
              <w:rPr>
                <w:rFonts w:hint="eastAsia" w:eastAsia="等线" w:cs="Times New Roman"/>
                <w:color w:val="auto"/>
                <w:sz w:val="21"/>
                <w:szCs w:val="21"/>
              </w:rPr>
              <w:t>h</w:t>
            </w:r>
            <w:r>
              <w:rPr>
                <w:rFonts w:eastAsia="等线" w:cs="Times New Roman"/>
                <w:color w:val="auto"/>
                <w:sz w:val="21"/>
                <w:szCs w:val="21"/>
              </w:rPr>
              <w:t>/</w:t>
            </w:r>
            <w:r>
              <w:rPr>
                <w:rFonts w:hint="eastAsia" w:eastAsia="等线" w:cs="Times New Roman"/>
                <w:color w:val="auto"/>
                <w:sz w:val="21"/>
                <w:szCs w:val="21"/>
              </w:rPr>
              <w:t>a</w:t>
            </w:r>
          </w:p>
        </w:tc>
        <w:tc>
          <w:tcPr>
            <w:tcW w:w="1563" w:type="dxa"/>
            <w:vAlign w:val="center"/>
          </w:tcPr>
          <w:p w14:paraId="48586DAE">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eastAsia" w:eastAsia="等线" w:cs="Times New Roman"/>
                <w:color w:val="auto"/>
                <w:sz w:val="21"/>
                <w:szCs w:val="21"/>
              </w:rPr>
            </w:pPr>
            <w:r>
              <w:rPr>
                <w:rFonts w:hint="default" w:eastAsia="等线" w:cs="Times New Roman"/>
                <w:color w:val="auto"/>
                <w:sz w:val="21"/>
                <w:szCs w:val="21"/>
                <w:lang w:val="en-US" w:eastAsia="zh-CN"/>
              </w:rPr>
              <w:t>0.0016</w:t>
            </w:r>
            <w:r>
              <w:rPr>
                <w:rFonts w:hint="eastAsia" w:eastAsia="等线" w:cs="Times New Roman"/>
                <w:color w:val="auto"/>
                <w:sz w:val="21"/>
                <w:szCs w:val="21"/>
                <w:lang w:val="en-US" w:eastAsia="zh-CN"/>
              </w:rPr>
              <w:t>t/a</w:t>
            </w:r>
          </w:p>
        </w:tc>
        <w:tc>
          <w:tcPr>
            <w:tcW w:w="1652" w:type="dxa"/>
            <w:vAlign w:val="center"/>
          </w:tcPr>
          <w:p w14:paraId="40C64828">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eastAsia" w:eastAsia="等线" w:cs="Times New Roman"/>
                <w:color w:val="auto"/>
                <w:sz w:val="21"/>
                <w:szCs w:val="21"/>
              </w:rPr>
            </w:pPr>
            <w:r>
              <w:rPr>
                <w:rFonts w:hint="default" w:eastAsia="等线" w:cs="Times New Roman"/>
                <w:color w:val="auto"/>
                <w:sz w:val="21"/>
                <w:szCs w:val="21"/>
                <w:lang w:val="en-US" w:eastAsia="zh-CN"/>
              </w:rPr>
              <w:t>0.0017</w:t>
            </w:r>
            <w:r>
              <w:rPr>
                <w:rFonts w:hint="eastAsia" w:eastAsia="等线" w:cs="Times New Roman"/>
                <w:color w:val="auto"/>
                <w:sz w:val="21"/>
                <w:szCs w:val="21"/>
                <w:lang w:val="en-US" w:eastAsia="zh-CN"/>
              </w:rPr>
              <w:t>t/a</w:t>
            </w:r>
          </w:p>
        </w:tc>
      </w:tr>
      <w:tr w14:paraId="09F51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101" w:type="pct"/>
            <w:vMerge w:val="continue"/>
            <w:vAlign w:val="center"/>
          </w:tcPr>
          <w:p w14:paraId="1F8ED239">
            <w:pPr>
              <w:widowControl w:val="0"/>
              <w:adjustRightInd/>
              <w:spacing w:line="240" w:lineRule="auto"/>
              <w:ind w:firstLine="0" w:firstLineChars="0"/>
              <w:jc w:val="center"/>
              <w:textAlignment w:val="baseline"/>
              <w:rPr>
                <w:rFonts w:hint="eastAsia" w:cs="Times New Roman"/>
                <w:color w:val="auto"/>
                <w:kern w:val="2"/>
                <w:sz w:val="21"/>
                <w:szCs w:val="21"/>
                <w:lang w:val="en-US" w:eastAsia="zh-CN"/>
              </w:rPr>
            </w:pPr>
          </w:p>
        </w:tc>
        <w:tc>
          <w:tcPr>
            <w:tcW w:w="598" w:type="pct"/>
            <w:vAlign w:val="center"/>
          </w:tcPr>
          <w:p w14:paraId="7887EB95">
            <w:pPr>
              <w:widowControl w:val="0"/>
              <w:adjustRightInd/>
              <w:spacing w:line="240" w:lineRule="auto"/>
              <w:ind w:firstLine="0" w:firstLineChars="0"/>
              <w:jc w:val="center"/>
              <w:textAlignment w:val="baseline"/>
              <w:rPr>
                <w:rFonts w:hint="eastAsia" w:eastAsia="宋体" w:cs="Times New Roman"/>
                <w:color w:val="auto"/>
                <w:kern w:val="2"/>
                <w:sz w:val="21"/>
                <w:szCs w:val="21"/>
                <w:lang w:val="en-US" w:eastAsia="zh-CN"/>
              </w:rPr>
            </w:pPr>
            <w:r>
              <w:rPr>
                <w:rFonts w:hint="eastAsia" w:cs="Times New Roman"/>
                <w:color w:val="auto"/>
                <w:kern w:val="2"/>
                <w:sz w:val="21"/>
                <w:szCs w:val="21"/>
                <w:lang w:val="en-US" w:eastAsia="zh-CN"/>
              </w:rPr>
              <w:t>硫化氢</w:t>
            </w:r>
          </w:p>
        </w:tc>
        <w:tc>
          <w:tcPr>
            <w:tcW w:w="941" w:type="pct"/>
            <w:vAlign w:val="center"/>
          </w:tcPr>
          <w:p w14:paraId="68CF2F0D">
            <w:pPr>
              <w:widowControl w:val="0"/>
              <w:adjustRightInd/>
              <w:spacing w:line="240" w:lineRule="auto"/>
              <w:ind w:firstLine="0" w:firstLineChars="0"/>
              <w:jc w:val="center"/>
              <w:textAlignment w:val="baseline"/>
              <w:rPr>
                <w:rFonts w:hint="default" w:eastAsia="等线" w:cs="Times New Roman"/>
                <w:color w:val="auto"/>
                <w:sz w:val="21"/>
                <w:szCs w:val="21"/>
                <w:lang w:val="en-US" w:eastAsia="zh-CN"/>
              </w:rPr>
            </w:pPr>
            <w:r>
              <w:rPr>
                <w:rFonts w:hint="eastAsia" w:eastAsia="等线" w:cs="Times New Roman"/>
                <w:color w:val="auto"/>
                <w:sz w:val="21"/>
                <w:szCs w:val="21"/>
                <w:lang w:val="en-US" w:eastAsia="zh-CN"/>
              </w:rPr>
              <w:t>0.0000063</w:t>
            </w:r>
            <w:r>
              <w:rPr>
                <w:rFonts w:hint="eastAsia" w:eastAsia="等线" w:cs="Times New Roman"/>
                <w:color w:val="auto"/>
                <w:sz w:val="21"/>
                <w:szCs w:val="21"/>
              </w:rPr>
              <w:t>kg</w:t>
            </w:r>
            <w:r>
              <w:rPr>
                <w:rFonts w:eastAsia="等线" w:cs="Times New Roman"/>
                <w:color w:val="auto"/>
                <w:sz w:val="21"/>
                <w:szCs w:val="21"/>
              </w:rPr>
              <w:t>/</w:t>
            </w:r>
            <w:r>
              <w:rPr>
                <w:rFonts w:hint="eastAsia" w:eastAsia="等线" w:cs="Times New Roman"/>
                <w:color w:val="auto"/>
                <w:sz w:val="21"/>
                <w:szCs w:val="21"/>
              </w:rPr>
              <w:t>h</w:t>
            </w:r>
          </w:p>
        </w:tc>
        <w:tc>
          <w:tcPr>
            <w:tcW w:w="599" w:type="pct"/>
            <w:vAlign w:val="center"/>
          </w:tcPr>
          <w:p w14:paraId="21DB538A">
            <w:pPr>
              <w:widowControl w:val="0"/>
              <w:spacing w:line="240" w:lineRule="auto"/>
              <w:ind w:firstLine="0" w:firstLineChars="0"/>
              <w:jc w:val="center"/>
              <w:textAlignment w:val="baseline"/>
              <w:rPr>
                <w:rFonts w:hint="eastAsia" w:eastAsia="等线" w:cs="Times New Roman"/>
                <w:color w:val="auto"/>
                <w:sz w:val="21"/>
                <w:szCs w:val="21"/>
              </w:rPr>
            </w:pPr>
            <w:r>
              <w:rPr>
                <w:rFonts w:hint="eastAsia" w:eastAsia="等线" w:cs="Times New Roman"/>
                <w:color w:val="auto"/>
                <w:sz w:val="21"/>
                <w:szCs w:val="21"/>
              </w:rPr>
              <w:t>72</w:t>
            </w:r>
            <w:r>
              <w:rPr>
                <w:rFonts w:eastAsia="等线" w:cs="Times New Roman"/>
                <w:color w:val="auto"/>
                <w:sz w:val="21"/>
                <w:szCs w:val="21"/>
              </w:rPr>
              <w:t>00</w:t>
            </w:r>
            <w:r>
              <w:rPr>
                <w:rFonts w:hint="eastAsia" w:eastAsia="等线" w:cs="Times New Roman"/>
                <w:color w:val="auto"/>
                <w:sz w:val="21"/>
                <w:szCs w:val="21"/>
              </w:rPr>
              <w:t>h</w:t>
            </w:r>
            <w:r>
              <w:rPr>
                <w:rFonts w:eastAsia="等线" w:cs="Times New Roman"/>
                <w:color w:val="auto"/>
                <w:sz w:val="21"/>
                <w:szCs w:val="21"/>
              </w:rPr>
              <w:t>/</w:t>
            </w:r>
            <w:r>
              <w:rPr>
                <w:rFonts w:hint="eastAsia" w:eastAsia="等线" w:cs="Times New Roman"/>
                <w:color w:val="auto"/>
                <w:sz w:val="21"/>
                <w:szCs w:val="21"/>
              </w:rPr>
              <w:t>a</w:t>
            </w:r>
          </w:p>
        </w:tc>
        <w:tc>
          <w:tcPr>
            <w:tcW w:w="1563" w:type="dxa"/>
            <w:vAlign w:val="center"/>
          </w:tcPr>
          <w:p w14:paraId="1EACAC44">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eastAsia" w:eastAsia="等线" w:cs="Times New Roman"/>
                <w:color w:val="auto"/>
                <w:sz w:val="21"/>
                <w:szCs w:val="21"/>
              </w:rPr>
            </w:pPr>
            <w:r>
              <w:rPr>
                <w:rFonts w:hint="default" w:eastAsia="等线" w:cs="Times New Roman"/>
                <w:color w:val="auto"/>
                <w:sz w:val="21"/>
                <w:szCs w:val="21"/>
                <w:lang w:val="en-US" w:eastAsia="zh-CN"/>
              </w:rPr>
              <w:t>0.00005</w:t>
            </w:r>
            <w:r>
              <w:rPr>
                <w:rFonts w:hint="eastAsia" w:eastAsia="等线" w:cs="Times New Roman"/>
                <w:color w:val="auto"/>
                <w:sz w:val="21"/>
                <w:szCs w:val="21"/>
                <w:lang w:val="en-US" w:eastAsia="zh-CN"/>
              </w:rPr>
              <w:t>t/a</w:t>
            </w:r>
          </w:p>
        </w:tc>
        <w:tc>
          <w:tcPr>
            <w:tcW w:w="1652" w:type="dxa"/>
            <w:vAlign w:val="center"/>
          </w:tcPr>
          <w:p w14:paraId="1CA99046">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eastAsia" w:eastAsia="等线" w:cs="Times New Roman"/>
                <w:color w:val="auto"/>
                <w:sz w:val="21"/>
                <w:szCs w:val="21"/>
              </w:rPr>
            </w:pPr>
            <w:r>
              <w:rPr>
                <w:rFonts w:hint="default" w:eastAsia="等线" w:cs="Times New Roman"/>
                <w:color w:val="auto"/>
                <w:sz w:val="21"/>
                <w:szCs w:val="21"/>
                <w:lang w:val="en-US" w:eastAsia="zh-CN"/>
              </w:rPr>
              <w:t>0.00005</w:t>
            </w:r>
            <w:r>
              <w:rPr>
                <w:rFonts w:hint="eastAsia" w:eastAsia="等线" w:cs="Times New Roman"/>
                <w:color w:val="auto"/>
                <w:sz w:val="21"/>
                <w:szCs w:val="21"/>
                <w:lang w:val="en-US" w:eastAsia="zh-CN"/>
              </w:rPr>
              <w:t>t/a</w:t>
            </w:r>
          </w:p>
        </w:tc>
      </w:tr>
      <w:tr w14:paraId="43D04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000" w:type="pct"/>
            <w:gridSpan w:val="6"/>
            <w:vAlign w:val="center"/>
          </w:tcPr>
          <w:p w14:paraId="26C801DC">
            <w:pPr>
              <w:widowControl w:val="0"/>
              <w:adjustRightInd/>
              <w:spacing w:line="240" w:lineRule="auto"/>
              <w:ind w:firstLine="0" w:firstLineChars="0"/>
              <w:jc w:val="both"/>
              <w:textAlignment w:val="baseline"/>
              <w:rPr>
                <w:rFonts w:eastAsia="等线" w:cs="Times New Roman"/>
                <w:b/>
                <w:bCs/>
                <w:color w:val="auto"/>
                <w:sz w:val="21"/>
                <w:szCs w:val="21"/>
              </w:rPr>
            </w:pPr>
            <w:r>
              <w:rPr>
                <w:rFonts w:hint="eastAsia" w:eastAsia="等线" w:cs="Times New Roman"/>
                <w:b/>
                <w:bCs/>
                <w:color w:val="auto"/>
                <w:sz w:val="21"/>
                <w:szCs w:val="21"/>
              </w:rPr>
              <w:t>注：①折算排放量为折合本项目工况</w:t>
            </w:r>
            <w:r>
              <w:rPr>
                <w:rFonts w:hint="eastAsia" w:eastAsia="等线" w:cs="Times New Roman"/>
                <w:b/>
                <w:bCs/>
                <w:color w:val="auto"/>
                <w:sz w:val="21"/>
                <w:szCs w:val="21"/>
                <w:lang w:val="en-US" w:eastAsia="zh-CN"/>
              </w:rPr>
              <w:t>93.3</w:t>
            </w:r>
            <w:r>
              <w:rPr>
                <w:rFonts w:hint="eastAsia" w:eastAsia="等线" w:cs="Times New Roman"/>
                <w:b/>
                <w:bCs/>
                <w:color w:val="auto"/>
                <w:sz w:val="21"/>
                <w:szCs w:val="21"/>
              </w:rPr>
              <w:t>%进行计算得出；</w:t>
            </w:r>
          </w:p>
          <w:p w14:paraId="21B8A64B">
            <w:pPr>
              <w:widowControl w:val="0"/>
              <w:adjustRightInd/>
              <w:spacing w:line="240" w:lineRule="auto"/>
              <w:ind w:firstLine="0" w:firstLineChars="0"/>
              <w:jc w:val="both"/>
              <w:textAlignment w:val="baseline"/>
              <w:rPr>
                <w:rFonts w:eastAsia="等线" w:cs="Times New Roman"/>
                <w:b/>
                <w:bCs/>
                <w:color w:val="auto"/>
                <w:sz w:val="21"/>
                <w:szCs w:val="21"/>
              </w:rPr>
            </w:pPr>
            <w:r>
              <w:rPr>
                <w:rFonts w:hint="eastAsia" w:eastAsia="等线" w:cs="Times New Roman"/>
                <w:b/>
                <w:bCs/>
                <w:color w:val="auto"/>
                <w:sz w:val="21"/>
                <w:szCs w:val="21"/>
              </w:rPr>
              <w:t>②</w:t>
            </w:r>
            <w:r>
              <w:rPr>
                <w:rFonts w:hint="eastAsia" w:eastAsia="等线" w:cs="Times New Roman"/>
                <w:b/>
                <w:bCs/>
                <w:color w:val="auto"/>
                <w:sz w:val="21"/>
                <w:szCs w:val="21"/>
                <w:lang w:val="en-US" w:eastAsia="zh-CN"/>
              </w:rPr>
              <w:t>铬酸雾、氮氧化物、氨、硫化氢均未检出。</w:t>
            </w:r>
          </w:p>
        </w:tc>
      </w:tr>
    </w:tbl>
    <w:p w14:paraId="281CC435">
      <w:pPr>
        <w:widowControl w:val="0"/>
        <w:adjustRightInd/>
        <w:snapToGrid/>
        <w:ind w:firstLine="480"/>
        <w:jc w:val="both"/>
        <w:rPr>
          <w:color w:val="auto"/>
        </w:rPr>
      </w:pPr>
      <w:r>
        <w:rPr>
          <w:rFonts w:hint="eastAsia"/>
          <w:color w:val="auto"/>
        </w:rPr>
        <w:t>本项目废气污染物实测排放量与环评批复总量控制要求对比情况见下表：</w:t>
      </w:r>
    </w:p>
    <w:p w14:paraId="729FEA69">
      <w:pPr>
        <w:widowControl w:val="0"/>
        <w:adjustRightInd/>
        <w:snapToGrid/>
        <w:ind w:firstLine="480"/>
        <w:rPr>
          <w:rFonts w:eastAsia="黑体" w:cs="Times New Roman"/>
          <w:color w:val="auto"/>
          <w:kern w:val="2"/>
          <w:szCs w:val="24"/>
        </w:rPr>
      </w:pPr>
      <w:r>
        <w:rPr>
          <w:rFonts w:hint="eastAsia" w:eastAsia="黑体" w:cs="Times New Roman"/>
          <w:color w:val="auto"/>
          <w:kern w:val="2"/>
          <w:szCs w:val="24"/>
        </w:rPr>
        <w:t>表</w:t>
      </w:r>
      <w:r>
        <w:rPr>
          <w:rFonts w:eastAsia="黑体" w:cs="Times New Roman"/>
          <w:color w:val="auto"/>
          <w:kern w:val="2"/>
          <w:szCs w:val="24"/>
        </w:rPr>
        <w:t>9</w:t>
      </w:r>
      <w:r>
        <w:rPr>
          <w:rFonts w:hint="eastAsia" w:eastAsia="黑体" w:cs="Times New Roman"/>
          <w:color w:val="auto"/>
          <w:kern w:val="2"/>
          <w:szCs w:val="24"/>
        </w:rPr>
        <w:t xml:space="preserve">-9   </w:t>
      </w:r>
      <w:r>
        <w:rPr>
          <w:rFonts w:eastAsia="黑体" w:cs="Times New Roman"/>
          <w:color w:val="auto"/>
          <w:kern w:val="2"/>
          <w:szCs w:val="24"/>
        </w:rPr>
        <w:t xml:space="preserve">                    </w:t>
      </w:r>
      <w:r>
        <w:rPr>
          <w:rFonts w:hint="eastAsia" w:eastAsia="黑体" w:cs="Times New Roman"/>
          <w:color w:val="auto"/>
          <w:kern w:val="2"/>
          <w:szCs w:val="24"/>
        </w:rPr>
        <w:t xml:space="preserve">本项目废气污染物总量核算结果 </w:t>
      </w:r>
      <w:r>
        <w:rPr>
          <w:rFonts w:eastAsia="黑体" w:cs="Times New Roman"/>
          <w:color w:val="auto"/>
          <w:kern w:val="2"/>
          <w:szCs w:val="24"/>
        </w:rPr>
        <w:t xml:space="preserve">                     </w:t>
      </w:r>
      <w:r>
        <w:rPr>
          <w:rFonts w:hint="eastAsia" w:eastAsia="黑体" w:cs="Times New Roman"/>
          <w:color w:val="auto"/>
          <w:kern w:val="2"/>
          <w:szCs w:val="24"/>
          <w:lang w:val="en-US" w:eastAsia="zh-CN"/>
        </w:rPr>
        <w:t>单位：</w:t>
      </w:r>
      <w:r>
        <w:rPr>
          <w:rFonts w:hint="eastAsia" w:eastAsia="黑体" w:cs="Times New Roman"/>
          <w:color w:val="auto"/>
          <w:kern w:val="2"/>
          <w:szCs w:val="24"/>
        </w:rPr>
        <w:t>t/a</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1151"/>
        <w:gridCol w:w="2659"/>
        <w:gridCol w:w="2659"/>
        <w:gridCol w:w="2659"/>
      </w:tblGrid>
      <w:tr w14:paraId="7ABDB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30" w:type="pct"/>
            <w:tcMar>
              <w:left w:w="28" w:type="dxa"/>
              <w:right w:w="28" w:type="dxa"/>
            </w:tcMar>
            <w:vAlign w:val="center"/>
          </w:tcPr>
          <w:p w14:paraId="7BF0B115">
            <w:pPr>
              <w:pStyle w:val="39"/>
              <w:adjustRightInd w:val="0"/>
              <w:snapToGrid w:val="0"/>
              <w:rPr>
                <w:b/>
                <w:color w:val="auto"/>
                <w:szCs w:val="21"/>
              </w:rPr>
            </w:pPr>
            <w:r>
              <w:rPr>
                <w:b/>
                <w:color w:val="auto"/>
                <w:szCs w:val="21"/>
              </w:rPr>
              <w:t>项目</w:t>
            </w:r>
          </w:p>
        </w:tc>
        <w:tc>
          <w:tcPr>
            <w:tcW w:w="1456" w:type="pct"/>
            <w:vAlign w:val="center"/>
          </w:tcPr>
          <w:p w14:paraId="124D2995">
            <w:pPr>
              <w:pStyle w:val="39"/>
              <w:adjustRightInd w:val="0"/>
              <w:snapToGrid w:val="0"/>
              <w:rPr>
                <w:b/>
                <w:color w:val="auto"/>
                <w:szCs w:val="21"/>
              </w:rPr>
            </w:pPr>
            <w:r>
              <w:rPr>
                <w:rFonts w:hint="eastAsia"/>
                <w:b/>
                <w:color w:val="auto"/>
                <w:szCs w:val="21"/>
              </w:rPr>
              <w:t>本项目实测排放量</w:t>
            </w:r>
          </w:p>
        </w:tc>
        <w:tc>
          <w:tcPr>
            <w:tcW w:w="1456" w:type="pct"/>
            <w:vAlign w:val="center"/>
          </w:tcPr>
          <w:p w14:paraId="3540E3D7">
            <w:pPr>
              <w:pStyle w:val="39"/>
              <w:adjustRightInd w:val="0"/>
              <w:snapToGrid w:val="0"/>
              <w:rPr>
                <w:b/>
                <w:color w:val="auto"/>
                <w:szCs w:val="21"/>
              </w:rPr>
            </w:pPr>
            <w:r>
              <w:rPr>
                <w:rFonts w:hint="eastAsia"/>
                <w:b/>
                <w:color w:val="auto"/>
                <w:szCs w:val="21"/>
              </w:rPr>
              <w:t>折算满负荷</w:t>
            </w:r>
            <w:r>
              <w:rPr>
                <w:b/>
                <w:color w:val="auto"/>
                <w:szCs w:val="21"/>
              </w:rPr>
              <w:t>排放量</w:t>
            </w:r>
          </w:p>
        </w:tc>
        <w:tc>
          <w:tcPr>
            <w:tcW w:w="1456" w:type="pct"/>
            <w:vAlign w:val="center"/>
          </w:tcPr>
          <w:p w14:paraId="4E5B3396">
            <w:pPr>
              <w:pStyle w:val="39"/>
              <w:adjustRightInd w:val="0"/>
              <w:snapToGrid w:val="0"/>
              <w:rPr>
                <w:rFonts w:hint="eastAsia" w:eastAsia="宋体"/>
                <w:b/>
                <w:color w:val="auto"/>
                <w:szCs w:val="21"/>
                <w:lang w:val="en-US" w:eastAsia="zh-CN"/>
              </w:rPr>
            </w:pPr>
            <w:r>
              <w:rPr>
                <w:rFonts w:hint="eastAsia"/>
                <w:b/>
                <w:color w:val="auto"/>
                <w:szCs w:val="21"/>
                <w:lang w:val="en-US" w:eastAsia="zh-CN"/>
              </w:rPr>
              <w:t>一期项目</w:t>
            </w:r>
            <w:r>
              <w:rPr>
                <w:b/>
                <w:color w:val="auto"/>
                <w:szCs w:val="21"/>
              </w:rPr>
              <w:t>环评批复</w:t>
            </w:r>
            <w:r>
              <w:rPr>
                <w:rFonts w:hint="eastAsia"/>
                <w:b/>
                <w:color w:val="auto"/>
                <w:szCs w:val="21"/>
                <w:lang w:val="en-US" w:eastAsia="zh-CN"/>
              </w:rPr>
              <w:t>量</w:t>
            </w:r>
          </w:p>
        </w:tc>
      </w:tr>
      <w:tr w14:paraId="3F3D1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30" w:type="pct"/>
            <w:tcMar>
              <w:left w:w="28" w:type="dxa"/>
              <w:right w:w="28" w:type="dxa"/>
            </w:tcMar>
            <w:vAlign w:val="center"/>
          </w:tcPr>
          <w:p w14:paraId="025F6F2B">
            <w:pPr>
              <w:pStyle w:val="39"/>
              <w:adjustRightInd w:val="0"/>
              <w:snapToGrid w:val="0"/>
              <w:rPr>
                <w:color w:val="auto"/>
                <w:szCs w:val="21"/>
              </w:rPr>
            </w:pPr>
            <w:r>
              <w:rPr>
                <w:color w:val="auto"/>
                <w:szCs w:val="21"/>
              </w:rPr>
              <w:t>硫酸雾</w:t>
            </w:r>
          </w:p>
        </w:tc>
        <w:tc>
          <w:tcPr>
            <w:tcW w:w="1456" w:type="pct"/>
            <w:vAlign w:val="center"/>
          </w:tcPr>
          <w:p w14:paraId="1AE56812">
            <w:pPr>
              <w:widowControl w:val="0"/>
              <w:spacing w:line="240" w:lineRule="auto"/>
              <w:ind w:firstLine="0" w:firstLineChars="0"/>
              <w:jc w:val="center"/>
              <w:textAlignment w:val="baseline"/>
              <w:rPr>
                <w:rFonts w:hint="eastAsia" w:eastAsia="等线" w:cs="Times New Roman"/>
                <w:color w:val="auto"/>
                <w:sz w:val="21"/>
                <w:szCs w:val="21"/>
              </w:rPr>
            </w:pPr>
            <w:r>
              <w:rPr>
                <w:rFonts w:hint="default" w:eastAsia="等线" w:cs="Times New Roman"/>
                <w:color w:val="auto"/>
                <w:sz w:val="21"/>
                <w:szCs w:val="21"/>
                <w:lang w:val="en-US" w:eastAsia="zh-CN"/>
              </w:rPr>
              <w:t xml:space="preserve">0.1142 </w:t>
            </w:r>
          </w:p>
        </w:tc>
        <w:tc>
          <w:tcPr>
            <w:tcW w:w="1456" w:type="pct"/>
            <w:vAlign w:val="center"/>
          </w:tcPr>
          <w:p w14:paraId="6DD64072">
            <w:pPr>
              <w:widowControl w:val="0"/>
              <w:spacing w:line="240" w:lineRule="auto"/>
              <w:ind w:firstLine="0" w:firstLineChars="0"/>
              <w:jc w:val="center"/>
              <w:textAlignment w:val="baseline"/>
              <w:rPr>
                <w:rFonts w:hint="eastAsia" w:eastAsia="等线" w:cs="Times New Roman"/>
                <w:color w:val="auto"/>
                <w:sz w:val="21"/>
                <w:szCs w:val="21"/>
              </w:rPr>
            </w:pPr>
            <w:r>
              <w:rPr>
                <w:rFonts w:hint="default" w:eastAsia="等线" w:cs="Times New Roman"/>
                <w:color w:val="auto"/>
                <w:sz w:val="21"/>
                <w:szCs w:val="21"/>
                <w:lang w:val="en-US" w:eastAsia="zh-CN"/>
              </w:rPr>
              <w:t xml:space="preserve">0.1224 </w:t>
            </w:r>
          </w:p>
        </w:tc>
        <w:tc>
          <w:tcPr>
            <w:tcW w:w="1456" w:type="pct"/>
            <w:vAlign w:val="center"/>
          </w:tcPr>
          <w:p w14:paraId="3317DDC2">
            <w:pPr>
              <w:widowControl w:val="0"/>
              <w:spacing w:line="240" w:lineRule="auto"/>
              <w:ind w:firstLine="0" w:firstLineChars="0"/>
              <w:jc w:val="center"/>
              <w:textAlignment w:val="baseline"/>
              <w:rPr>
                <w:rFonts w:hint="eastAsia" w:eastAsia="等线" w:cs="Times New Roman"/>
                <w:color w:val="auto"/>
                <w:sz w:val="21"/>
                <w:szCs w:val="21"/>
              </w:rPr>
            </w:pPr>
            <w:r>
              <w:rPr>
                <w:rFonts w:hint="eastAsia" w:eastAsia="等线" w:cs="Times New Roman"/>
                <w:color w:val="auto"/>
                <w:sz w:val="21"/>
                <w:szCs w:val="21"/>
                <w:lang w:val="en-US" w:eastAsia="zh-CN"/>
              </w:rPr>
              <w:t>0.1482</w:t>
            </w:r>
          </w:p>
        </w:tc>
      </w:tr>
      <w:tr w14:paraId="4EFA3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30" w:type="pct"/>
            <w:shd w:val="clear" w:color="auto" w:fill="auto"/>
            <w:tcMar>
              <w:left w:w="28" w:type="dxa"/>
              <w:right w:w="28" w:type="dxa"/>
            </w:tcMar>
            <w:vAlign w:val="center"/>
          </w:tcPr>
          <w:p w14:paraId="26CD129C">
            <w:pPr>
              <w:widowControl w:val="0"/>
              <w:adjustRightInd/>
              <w:spacing w:line="240" w:lineRule="auto"/>
              <w:ind w:firstLine="0" w:firstLineChars="0"/>
              <w:jc w:val="center"/>
              <w:textAlignment w:val="baseline"/>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rPr>
              <w:t>氯化氢</w:t>
            </w:r>
          </w:p>
        </w:tc>
        <w:tc>
          <w:tcPr>
            <w:tcW w:w="1456" w:type="pct"/>
            <w:vAlign w:val="center"/>
          </w:tcPr>
          <w:p w14:paraId="216999FB">
            <w:pPr>
              <w:widowControl w:val="0"/>
              <w:spacing w:line="240" w:lineRule="auto"/>
              <w:ind w:firstLine="0" w:firstLineChars="0"/>
              <w:jc w:val="center"/>
              <w:textAlignment w:val="baseline"/>
              <w:rPr>
                <w:rFonts w:hint="eastAsia" w:eastAsia="等线" w:cs="Times New Roman"/>
                <w:color w:val="auto"/>
                <w:sz w:val="21"/>
                <w:szCs w:val="21"/>
              </w:rPr>
            </w:pPr>
            <w:r>
              <w:rPr>
                <w:rFonts w:hint="eastAsia" w:eastAsia="等线" w:cs="Times New Roman"/>
                <w:color w:val="auto"/>
                <w:sz w:val="21"/>
                <w:szCs w:val="21"/>
                <w:lang w:val="en-US" w:eastAsia="zh-CN"/>
              </w:rPr>
              <w:t xml:space="preserve">0.0485 </w:t>
            </w:r>
          </w:p>
        </w:tc>
        <w:tc>
          <w:tcPr>
            <w:tcW w:w="1456" w:type="pct"/>
            <w:vAlign w:val="center"/>
          </w:tcPr>
          <w:p w14:paraId="58193A20">
            <w:pPr>
              <w:widowControl w:val="0"/>
              <w:spacing w:line="240" w:lineRule="auto"/>
              <w:ind w:firstLine="0" w:firstLineChars="0"/>
              <w:jc w:val="center"/>
              <w:textAlignment w:val="baseline"/>
              <w:rPr>
                <w:rFonts w:hint="eastAsia" w:eastAsia="等线" w:cs="Times New Roman"/>
                <w:color w:val="auto"/>
                <w:sz w:val="21"/>
                <w:szCs w:val="21"/>
              </w:rPr>
            </w:pPr>
            <w:r>
              <w:rPr>
                <w:rFonts w:hint="eastAsia" w:eastAsia="等线" w:cs="Times New Roman"/>
                <w:color w:val="auto"/>
                <w:sz w:val="21"/>
                <w:szCs w:val="21"/>
                <w:lang w:val="en-US" w:eastAsia="zh-CN"/>
              </w:rPr>
              <w:t xml:space="preserve">0.0519 </w:t>
            </w:r>
          </w:p>
        </w:tc>
        <w:tc>
          <w:tcPr>
            <w:tcW w:w="1456" w:type="pct"/>
            <w:vAlign w:val="center"/>
          </w:tcPr>
          <w:p w14:paraId="160241FB">
            <w:pPr>
              <w:widowControl w:val="0"/>
              <w:spacing w:line="240" w:lineRule="auto"/>
              <w:ind w:firstLine="0" w:firstLineChars="0"/>
              <w:jc w:val="center"/>
              <w:textAlignment w:val="baseline"/>
              <w:rPr>
                <w:rFonts w:hint="eastAsia" w:eastAsia="等线" w:cs="Times New Roman"/>
                <w:color w:val="auto"/>
                <w:sz w:val="21"/>
                <w:szCs w:val="21"/>
              </w:rPr>
            </w:pPr>
            <w:r>
              <w:rPr>
                <w:rFonts w:hint="eastAsia" w:eastAsia="等线" w:cs="Times New Roman"/>
                <w:color w:val="auto"/>
                <w:sz w:val="21"/>
                <w:szCs w:val="21"/>
                <w:lang w:val="en-US" w:eastAsia="zh-CN"/>
              </w:rPr>
              <w:t>0.0922</w:t>
            </w:r>
          </w:p>
        </w:tc>
      </w:tr>
      <w:tr w14:paraId="58452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630" w:type="pct"/>
            <w:shd w:val="clear" w:color="auto" w:fill="auto"/>
            <w:tcMar>
              <w:left w:w="28" w:type="dxa"/>
              <w:right w:w="28" w:type="dxa"/>
            </w:tcMar>
            <w:vAlign w:val="center"/>
          </w:tcPr>
          <w:p w14:paraId="5409F5FF">
            <w:pPr>
              <w:widowControl w:val="0"/>
              <w:adjustRightInd/>
              <w:spacing w:line="240" w:lineRule="auto"/>
              <w:ind w:firstLine="0" w:firstLineChars="0"/>
              <w:jc w:val="center"/>
              <w:textAlignment w:val="baseline"/>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rPr>
              <w:t>氨</w:t>
            </w:r>
          </w:p>
        </w:tc>
        <w:tc>
          <w:tcPr>
            <w:tcW w:w="1456" w:type="pct"/>
            <w:vAlign w:val="center"/>
          </w:tcPr>
          <w:p w14:paraId="2B54B2CD">
            <w:pPr>
              <w:widowControl w:val="0"/>
              <w:spacing w:line="240" w:lineRule="auto"/>
              <w:ind w:firstLine="0" w:firstLineChars="0"/>
              <w:jc w:val="center"/>
              <w:textAlignment w:val="baseline"/>
              <w:rPr>
                <w:rFonts w:hint="eastAsia" w:eastAsia="等线" w:cs="Times New Roman"/>
                <w:color w:val="auto"/>
                <w:sz w:val="21"/>
                <w:szCs w:val="21"/>
              </w:rPr>
            </w:pPr>
            <w:r>
              <w:rPr>
                <w:rFonts w:hint="eastAsia" w:eastAsia="等线" w:cs="Times New Roman"/>
                <w:color w:val="auto"/>
                <w:sz w:val="21"/>
                <w:szCs w:val="21"/>
                <w:lang w:val="en-US" w:eastAsia="zh-CN"/>
              </w:rPr>
              <w:t xml:space="preserve">0.0016 </w:t>
            </w:r>
          </w:p>
        </w:tc>
        <w:tc>
          <w:tcPr>
            <w:tcW w:w="1456" w:type="pct"/>
            <w:vAlign w:val="center"/>
          </w:tcPr>
          <w:p w14:paraId="062C69C8">
            <w:pPr>
              <w:widowControl w:val="0"/>
              <w:spacing w:line="240" w:lineRule="auto"/>
              <w:ind w:firstLine="0" w:firstLineChars="0"/>
              <w:jc w:val="center"/>
              <w:textAlignment w:val="baseline"/>
              <w:rPr>
                <w:rFonts w:hint="eastAsia" w:eastAsia="等线" w:cs="Times New Roman"/>
                <w:color w:val="auto"/>
                <w:sz w:val="21"/>
                <w:szCs w:val="21"/>
              </w:rPr>
            </w:pPr>
            <w:r>
              <w:rPr>
                <w:rFonts w:hint="eastAsia" w:eastAsia="等线" w:cs="Times New Roman"/>
                <w:color w:val="auto"/>
                <w:sz w:val="21"/>
                <w:szCs w:val="21"/>
                <w:lang w:val="en-US" w:eastAsia="zh-CN"/>
              </w:rPr>
              <w:t xml:space="preserve">0.0017 </w:t>
            </w:r>
          </w:p>
        </w:tc>
        <w:tc>
          <w:tcPr>
            <w:tcW w:w="1456" w:type="pct"/>
            <w:vAlign w:val="center"/>
          </w:tcPr>
          <w:p w14:paraId="335C6599">
            <w:pPr>
              <w:widowControl w:val="0"/>
              <w:spacing w:line="240" w:lineRule="auto"/>
              <w:ind w:firstLine="0" w:firstLineChars="0"/>
              <w:jc w:val="center"/>
              <w:textAlignment w:val="baseline"/>
              <w:rPr>
                <w:rFonts w:hint="eastAsia" w:eastAsia="等线" w:cs="Times New Roman"/>
                <w:color w:val="auto"/>
                <w:sz w:val="21"/>
                <w:szCs w:val="21"/>
              </w:rPr>
            </w:pPr>
            <w:r>
              <w:rPr>
                <w:rFonts w:hint="eastAsia" w:eastAsia="等线" w:cs="Times New Roman"/>
                <w:color w:val="auto"/>
                <w:sz w:val="21"/>
                <w:szCs w:val="21"/>
                <w:lang w:val="en-US" w:eastAsia="zh-CN"/>
              </w:rPr>
              <w:t>0.0049</w:t>
            </w:r>
          </w:p>
        </w:tc>
      </w:tr>
      <w:tr w14:paraId="15620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0" w:type="auto"/>
            <w:shd w:val="clear" w:color="auto" w:fill="auto"/>
            <w:vAlign w:val="center"/>
          </w:tcPr>
          <w:p w14:paraId="413A1650">
            <w:pPr>
              <w:widowControl w:val="0"/>
              <w:adjustRightInd/>
              <w:spacing w:line="240" w:lineRule="auto"/>
              <w:ind w:firstLine="0" w:firstLineChars="0"/>
              <w:jc w:val="center"/>
              <w:textAlignment w:val="baseline"/>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rPr>
              <w:t>硫化氢</w:t>
            </w:r>
          </w:p>
        </w:tc>
        <w:tc>
          <w:tcPr>
            <w:tcW w:w="1456" w:type="pct"/>
            <w:vAlign w:val="center"/>
          </w:tcPr>
          <w:p w14:paraId="06298B26">
            <w:pPr>
              <w:widowControl w:val="0"/>
              <w:spacing w:line="240" w:lineRule="auto"/>
              <w:ind w:firstLine="0" w:firstLineChars="0"/>
              <w:jc w:val="center"/>
              <w:textAlignment w:val="baseline"/>
              <w:rPr>
                <w:rFonts w:hint="eastAsia" w:eastAsia="等线" w:cs="Times New Roman"/>
                <w:color w:val="auto"/>
                <w:sz w:val="21"/>
                <w:szCs w:val="21"/>
              </w:rPr>
            </w:pPr>
            <w:r>
              <w:rPr>
                <w:rFonts w:hint="eastAsia" w:eastAsia="等线" w:cs="Times New Roman"/>
                <w:color w:val="auto"/>
                <w:sz w:val="21"/>
                <w:szCs w:val="21"/>
                <w:lang w:val="en-US" w:eastAsia="zh-CN"/>
              </w:rPr>
              <w:t xml:space="preserve">0.00005 </w:t>
            </w:r>
          </w:p>
        </w:tc>
        <w:tc>
          <w:tcPr>
            <w:tcW w:w="1456" w:type="pct"/>
            <w:vAlign w:val="center"/>
          </w:tcPr>
          <w:p w14:paraId="4B6E344D">
            <w:pPr>
              <w:widowControl w:val="0"/>
              <w:spacing w:line="240" w:lineRule="auto"/>
              <w:ind w:firstLine="0" w:firstLineChars="0"/>
              <w:jc w:val="center"/>
              <w:textAlignment w:val="baseline"/>
              <w:rPr>
                <w:rFonts w:hint="eastAsia" w:eastAsia="等线" w:cs="Times New Roman"/>
                <w:color w:val="auto"/>
                <w:sz w:val="21"/>
                <w:szCs w:val="21"/>
              </w:rPr>
            </w:pPr>
            <w:r>
              <w:rPr>
                <w:rFonts w:hint="eastAsia" w:eastAsia="等线" w:cs="Times New Roman"/>
                <w:color w:val="auto"/>
                <w:sz w:val="21"/>
                <w:szCs w:val="21"/>
                <w:lang w:val="en-US" w:eastAsia="zh-CN"/>
              </w:rPr>
              <w:t xml:space="preserve">0.00005 </w:t>
            </w:r>
          </w:p>
        </w:tc>
        <w:tc>
          <w:tcPr>
            <w:tcW w:w="1456" w:type="pct"/>
            <w:vAlign w:val="center"/>
          </w:tcPr>
          <w:p w14:paraId="3A3C4E48">
            <w:pPr>
              <w:widowControl w:val="0"/>
              <w:spacing w:line="240" w:lineRule="auto"/>
              <w:ind w:firstLine="0" w:firstLineChars="0"/>
              <w:jc w:val="center"/>
              <w:textAlignment w:val="baseline"/>
              <w:rPr>
                <w:rFonts w:hint="eastAsia" w:eastAsia="等线" w:cs="Times New Roman"/>
                <w:color w:val="auto"/>
                <w:sz w:val="21"/>
                <w:szCs w:val="21"/>
              </w:rPr>
            </w:pPr>
            <w:r>
              <w:rPr>
                <w:rFonts w:hint="eastAsia" w:eastAsia="等线" w:cs="Times New Roman"/>
                <w:color w:val="auto"/>
                <w:sz w:val="21"/>
                <w:szCs w:val="21"/>
                <w:lang w:val="en-US" w:eastAsia="zh-CN"/>
              </w:rPr>
              <w:t>0.00005</w:t>
            </w:r>
          </w:p>
        </w:tc>
      </w:tr>
    </w:tbl>
    <w:p w14:paraId="77F6D8D5">
      <w:pPr>
        <w:ind w:firstLine="480"/>
        <w:rPr>
          <w:color w:val="auto"/>
        </w:rPr>
      </w:pPr>
      <w:r>
        <w:rPr>
          <w:rFonts w:hint="eastAsia"/>
          <w:color w:val="auto"/>
        </w:rPr>
        <w:t>经过比对，本</w:t>
      </w:r>
      <w:r>
        <w:rPr>
          <w:rFonts w:hint="eastAsia"/>
          <w:color w:val="auto"/>
          <w:lang w:val="en-US" w:eastAsia="zh-CN"/>
        </w:rPr>
        <w:t>次一期</w:t>
      </w:r>
      <w:r>
        <w:rPr>
          <w:rFonts w:hint="eastAsia"/>
          <w:color w:val="auto"/>
        </w:rPr>
        <w:t>项目废气折算为满负荷的排放量能够满足</w:t>
      </w:r>
      <w:r>
        <w:rPr>
          <w:rFonts w:hint="eastAsia"/>
          <w:color w:val="auto"/>
          <w:lang w:val="en-US" w:eastAsia="zh-CN"/>
        </w:rPr>
        <w:t>一期项目</w:t>
      </w:r>
      <w:r>
        <w:rPr>
          <w:rFonts w:hint="eastAsia"/>
          <w:color w:val="auto"/>
        </w:rPr>
        <w:t>环评批复总量控制要求。</w:t>
      </w:r>
    </w:p>
    <w:p w14:paraId="70263517">
      <w:pPr>
        <w:ind w:firstLine="482"/>
        <w:rPr>
          <w:b/>
          <w:bCs/>
          <w:color w:val="auto"/>
        </w:rPr>
      </w:pPr>
      <w:r>
        <w:rPr>
          <w:rFonts w:hint="eastAsia"/>
          <w:b/>
          <w:bCs/>
          <w:color w:val="auto"/>
        </w:rPr>
        <w:t>2、废水</w:t>
      </w:r>
    </w:p>
    <w:p w14:paraId="4CFBB702">
      <w:pPr>
        <w:spacing w:line="460" w:lineRule="exact"/>
        <w:ind w:firstLine="480"/>
        <w:jc w:val="both"/>
        <w:rPr>
          <w:rFonts w:hint="eastAsia" w:hAnsi="宋体"/>
          <w:bCs/>
          <w:color w:val="auto"/>
          <w:szCs w:val="24"/>
        </w:rPr>
      </w:pPr>
      <w:r>
        <w:rPr>
          <w:rFonts w:hint="eastAsia"/>
          <w:color w:val="auto"/>
          <w:szCs w:val="24"/>
        </w:rPr>
        <w:t>由检测结果可得，验收期间实际厂区总排口外排废水量约为</w:t>
      </w:r>
      <w:r>
        <w:rPr>
          <w:rFonts w:hint="eastAsia"/>
          <w:color w:val="auto"/>
          <w:szCs w:val="24"/>
          <w:lang w:val="en-US" w:eastAsia="zh-CN"/>
        </w:rPr>
        <w:t>81.16</w:t>
      </w:r>
      <w:r>
        <w:rPr>
          <w:rFonts w:hint="eastAsia"/>
          <w:color w:val="auto"/>
        </w:rPr>
        <w:t>m</w:t>
      </w:r>
      <w:r>
        <w:rPr>
          <w:color w:val="auto"/>
          <w:vertAlign w:val="superscript"/>
        </w:rPr>
        <w:t>3</w:t>
      </w:r>
      <w:r>
        <w:rPr>
          <w:rFonts w:hint="eastAsia"/>
          <w:color w:val="auto"/>
        </w:rPr>
        <w:t>/</w:t>
      </w:r>
      <w:r>
        <w:rPr>
          <w:color w:val="auto"/>
        </w:rPr>
        <w:t>d</w:t>
      </w:r>
      <w:r>
        <w:rPr>
          <w:rFonts w:hint="eastAsia"/>
          <w:color w:val="auto"/>
          <w:szCs w:val="24"/>
        </w:rPr>
        <w:t>，</w:t>
      </w:r>
      <w:r>
        <w:rPr>
          <w:rFonts w:hint="eastAsia" w:hAnsi="宋体"/>
          <w:bCs/>
          <w:color w:val="auto"/>
          <w:szCs w:val="24"/>
        </w:rPr>
        <w:t>按照最不利条件折算为满负荷情况下废水总量</w:t>
      </w:r>
      <w:r>
        <w:rPr>
          <w:rFonts w:hint="eastAsia" w:hAnsi="宋体"/>
          <w:bCs/>
          <w:color w:val="auto"/>
          <w:szCs w:val="24"/>
          <w:lang w:val="en-US" w:eastAsia="zh-CN"/>
        </w:rPr>
        <w:t>约</w:t>
      </w:r>
      <w:r>
        <w:rPr>
          <w:rFonts w:hint="eastAsia" w:hAnsi="宋体"/>
          <w:bCs/>
          <w:color w:val="auto"/>
          <w:szCs w:val="24"/>
        </w:rPr>
        <w:t>为</w:t>
      </w:r>
      <w:r>
        <w:rPr>
          <w:rFonts w:hint="eastAsia" w:hAnsi="宋体"/>
          <w:bCs/>
          <w:color w:val="auto"/>
          <w:szCs w:val="24"/>
          <w:lang w:val="en-US" w:eastAsia="zh-CN"/>
        </w:rPr>
        <w:t>87</w:t>
      </w:r>
      <w:r>
        <w:rPr>
          <w:color w:val="auto"/>
          <w:szCs w:val="24"/>
        </w:rPr>
        <w:t>m</w:t>
      </w:r>
      <w:r>
        <w:rPr>
          <w:color w:val="auto"/>
          <w:szCs w:val="24"/>
          <w:vertAlign w:val="superscript"/>
        </w:rPr>
        <w:t>3</w:t>
      </w:r>
      <w:r>
        <w:rPr>
          <w:color w:val="auto"/>
          <w:szCs w:val="24"/>
        </w:rPr>
        <w:t>/</w:t>
      </w:r>
      <w:r>
        <w:rPr>
          <w:color w:val="auto"/>
        </w:rPr>
        <w:t>d</w:t>
      </w:r>
      <w:r>
        <w:rPr>
          <w:rFonts w:hint="eastAsia" w:hAnsi="宋体"/>
          <w:bCs/>
          <w:color w:val="auto"/>
          <w:szCs w:val="24"/>
        </w:rPr>
        <w:t>。</w:t>
      </w:r>
    </w:p>
    <w:p w14:paraId="7607B7FD">
      <w:pPr>
        <w:spacing w:line="460" w:lineRule="exact"/>
        <w:ind w:firstLine="480"/>
        <w:jc w:val="both"/>
        <w:rPr>
          <w:rFonts w:hint="eastAsia" w:hAnsi="宋体"/>
          <w:bCs/>
          <w:color w:val="FF0000"/>
          <w:szCs w:val="24"/>
        </w:rPr>
      </w:pPr>
    </w:p>
    <w:p w14:paraId="763B8180">
      <w:pPr>
        <w:widowControl w:val="0"/>
        <w:adjustRightInd/>
        <w:snapToGrid/>
        <w:ind w:firstLine="480"/>
        <w:rPr>
          <w:rFonts w:eastAsia="黑体" w:cs="Times New Roman"/>
          <w:color w:val="auto"/>
          <w:kern w:val="2"/>
          <w:szCs w:val="24"/>
        </w:rPr>
      </w:pPr>
      <w:r>
        <w:rPr>
          <w:rFonts w:hint="eastAsia" w:eastAsia="黑体" w:cs="Times New Roman"/>
          <w:color w:val="auto"/>
          <w:kern w:val="2"/>
          <w:szCs w:val="24"/>
        </w:rPr>
        <w:t>表</w:t>
      </w:r>
      <w:r>
        <w:rPr>
          <w:rFonts w:eastAsia="黑体" w:cs="Times New Roman"/>
          <w:color w:val="auto"/>
          <w:kern w:val="2"/>
          <w:szCs w:val="24"/>
        </w:rPr>
        <w:t>9</w:t>
      </w:r>
      <w:r>
        <w:rPr>
          <w:rFonts w:hint="eastAsia" w:eastAsia="黑体" w:cs="Times New Roman"/>
          <w:color w:val="auto"/>
          <w:kern w:val="2"/>
          <w:szCs w:val="24"/>
        </w:rPr>
        <w:t xml:space="preserve">-10   </w:t>
      </w:r>
      <w:r>
        <w:rPr>
          <w:rFonts w:eastAsia="黑体" w:cs="Times New Roman"/>
          <w:color w:val="auto"/>
          <w:kern w:val="2"/>
          <w:szCs w:val="24"/>
        </w:rPr>
        <w:t xml:space="preserve">                    </w:t>
      </w:r>
      <w:r>
        <w:rPr>
          <w:rFonts w:hint="eastAsia" w:eastAsia="黑体" w:cs="Times New Roman"/>
          <w:color w:val="auto"/>
          <w:kern w:val="2"/>
          <w:szCs w:val="24"/>
        </w:rPr>
        <w:t xml:space="preserve">本项目废水污染物总量核算结果 </w:t>
      </w:r>
      <w:r>
        <w:rPr>
          <w:rFonts w:eastAsia="黑体" w:cs="Times New Roman"/>
          <w:color w:val="auto"/>
          <w:kern w:val="2"/>
          <w:szCs w:val="24"/>
        </w:rPr>
        <w:t xml:space="preserve">                           </w:t>
      </w:r>
      <w:r>
        <w:rPr>
          <w:rFonts w:hint="eastAsia" w:eastAsia="黑体" w:cs="Times New Roman"/>
          <w:color w:val="auto"/>
          <w:kern w:val="2"/>
          <w:szCs w:val="24"/>
        </w:rPr>
        <w:t>t/a</w:t>
      </w:r>
    </w:p>
    <w:tbl>
      <w:tblPr>
        <w:tblStyle w:val="26"/>
        <w:tblW w:w="4805" w:type="pct"/>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1989"/>
        <w:gridCol w:w="2312"/>
        <w:gridCol w:w="2312"/>
        <w:gridCol w:w="2313"/>
      </w:tblGrid>
      <w:tr w14:paraId="7E4EE6E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989" w:type="dxa"/>
            <w:tcBorders>
              <w:top w:val="single" w:color="000000" w:sz="8" w:space="0"/>
              <w:bottom w:val="single" w:color="000000" w:sz="8" w:space="0"/>
            </w:tcBorders>
            <w:vAlign w:val="center"/>
          </w:tcPr>
          <w:p w14:paraId="6FA8B1AC">
            <w:pPr>
              <w:pStyle w:val="69"/>
              <w:rPr>
                <w:b/>
                <w:bCs/>
                <w:color w:val="auto"/>
              </w:rPr>
            </w:pPr>
            <w:r>
              <w:rPr>
                <w:rFonts w:hint="eastAsia"/>
                <w:b/>
                <w:bCs/>
                <w:color w:val="auto"/>
              </w:rPr>
              <w:t>污染物</w:t>
            </w:r>
          </w:p>
        </w:tc>
        <w:tc>
          <w:tcPr>
            <w:tcW w:w="2312" w:type="dxa"/>
            <w:tcBorders>
              <w:top w:val="single" w:color="000000" w:sz="8" w:space="0"/>
              <w:bottom w:val="single" w:color="000000" w:sz="8" w:space="0"/>
            </w:tcBorders>
            <w:vAlign w:val="center"/>
          </w:tcPr>
          <w:p w14:paraId="35B50D8B">
            <w:pPr>
              <w:pStyle w:val="69"/>
              <w:rPr>
                <w:b/>
                <w:bCs/>
                <w:color w:val="auto"/>
              </w:rPr>
            </w:pPr>
            <w:r>
              <w:rPr>
                <w:rFonts w:hint="eastAsia"/>
                <w:b/>
                <w:color w:val="auto"/>
                <w:szCs w:val="21"/>
              </w:rPr>
              <w:t>本项目实测排放量</w:t>
            </w:r>
          </w:p>
        </w:tc>
        <w:tc>
          <w:tcPr>
            <w:tcW w:w="2312" w:type="dxa"/>
            <w:tcBorders>
              <w:top w:val="single" w:color="000000" w:sz="8" w:space="0"/>
              <w:bottom w:val="single" w:color="000000" w:sz="8" w:space="0"/>
            </w:tcBorders>
            <w:vAlign w:val="center"/>
          </w:tcPr>
          <w:p w14:paraId="39C401C3">
            <w:pPr>
              <w:pStyle w:val="69"/>
              <w:rPr>
                <w:rFonts w:hint="eastAsia"/>
                <w:b/>
                <w:color w:val="auto"/>
                <w:szCs w:val="21"/>
              </w:rPr>
            </w:pPr>
            <w:r>
              <w:rPr>
                <w:rFonts w:hint="eastAsia"/>
                <w:b/>
                <w:color w:val="auto"/>
                <w:szCs w:val="21"/>
              </w:rPr>
              <w:t>折算满负荷</w:t>
            </w:r>
            <w:r>
              <w:rPr>
                <w:b/>
                <w:color w:val="auto"/>
                <w:szCs w:val="21"/>
              </w:rPr>
              <w:t>排放量</w:t>
            </w:r>
          </w:p>
        </w:tc>
        <w:tc>
          <w:tcPr>
            <w:tcW w:w="2313" w:type="dxa"/>
            <w:tcBorders>
              <w:top w:val="single" w:color="000000" w:sz="8" w:space="0"/>
              <w:bottom w:val="single" w:color="000000" w:sz="8" w:space="0"/>
            </w:tcBorders>
            <w:vAlign w:val="center"/>
          </w:tcPr>
          <w:p w14:paraId="7DD56349">
            <w:pPr>
              <w:pStyle w:val="69"/>
              <w:rPr>
                <w:b/>
                <w:bCs/>
                <w:color w:val="auto"/>
              </w:rPr>
            </w:pPr>
            <w:r>
              <w:rPr>
                <w:rFonts w:hint="eastAsia"/>
                <w:b/>
                <w:color w:val="auto"/>
                <w:szCs w:val="21"/>
                <w:lang w:val="en-US" w:eastAsia="zh-CN"/>
              </w:rPr>
              <w:t>项目</w:t>
            </w:r>
            <w:r>
              <w:rPr>
                <w:b/>
                <w:color w:val="auto"/>
                <w:szCs w:val="21"/>
              </w:rPr>
              <w:t>环评批复</w:t>
            </w:r>
          </w:p>
        </w:tc>
      </w:tr>
      <w:tr w14:paraId="4EF8149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989" w:type="dxa"/>
            <w:tcBorders>
              <w:top w:val="single" w:color="000000" w:sz="8" w:space="0"/>
              <w:bottom w:val="single" w:color="000000" w:sz="4" w:space="0"/>
            </w:tcBorders>
            <w:vAlign w:val="center"/>
          </w:tcPr>
          <w:p w14:paraId="33FCD74D">
            <w:pPr>
              <w:pStyle w:val="69"/>
              <w:rPr>
                <w:color w:val="auto"/>
              </w:rPr>
            </w:pPr>
            <w:r>
              <w:rPr>
                <w:color w:val="auto"/>
              </w:rPr>
              <w:t>COD</w:t>
            </w:r>
          </w:p>
        </w:tc>
        <w:tc>
          <w:tcPr>
            <w:tcW w:w="2312" w:type="dxa"/>
            <w:tcBorders>
              <w:top w:val="single" w:color="000000" w:sz="8" w:space="0"/>
              <w:bottom w:val="single" w:color="000000" w:sz="4" w:space="0"/>
            </w:tcBorders>
            <w:vAlign w:val="center"/>
          </w:tcPr>
          <w:p w14:paraId="05DC8569">
            <w:pPr>
              <w:pStyle w:val="53"/>
              <w:spacing w:line="240" w:lineRule="auto"/>
              <w:ind w:firstLine="0" w:firstLineChars="0"/>
              <w:jc w:val="center"/>
              <w:rPr>
                <w:rFonts w:hint="eastAsia" w:eastAsia="等线"/>
                <w:lang w:val="en-US" w:eastAsia="zh-CN"/>
              </w:rPr>
            </w:pPr>
            <w:r>
              <w:rPr>
                <w:rFonts w:hint="eastAsia" w:eastAsia="等线"/>
                <w:lang w:val="en-US" w:eastAsia="zh-CN"/>
              </w:rPr>
              <w:t>0.9739</w:t>
            </w:r>
          </w:p>
        </w:tc>
        <w:tc>
          <w:tcPr>
            <w:tcW w:w="2312" w:type="dxa"/>
            <w:tcBorders>
              <w:top w:val="single" w:color="000000" w:sz="8" w:space="0"/>
              <w:bottom w:val="single" w:color="000000" w:sz="4" w:space="0"/>
            </w:tcBorders>
            <w:shd w:val="clear" w:color="auto" w:fill="auto"/>
            <w:vAlign w:val="center"/>
          </w:tcPr>
          <w:p w14:paraId="64ABAEF4">
            <w:pPr>
              <w:pStyle w:val="53"/>
              <w:ind w:firstLine="0" w:firstLineChars="0"/>
              <w:jc w:val="center"/>
              <w:rPr>
                <w:rFonts w:hint="eastAsia" w:eastAsia="等线"/>
                <w:lang w:val="en-US" w:eastAsia="zh-CN"/>
              </w:rPr>
            </w:pPr>
            <w:r>
              <w:rPr>
                <w:rFonts w:hint="eastAsia" w:eastAsia="等线"/>
                <w:lang w:val="en-US" w:eastAsia="zh-CN"/>
              </w:rPr>
              <w:t>1.0440</w:t>
            </w:r>
          </w:p>
        </w:tc>
        <w:tc>
          <w:tcPr>
            <w:tcW w:w="2313" w:type="dxa"/>
            <w:tcBorders>
              <w:top w:val="single" w:color="000000" w:sz="8" w:space="0"/>
              <w:bottom w:val="single" w:color="000000" w:sz="4" w:space="0"/>
            </w:tcBorders>
            <w:vAlign w:val="center"/>
          </w:tcPr>
          <w:p w14:paraId="3F93B348">
            <w:pPr>
              <w:pStyle w:val="53"/>
              <w:ind w:firstLine="0" w:firstLineChars="0"/>
              <w:rPr>
                <w:rFonts w:hint="default" w:eastAsia="微软雅黑"/>
                <w:bCs/>
                <w:color w:val="auto"/>
                <w:u w:val="none"/>
                <w:lang w:val="en-US" w:eastAsia="zh-CN"/>
              </w:rPr>
            </w:pPr>
            <w:r>
              <w:rPr>
                <w:rFonts w:eastAsia="等线"/>
              </w:rPr>
              <w:t>1.9475</w:t>
            </w:r>
          </w:p>
        </w:tc>
      </w:tr>
      <w:tr w14:paraId="3FF2392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989" w:type="dxa"/>
            <w:tcBorders>
              <w:top w:val="single" w:color="000000" w:sz="8" w:space="0"/>
              <w:bottom w:val="single" w:color="000000" w:sz="4" w:space="0"/>
            </w:tcBorders>
            <w:vAlign w:val="center"/>
          </w:tcPr>
          <w:p w14:paraId="7A21352E">
            <w:pPr>
              <w:pStyle w:val="69"/>
              <w:rPr>
                <w:rFonts w:hint="default" w:eastAsia="宋体"/>
                <w:color w:val="auto"/>
                <w:lang w:val="en-US" w:eastAsia="zh-CN"/>
              </w:rPr>
            </w:pPr>
            <w:r>
              <w:rPr>
                <w:rFonts w:hint="eastAsia"/>
                <w:color w:val="auto"/>
                <w:lang w:val="en-US" w:eastAsia="zh-CN"/>
              </w:rPr>
              <w:t>氨氮</w:t>
            </w:r>
          </w:p>
        </w:tc>
        <w:tc>
          <w:tcPr>
            <w:tcW w:w="2312" w:type="dxa"/>
            <w:tcBorders>
              <w:top w:val="single" w:color="000000" w:sz="8" w:space="0"/>
              <w:bottom w:val="single" w:color="000000" w:sz="4" w:space="0"/>
            </w:tcBorders>
            <w:vAlign w:val="center"/>
          </w:tcPr>
          <w:p w14:paraId="6B35FB90">
            <w:pPr>
              <w:pStyle w:val="53"/>
              <w:spacing w:line="240" w:lineRule="auto"/>
              <w:ind w:firstLine="0" w:firstLineChars="0"/>
              <w:jc w:val="center"/>
              <w:rPr>
                <w:rFonts w:hint="eastAsia" w:eastAsia="等线"/>
                <w:lang w:val="en-US" w:eastAsia="zh-CN"/>
              </w:rPr>
            </w:pPr>
            <w:r>
              <w:rPr>
                <w:rFonts w:hint="eastAsia" w:eastAsia="等线"/>
                <w:lang w:val="en-US" w:eastAsia="zh-CN"/>
              </w:rPr>
              <w:t>0.0487</w:t>
            </w:r>
          </w:p>
        </w:tc>
        <w:tc>
          <w:tcPr>
            <w:tcW w:w="2312" w:type="dxa"/>
            <w:tcBorders>
              <w:top w:val="single" w:color="000000" w:sz="8" w:space="0"/>
              <w:bottom w:val="single" w:color="000000" w:sz="4" w:space="0"/>
            </w:tcBorders>
            <w:shd w:val="clear" w:color="auto" w:fill="auto"/>
            <w:vAlign w:val="center"/>
          </w:tcPr>
          <w:p w14:paraId="655E381B">
            <w:pPr>
              <w:pStyle w:val="53"/>
              <w:ind w:firstLine="0" w:firstLineChars="0"/>
              <w:jc w:val="center"/>
              <w:rPr>
                <w:rFonts w:hint="eastAsia" w:eastAsia="等线"/>
                <w:lang w:val="en-US" w:eastAsia="zh-CN"/>
              </w:rPr>
            </w:pPr>
            <w:r>
              <w:rPr>
                <w:rFonts w:hint="eastAsia" w:eastAsia="等线"/>
                <w:lang w:val="en-US" w:eastAsia="zh-CN"/>
              </w:rPr>
              <w:t>0.0522</w:t>
            </w:r>
          </w:p>
        </w:tc>
        <w:tc>
          <w:tcPr>
            <w:tcW w:w="2313" w:type="dxa"/>
            <w:tcBorders>
              <w:top w:val="single" w:color="000000" w:sz="8" w:space="0"/>
              <w:bottom w:val="single" w:color="000000" w:sz="4" w:space="0"/>
            </w:tcBorders>
            <w:vAlign w:val="center"/>
          </w:tcPr>
          <w:p w14:paraId="1B42253B">
            <w:pPr>
              <w:pStyle w:val="53"/>
              <w:ind w:firstLine="0" w:firstLineChars="0"/>
              <w:rPr>
                <w:rFonts w:eastAsia="等线"/>
                <w:color w:val="auto"/>
              </w:rPr>
            </w:pPr>
            <w:r>
              <w:rPr>
                <w:rFonts w:eastAsia="等线"/>
              </w:rPr>
              <w:t>0.0974</w:t>
            </w:r>
          </w:p>
        </w:tc>
      </w:tr>
      <w:tr w14:paraId="2C71227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989" w:type="dxa"/>
            <w:tcBorders>
              <w:top w:val="single" w:color="000000" w:sz="8" w:space="0"/>
              <w:bottom w:val="single" w:color="000000" w:sz="8" w:space="0"/>
            </w:tcBorders>
            <w:vAlign w:val="center"/>
          </w:tcPr>
          <w:p w14:paraId="18906908">
            <w:pPr>
              <w:pStyle w:val="69"/>
              <w:rPr>
                <w:color w:val="auto"/>
              </w:rPr>
            </w:pPr>
            <w:r>
              <w:rPr>
                <w:color w:val="auto"/>
              </w:rPr>
              <w:t>T</w:t>
            </w:r>
            <w:r>
              <w:rPr>
                <w:rFonts w:hint="eastAsia"/>
                <w:color w:val="auto"/>
              </w:rPr>
              <w:t xml:space="preserve">P </w:t>
            </w:r>
          </w:p>
        </w:tc>
        <w:tc>
          <w:tcPr>
            <w:tcW w:w="2312" w:type="dxa"/>
            <w:tcBorders>
              <w:top w:val="single" w:color="000000" w:sz="8" w:space="0"/>
              <w:bottom w:val="single" w:color="000000" w:sz="8" w:space="0"/>
            </w:tcBorders>
            <w:vAlign w:val="center"/>
          </w:tcPr>
          <w:p w14:paraId="771A22FB">
            <w:pPr>
              <w:pStyle w:val="53"/>
              <w:spacing w:line="240" w:lineRule="auto"/>
              <w:ind w:firstLine="0" w:firstLineChars="0"/>
              <w:jc w:val="center"/>
              <w:rPr>
                <w:rFonts w:hint="eastAsia" w:eastAsia="等线"/>
                <w:lang w:val="en-US" w:eastAsia="zh-CN"/>
              </w:rPr>
            </w:pPr>
            <w:r>
              <w:rPr>
                <w:rFonts w:hint="eastAsia" w:eastAsia="等线"/>
                <w:lang w:val="en-US" w:eastAsia="zh-CN"/>
              </w:rPr>
              <w:t>0.0097</w:t>
            </w:r>
          </w:p>
        </w:tc>
        <w:tc>
          <w:tcPr>
            <w:tcW w:w="2312" w:type="dxa"/>
            <w:tcBorders>
              <w:top w:val="single" w:color="000000" w:sz="8" w:space="0"/>
              <w:bottom w:val="single" w:color="000000" w:sz="8" w:space="0"/>
            </w:tcBorders>
            <w:shd w:val="clear" w:color="auto" w:fill="auto"/>
            <w:vAlign w:val="center"/>
          </w:tcPr>
          <w:p w14:paraId="0F3D487E">
            <w:pPr>
              <w:pStyle w:val="53"/>
              <w:ind w:firstLine="0" w:firstLineChars="0"/>
              <w:jc w:val="center"/>
              <w:rPr>
                <w:rFonts w:hint="eastAsia" w:eastAsia="等线"/>
                <w:lang w:val="en-US" w:eastAsia="zh-CN"/>
              </w:rPr>
            </w:pPr>
            <w:r>
              <w:rPr>
                <w:rFonts w:hint="eastAsia" w:eastAsia="等线"/>
                <w:lang w:val="en-US" w:eastAsia="zh-CN"/>
              </w:rPr>
              <w:t>0.0104</w:t>
            </w:r>
          </w:p>
        </w:tc>
        <w:tc>
          <w:tcPr>
            <w:tcW w:w="2313" w:type="dxa"/>
            <w:tcBorders>
              <w:top w:val="single" w:color="000000" w:sz="8" w:space="0"/>
              <w:bottom w:val="single" w:color="000000" w:sz="8" w:space="0"/>
            </w:tcBorders>
            <w:vAlign w:val="center"/>
          </w:tcPr>
          <w:p w14:paraId="62F05B2F">
            <w:pPr>
              <w:pStyle w:val="53"/>
              <w:ind w:firstLine="0" w:firstLineChars="0"/>
              <w:rPr>
                <w:rFonts w:hint="default" w:eastAsia="宋体"/>
                <w:bCs/>
                <w:color w:val="auto"/>
                <w:u w:val="none"/>
                <w:lang w:val="en-US" w:eastAsia="zh-CN"/>
              </w:rPr>
            </w:pPr>
            <w:r>
              <w:rPr>
                <w:rFonts w:eastAsia="等线"/>
              </w:rPr>
              <w:t>0.0195</w:t>
            </w:r>
          </w:p>
        </w:tc>
      </w:tr>
      <w:tr w14:paraId="1609721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989" w:type="dxa"/>
            <w:tcBorders>
              <w:top w:val="single" w:color="000000" w:sz="8" w:space="0"/>
              <w:bottom w:val="single" w:color="000000" w:sz="8" w:space="0"/>
            </w:tcBorders>
            <w:vAlign w:val="center"/>
          </w:tcPr>
          <w:p w14:paraId="23683CCE">
            <w:pPr>
              <w:pStyle w:val="69"/>
              <w:rPr>
                <w:rFonts w:hint="default" w:eastAsia="宋体"/>
                <w:color w:val="auto"/>
                <w:lang w:val="en-US" w:eastAsia="zh-CN"/>
              </w:rPr>
            </w:pPr>
            <w:r>
              <w:rPr>
                <w:rFonts w:hint="eastAsia"/>
                <w:color w:val="auto"/>
                <w:lang w:val="en-US" w:eastAsia="zh-CN"/>
              </w:rPr>
              <w:t>TN</w:t>
            </w:r>
          </w:p>
        </w:tc>
        <w:tc>
          <w:tcPr>
            <w:tcW w:w="2312" w:type="dxa"/>
            <w:tcBorders>
              <w:top w:val="single" w:color="000000" w:sz="8" w:space="0"/>
              <w:bottom w:val="single" w:color="000000" w:sz="8" w:space="0"/>
            </w:tcBorders>
            <w:vAlign w:val="center"/>
          </w:tcPr>
          <w:p w14:paraId="62C60BD7">
            <w:pPr>
              <w:pStyle w:val="53"/>
              <w:spacing w:line="240" w:lineRule="auto"/>
              <w:ind w:firstLine="0" w:firstLineChars="0"/>
              <w:jc w:val="center"/>
              <w:rPr>
                <w:rFonts w:hint="eastAsia" w:eastAsia="等线"/>
                <w:lang w:val="en-US" w:eastAsia="zh-CN"/>
              </w:rPr>
            </w:pPr>
            <w:r>
              <w:rPr>
                <w:rFonts w:hint="eastAsia" w:eastAsia="等线"/>
                <w:lang w:val="en-US" w:eastAsia="zh-CN"/>
              </w:rPr>
              <w:t>0.3652</w:t>
            </w:r>
          </w:p>
        </w:tc>
        <w:tc>
          <w:tcPr>
            <w:tcW w:w="2312" w:type="dxa"/>
            <w:tcBorders>
              <w:top w:val="single" w:color="000000" w:sz="8" w:space="0"/>
              <w:bottom w:val="single" w:color="000000" w:sz="8" w:space="0"/>
            </w:tcBorders>
            <w:shd w:val="clear" w:color="auto" w:fill="auto"/>
            <w:vAlign w:val="center"/>
          </w:tcPr>
          <w:p w14:paraId="0A33A7AF">
            <w:pPr>
              <w:pStyle w:val="53"/>
              <w:ind w:firstLine="0" w:firstLineChars="0"/>
              <w:jc w:val="center"/>
              <w:rPr>
                <w:rFonts w:hint="eastAsia" w:eastAsia="等线"/>
                <w:lang w:val="en-US" w:eastAsia="zh-CN"/>
              </w:rPr>
            </w:pPr>
            <w:r>
              <w:rPr>
                <w:rFonts w:hint="eastAsia" w:eastAsia="等线"/>
                <w:lang w:val="en-US" w:eastAsia="zh-CN"/>
              </w:rPr>
              <w:t>0.3915</w:t>
            </w:r>
          </w:p>
        </w:tc>
        <w:tc>
          <w:tcPr>
            <w:tcW w:w="2313" w:type="dxa"/>
            <w:tcBorders>
              <w:top w:val="single" w:color="000000" w:sz="8" w:space="0"/>
              <w:bottom w:val="single" w:color="000000" w:sz="8" w:space="0"/>
            </w:tcBorders>
            <w:vAlign w:val="center"/>
          </w:tcPr>
          <w:p w14:paraId="5EC79165">
            <w:pPr>
              <w:pStyle w:val="53"/>
              <w:ind w:firstLine="0" w:firstLineChars="0"/>
              <w:rPr>
                <w:rFonts w:eastAsia="等线"/>
                <w:color w:val="auto"/>
              </w:rPr>
            </w:pPr>
            <w:r>
              <w:rPr>
                <w:rFonts w:eastAsia="等线"/>
              </w:rPr>
              <w:t>0.7303</w:t>
            </w:r>
          </w:p>
        </w:tc>
      </w:tr>
    </w:tbl>
    <w:p w14:paraId="2818EBA7">
      <w:pPr>
        <w:ind w:firstLine="480"/>
        <w:rPr>
          <w:color w:val="auto"/>
        </w:rPr>
      </w:pPr>
      <w:r>
        <w:rPr>
          <w:rFonts w:hint="eastAsia"/>
          <w:color w:val="auto"/>
        </w:rPr>
        <w:t>经过比对，本项目废水实际排放量能够满足环评批复总量控制要求。</w:t>
      </w:r>
    </w:p>
    <w:p w14:paraId="294D160F">
      <w:pPr>
        <w:pStyle w:val="4"/>
        <w:ind w:firstLine="562"/>
        <w:rPr>
          <w:rFonts w:cs="Times New Roman"/>
          <w:color w:val="auto"/>
        </w:rPr>
      </w:pPr>
      <w:r>
        <w:rPr>
          <w:rFonts w:hint="eastAsia" w:cs="Times New Roman"/>
          <w:color w:val="auto"/>
        </w:rPr>
        <w:t>9.2.</w:t>
      </w:r>
      <w:r>
        <w:rPr>
          <w:rFonts w:hint="eastAsia" w:cs="Times New Roman"/>
          <w:color w:val="auto"/>
          <w:lang w:val="en-US" w:eastAsia="zh-CN"/>
        </w:rPr>
        <w:t>2</w:t>
      </w:r>
      <w:r>
        <w:rPr>
          <w:rFonts w:cs="Times New Roman"/>
          <w:color w:val="auto"/>
        </w:rPr>
        <w:t>环境管理检查</w:t>
      </w:r>
    </w:p>
    <w:p w14:paraId="0D540562">
      <w:pPr>
        <w:ind w:firstLine="480"/>
        <w:textAlignment w:val="baseline"/>
        <w:rPr>
          <w:bCs/>
          <w:color w:val="auto"/>
          <w:szCs w:val="24"/>
        </w:rPr>
      </w:pPr>
      <w:r>
        <w:rPr>
          <w:bCs/>
          <w:color w:val="auto"/>
          <w:szCs w:val="24"/>
        </w:rPr>
        <w:t>1、环保手续与</w:t>
      </w:r>
      <w:r>
        <w:rPr>
          <w:rFonts w:ascii="宋体" w:hAnsi="宋体"/>
          <w:bCs/>
          <w:color w:val="auto"/>
          <w:szCs w:val="24"/>
        </w:rPr>
        <w:t>“三同时”</w:t>
      </w:r>
      <w:r>
        <w:rPr>
          <w:bCs/>
          <w:color w:val="auto"/>
          <w:szCs w:val="24"/>
        </w:rPr>
        <w:t>执行情况</w:t>
      </w:r>
    </w:p>
    <w:p w14:paraId="6B5F4276">
      <w:pPr>
        <w:ind w:firstLine="480"/>
        <w:textAlignment w:val="baseline"/>
        <w:rPr>
          <w:bCs/>
          <w:color w:val="auto"/>
          <w:szCs w:val="24"/>
        </w:rPr>
      </w:pPr>
      <w:r>
        <w:rPr>
          <w:bCs/>
          <w:color w:val="auto"/>
          <w:szCs w:val="24"/>
        </w:rPr>
        <w:t>建设单位开工建设前进行了环境影响评价，建设过程中落实了“三同时”制度。</w:t>
      </w:r>
    </w:p>
    <w:p w14:paraId="40859C1B">
      <w:pPr>
        <w:ind w:firstLine="480"/>
        <w:textAlignment w:val="baseline"/>
        <w:rPr>
          <w:bCs/>
          <w:color w:val="auto"/>
          <w:szCs w:val="24"/>
        </w:rPr>
      </w:pPr>
      <w:r>
        <w:rPr>
          <w:bCs/>
          <w:color w:val="auto"/>
          <w:szCs w:val="24"/>
        </w:rPr>
        <w:t>2、环境管理制度及执行情况</w:t>
      </w:r>
    </w:p>
    <w:p w14:paraId="60C29FBC">
      <w:pPr>
        <w:ind w:firstLine="480"/>
        <w:textAlignment w:val="baseline"/>
        <w:rPr>
          <w:bCs/>
          <w:color w:val="auto"/>
          <w:szCs w:val="24"/>
        </w:rPr>
      </w:pPr>
      <w:r>
        <w:rPr>
          <w:bCs/>
          <w:color w:val="auto"/>
          <w:szCs w:val="24"/>
        </w:rPr>
        <w:t>建设单位按照有关规定建立了相关环境保护管理制度，由专人负责公司环境管理工作。</w:t>
      </w:r>
    </w:p>
    <w:p w14:paraId="2576C6AA">
      <w:pPr>
        <w:ind w:firstLine="480"/>
        <w:textAlignment w:val="baseline"/>
        <w:rPr>
          <w:bCs/>
          <w:color w:val="auto"/>
          <w:szCs w:val="24"/>
        </w:rPr>
      </w:pPr>
      <w:r>
        <w:rPr>
          <w:bCs/>
          <w:color w:val="auto"/>
          <w:szCs w:val="24"/>
        </w:rPr>
        <w:t>3、环保设施运转情况</w:t>
      </w:r>
    </w:p>
    <w:p w14:paraId="58B039A7">
      <w:pPr>
        <w:ind w:firstLine="480"/>
        <w:textAlignment w:val="baseline"/>
        <w:rPr>
          <w:bCs/>
          <w:color w:val="auto"/>
          <w:szCs w:val="24"/>
        </w:rPr>
      </w:pPr>
      <w:r>
        <w:rPr>
          <w:bCs/>
          <w:color w:val="auto"/>
          <w:szCs w:val="24"/>
        </w:rPr>
        <w:t>检测期间各项环保设施运转正常</w:t>
      </w:r>
      <w:r>
        <w:rPr>
          <w:rFonts w:hint="eastAsia"/>
          <w:bCs/>
          <w:color w:val="auto"/>
          <w:szCs w:val="24"/>
        </w:rPr>
        <w:t>。</w:t>
      </w:r>
    </w:p>
    <w:p w14:paraId="7BA0A9F6">
      <w:pPr>
        <w:ind w:firstLine="480"/>
        <w:textAlignment w:val="baseline"/>
        <w:rPr>
          <w:bCs/>
          <w:color w:val="auto"/>
          <w:szCs w:val="24"/>
        </w:rPr>
      </w:pPr>
      <w:r>
        <w:rPr>
          <w:rFonts w:hint="eastAsia"/>
          <w:bCs/>
          <w:color w:val="auto"/>
          <w:szCs w:val="24"/>
        </w:rPr>
        <w:t>4、与建设项目竣工环境保护验收暂行办法（国环规环评【2017】4号）以下简称（暂行办法）对比分析</w:t>
      </w:r>
    </w:p>
    <w:p w14:paraId="5DA52A97">
      <w:pPr>
        <w:spacing w:line="460" w:lineRule="exact"/>
        <w:ind w:firstLine="480"/>
        <w:textAlignment w:val="baseline"/>
        <w:rPr>
          <w:rFonts w:hint="eastAsia" w:hAnsi="黑体" w:eastAsia="黑体"/>
          <w:bCs/>
          <w:color w:val="auto"/>
          <w:szCs w:val="24"/>
        </w:rPr>
      </w:pPr>
      <w:r>
        <w:rPr>
          <w:rFonts w:hAnsi="黑体" w:eastAsia="黑体"/>
          <w:bCs/>
          <w:color w:val="auto"/>
          <w:szCs w:val="24"/>
        </w:rPr>
        <w:t>表</w:t>
      </w:r>
      <w:r>
        <w:rPr>
          <w:rFonts w:hint="eastAsia" w:hAnsi="黑体" w:eastAsia="黑体"/>
          <w:bCs/>
          <w:color w:val="auto"/>
          <w:szCs w:val="24"/>
        </w:rPr>
        <w:t>9-</w:t>
      </w:r>
      <w:r>
        <w:rPr>
          <w:rFonts w:hAnsi="黑体" w:eastAsia="黑体"/>
          <w:bCs/>
          <w:color w:val="auto"/>
          <w:szCs w:val="24"/>
        </w:rPr>
        <w:t>1</w:t>
      </w:r>
      <w:r>
        <w:rPr>
          <w:rFonts w:hint="eastAsia" w:hAnsi="黑体" w:eastAsia="黑体"/>
          <w:bCs/>
          <w:color w:val="auto"/>
          <w:szCs w:val="24"/>
        </w:rPr>
        <w:t>2</w:t>
      </w:r>
      <w:r>
        <w:rPr>
          <w:rFonts w:hAnsi="黑体" w:eastAsia="黑体"/>
          <w:bCs/>
          <w:color w:val="auto"/>
          <w:szCs w:val="24"/>
        </w:rPr>
        <w:t xml:space="preserve">           </w:t>
      </w:r>
      <w:r>
        <w:rPr>
          <w:rFonts w:hint="eastAsia" w:hAnsi="黑体" w:eastAsia="黑体"/>
          <w:bCs/>
          <w:color w:val="auto"/>
          <w:szCs w:val="24"/>
        </w:rPr>
        <w:t xml:space="preserve">     </w:t>
      </w:r>
      <w:r>
        <w:rPr>
          <w:rFonts w:hAnsi="黑体" w:eastAsia="黑体"/>
          <w:bCs/>
          <w:color w:val="auto"/>
          <w:szCs w:val="24"/>
        </w:rPr>
        <w:t xml:space="preserve">   </w:t>
      </w:r>
      <w:r>
        <w:rPr>
          <w:rFonts w:hint="eastAsia" w:hAnsi="黑体" w:eastAsia="黑体"/>
          <w:bCs/>
          <w:color w:val="auto"/>
          <w:szCs w:val="24"/>
        </w:rPr>
        <w:t xml:space="preserve">本项目与暂行办法第八条对比分析 </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97"/>
        <w:gridCol w:w="3489"/>
        <w:gridCol w:w="1202"/>
      </w:tblGrid>
      <w:tr w14:paraId="17878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475" w:type="pct"/>
            <w:vAlign w:val="center"/>
          </w:tcPr>
          <w:p w14:paraId="245FD62C">
            <w:pPr>
              <w:spacing w:line="240" w:lineRule="auto"/>
              <w:ind w:firstLine="0" w:firstLineChars="0"/>
              <w:jc w:val="center"/>
              <w:textAlignment w:val="baseline"/>
              <w:rPr>
                <w:b/>
                <w:bCs/>
                <w:color w:val="auto"/>
                <w:sz w:val="21"/>
                <w:szCs w:val="21"/>
              </w:rPr>
            </w:pPr>
            <w:r>
              <w:rPr>
                <w:rFonts w:hint="eastAsia"/>
                <w:b/>
                <w:bCs/>
                <w:color w:val="auto"/>
                <w:sz w:val="21"/>
                <w:szCs w:val="21"/>
              </w:rPr>
              <w:t>内容</w:t>
            </w:r>
          </w:p>
        </w:tc>
        <w:tc>
          <w:tcPr>
            <w:tcW w:w="1878" w:type="pct"/>
            <w:vAlign w:val="center"/>
          </w:tcPr>
          <w:p w14:paraId="0BA81E5E">
            <w:pPr>
              <w:spacing w:line="240" w:lineRule="auto"/>
              <w:ind w:firstLine="0" w:firstLineChars="0"/>
              <w:jc w:val="center"/>
              <w:textAlignment w:val="baseline"/>
              <w:rPr>
                <w:b/>
                <w:bCs/>
                <w:color w:val="auto"/>
                <w:sz w:val="21"/>
                <w:szCs w:val="21"/>
              </w:rPr>
            </w:pPr>
            <w:r>
              <w:rPr>
                <w:rFonts w:hint="eastAsia"/>
                <w:b/>
                <w:bCs/>
                <w:color w:val="auto"/>
                <w:sz w:val="21"/>
                <w:szCs w:val="21"/>
              </w:rPr>
              <w:t>本项目情况</w:t>
            </w:r>
          </w:p>
        </w:tc>
        <w:tc>
          <w:tcPr>
            <w:tcW w:w="648" w:type="pct"/>
            <w:vAlign w:val="center"/>
          </w:tcPr>
          <w:p w14:paraId="4BA1C175">
            <w:pPr>
              <w:spacing w:line="240" w:lineRule="auto"/>
              <w:ind w:firstLine="0" w:firstLineChars="0"/>
              <w:jc w:val="center"/>
              <w:textAlignment w:val="baseline"/>
              <w:rPr>
                <w:b/>
                <w:bCs/>
                <w:color w:val="auto"/>
                <w:sz w:val="21"/>
                <w:szCs w:val="21"/>
              </w:rPr>
            </w:pPr>
            <w:r>
              <w:rPr>
                <w:rFonts w:hint="eastAsia"/>
                <w:b/>
                <w:bCs/>
                <w:color w:val="auto"/>
                <w:sz w:val="21"/>
                <w:szCs w:val="21"/>
              </w:rPr>
              <w:t>对比结果</w:t>
            </w:r>
          </w:p>
        </w:tc>
      </w:tr>
      <w:tr w14:paraId="6CD73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75" w:type="pct"/>
            <w:vAlign w:val="center"/>
          </w:tcPr>
          <w:p w14:paraId="4447037A">
            <w:pPr>
              <w:spacing w:line="240" w:lineRule="auto"/>
              <w:ind w:firstLine="0" w:firstLineChars="0"/>
              <w:jc w:val="both"/>
              <w:textAlignment w:val="baseline"/>
              <w:rPr>
                <w:bCs/>
                <w:color w:val="auto"/>
                <w:sz w:val="21"/>
                <w:szCs w:val="21"/>
              </w:rPr>
            </w:pPr>
            <w:r>
              <w:rPr>
                <w:rFonts w:hint="eastAsia"/>
                <w:bCs/>
                <w:color w:val="auto"/>
                <w:sz w:val="21"/>
                <w:szCs w:val="21"/>
              </w:rPr>
              <w:t>未按环境影响报告书（表）及其审批部门审批决定要求建成环境保护设施，或者环境保护设施不能与主体工程同时投产或者使用的，建设单位不得提出验收合格的意见。</w:t>
            </w:r>
          </w:p>
        </w:tc>
        <w:tc>
          <w:tcPr>
            <w:tcW w:w="1878" w:type="pct"/>
            <w:vAlign w:val="center"/>
          </w:tcPr>
          <w:p w14:paraId="735D39FB">
            <w:pPr>
              <w:spacing w:line="240" w:lineRule="auto"/>
              <w:ind w:firstLine="0" w:firstLineChars="0"/>
              <w:jc w:val="both"/>
              <w:textAlignment w:val="center"/>
              <w:rPr>
                <w:color w:val="auto"/>
                <w:sz w:val="21"/>
                <w:szCs w:val="21"/>
                <w:lang w:bidi="ar"/>
              </w:rPr>
            </w:pPr>
            <w:r>
              <w:rPr>
                <w:rFonts w:hint="eastAsia"/>
                <w:color w:val="auto"/>
                <w:sz w:val="21"/>
                <w:szCs w:val="21"/>
                <w:lang w:bidi="ar"/>
              </w:rPr>
              <w:t>本项目建成环境保护设施能与主体工程同时投产使用。</w:t>
            </w:r>
          </w:p>
        </w:tc>
        <w:tc>
          <w:tcPr>
            <w:tcW w:w="648" w:type="pct"/>
            <w:vAlign w:val="center"/>
          </w:tcPr>
          <w:p w14:paraId="5A864A24">
            <w:pPr>
              <w:spacing w:line="240" w:lineRule="auto"/>
              <w:ind w:firstLine="0" w:firstLineChars="0"/>
              <w:jc w:val="center"/>
              <w:textAlignment w:val="baseline"/>
              <w:rPr>
                <w:bCs/>
                <w:color w:val="auto"/>
                <w:sz w:val="21"/>
                <w:szCs w:val="21"/>
              </w:rPr>
            </w:pPr>
            <w:r>
              <w:rPr>
                <w:bCs/>
                <w:color w:val="auto"/>
                <w:sz w:val="21"/>
                <w:szCs w:val="21"/>
              </w:rPr>
              <w:t>相符</w:t>
            </w:r>
          </w:p>
        </w:tc>
      </w:tr>
      <w:tr w14:paraId="5D310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75" w:type="pct"/>
            <w:vAlign w:val="center"/>
          </w:tcPr>
          <w:p w14:paraId="18BCB381">
            <w:pPr>
              <w:spacing w:line="240" w:lineRule="auto"/>
              <w:ind w:firstLine="0" w:firstLineChars="0"/>
              <w:jc w:val="both"/>
              <w:textAlignment w:val="baseline"/>
              <w:rPr>
                <w:bCs/>
                <w:color w:val="auto"/>
                <w:sz w:val="21"/>
                <w:szCs w:val="21"/>
              </w:rPr>
            </w:pPr>
            <w:r>
              <w:rPr>
                <w:rFonts w:hint="eastAsia"/>
                <w:bCs/>
                <w:color w:val="auto"/>
                <w:sz w:val="21"/>
                <w:szCs w:val="21"/>
              </w:rPr>
              <w:t>污染物排放不符合国家和地方相关标准、环境影响报告书（表）及其审批部门审批决定或者重点污染物排放总量控制指标要求的，建设单位不得提出验收合格的意见。</w:t>
            </w:r>
          </w:p>
        </w:tc>
        <w:tc>
          <w:tcPr>
            <w:tcW w:w="1878" w:type="pct"/>
            <w:vAlign w:val="center"/>
          </w:tcPr>
          <w:p w14:paraId="1A3F231F">
            <w:pPr>
              <w:spacing w:line="240" w:lineRule="auto"/>
              <w:ind w:firstLine="0" w:firstLineChars="0"/>
              <w:jc w:val="both"/>
              <w:textAlignment w:val="baseline"/>
              <w:rPr>
                <w:bCs/>
                <w:color w:val="auto"/>
                <w:sz w:val="21"/>
                <w:szCs w:val="21"/>
              </w:rPr>
            </w:pPr>
            <w:r>
              <w:rPr>
                <w:bCs/>
                <w:color w:val="auto"/>
                <w:sz w:val="21"/>
                <w:szCs w:val="21"/>
              </w:rPr>
              <w:t>本项目污染物排放符合国家和地方相关标准、环境影响报告表及其审批部门审批决定。</w:t>
            </w:r>
          </w:p>
        </w:tc>
        <w:tc>
          <w:tcPr>
            <w:tcW w:w="648" w:type="pct"/>
            <w:vAlign w:val="center"/>
          </w:tcPr>
          <w:p w14:paraId="03332C24">
            <w:pPr>
              <w:spacing w:line="240" w:lineRule="auto"/>
              <w:ind w:firstLine="0" w:firstLineChars="0"/>
              <w:jc w:val="center"/>
              <w:textAlignment w:val="baseline"/>
              <w:rPr>
                <w:bCs/>
                <w:color w:val="auto"/>
                <w:sz w:val="21"/>
                <w:szCs w:val="21"/>
              </w:rPr>
            </w:pPr>
            <w:r>
              <w:rPr>
                <w:bCs/>
                <w:color w:val="auto"/>
                <w:sz w:val="21"/>
                <w:szCs w:val="21"/>
              </w:rPr>
              <w:t>相符</w:t>
            </w:r>
          </w:p>
        </w:tc>
      </w:tr>
      <w:tr w14:paraId="707C5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75" w:type="pct"/>
            <w:vAlign w:val="center"/>
          </w:tcPr>
          <w:p w14:paraId="3CCC35D5">
            <w:pPr>
              <w:spacing w:line="240" w:lineRule="auto"/>
              <w:ind w:firstLine="0" w:firstLineChars="0"/>
              <w:jc w:val="both"/>
              <w:textAlignment w:val="baseline"/>
              <w:rPr>
                <w:bCs/>
                <w:color w:val="auto"/>
                <w:sz w:val="21"/>
                <w:szCs w:val="21"/>
              </w:rPr>
            </w:pPr>
            <w:r>
              <w:rPr>
                <w:rFonts w:hint="eastAsia"/>
                <w:bCs/>
                <w:color w:val="auto"/>
                <w:sz w:val="21"/>
                <w:szCs w:val="21"/>
              </w:rPr>
              <w:t>环境影响报告书（表）经批准后，该建设项目的性质、规模、地点、采用的生产工艺或者防治污染、防止生态破坏的措施发生重大变动，建设单位未重新报批环境影响报告书（表）或者环境影响报告书（表）未经批准的，建设单位不得提出验收合格的意见。</w:t>
            </w:r>
          </w:p>
        </w:tc>
        <w:tc>
          <w:tcPr>
            <w:tcW w:w="1878" w:type="pct"/>
            <w:vAlign w:val="center"/>
          </w:tcPr>
          <w:p w14:paraId="013A0626">
            <w:pPr>
              <w:spacing w:line="240" w:lineRule="auto"/>
              <w:ind w:firstLine="0" w:firstLineChars="0"/>
              <w:jc w:val="both"/>
              <w:textAlignment w:val="baseline"/>
              <w:rPr>
                <w:bCs/>
                <w:color w:val="auto"/>
                <w:sz w:val="21"/>
                <w:szCs w:val="21"/>
              </w:rPr>
            </w:pPr>
            <w:r>
              <w:rPr>
                <w:rFonts w:hint="eastAsia"/>
                <w:bCs/>
                <w:color w:val="auto"/>
                <w:sz w:val="21"/>
                <w:szCs w:val="21"/>
              </w:rPr>
              <w:t>根据本项目实际建设情况与《关于印发制浆造纸等十四个行业建设项目重大变动清单的通知附件</w:t>
            </w:r>
            <w:r>
              <w:rPr>
                <w:bCs/>
                <w:color w:val="auto"/>
                <w:sz w:val="21"/>
                <w:szCs w:val="21"/>
              </w:rPr>
              <w:t>8</w:t>
            </w:r>
            <w:r>
              <w:rPr>
                <w:rFonts w:hint="eastAsia"/>
                <w:bCs/>
                <w:color w:val="auto"/>
                <w:sz w:val="21"/>
                <w:szCs w:val="21"/>
              </w:rPr>
              <w:t>-电镀建设项目重大变动清单（试行）》（环办环评〔2018〕6 号）的对比分析（见表3</w:t>
            </w:r>
            <w:r>
              <w:rPr>
                <w:bCs/>
                <w:color w:val="auto"/>
                <w:sz w:val="21"/>
                <w:szCs w:val="21"/>
              </w:rPr>
              <w:t>-8</w:t>
            </w:r>
            <w:r>
              <w:rPr>
                <w:rFonts w:hint="eastAsia"/>
                <w:bCs/>
                <w:color w:val="auto"/>
                <w:sz w:val="21"/>
                <w:szCs w:val="21"/>
              </w:rPr>
              <w:t>）、《污染影响类建设项目重大变动清单（试行）的通知》（环办环评函[2020]688号）的对比分析（见表3</w:t>
            </w:r>
            <w:r>
              <w:rPr>
                <w:bCs/>
                <w:color w:val="auto"/>
                <w:sz w:val="21"/>
                <w:szCs w:val="21"/>
              </w:rPr>
              <w:t>-9</w:t>
            </w:r>
            <w:r>
              <w:rPr>
                <w:rFonts w:hint="eastAsia"/>
                <w:bCs/>
                <w:color w:val="auto"/>
                <w:sz w:val="21"/>
                <w:szCs w:val="21"/>
              </w:rPr>
              <w:t>）可知：</w:t>
            </w:r>
            <w:r>
              <w:rPr>
                <w:bCs/>
                <w:color w:val="auto"/>
                <w:sz w:val="21"/>
                <w:szCs w:val="21"/>
              </w:rPr>
              <w:t>本项目环境影响报告表经批准后，该建设项目的性质、规模、地点、采用的生产工艺或者防治污染、防止生态破坏的措施未发生重大变动。</w:t>
            </w:r>
          </w:p>
        </w:tc>
        <w:tc>
          <w:tcPr>
            <w:tcW w:w="648" w:type="pct"/>
            <w:vAlign w:val="center"/>
          </w:tcPr>
          <w:p w14:paraId="2A0A8426">
            <w:pPr>
              <w:spacing w:line="240" w:lineRule="auto"/>
              <w:ind w:firstLine="0" w:firstLineChars="0"/>
              <w:jc w:val="center"/>
              <w:textAlignment w:val="baseline"/>
              <w:rPr>
                <w:bCs/>
                <w:color w:val="auto"/>
                <w:sz w:val="21"/>
                <w:szCs w:val="21"/>
              </w:rPr>
            </w:pPr>
            <w:r>
              <w:rPr>
                <w:bCs/>
                <w:color w:val="auto"/>
                <w:sz w:val="21"/>
                <w:szCs w:val="21"/>
              </w:rPr>
              <w:t>不涉及</w:t>
            </w:r>
          </w:p>
        </w:tc>
      </w:tr>
      <w:tr w14:paraId="2F3CF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75" w:type="pct"/>
            <w:vAlign w:val="center"/>
          </w:tcPr>
          <w:p w14:paraId="6E06D5FD">
            <w:pPr>
              <w:spacing w:line="240" w:lineRule="auto"/>
              <w:ind w:firstLine="0" w:firstLineChars="0"/>
              <w:jc w:val="both"/>
              <w:textAlignment w:val="baseline"/>
              <w:rPr>
                <w:bCs/>
                <w:color w:val="auto"/>
                <w:sz w:val="21"/>
                <w:szCs w:val="21"/>
              </w:rPr>
            </w:pPr>
            <w:r>
              <w:rPr>
                <w:rFonts w:hint="eastAsia"/>
                <w:bCs/>
                <w:color w:val="auto"/>
                <w:sz w:val="21"/>
                <w:szCs w:val="21"/>
              </w:rPr>
              <w:t>建设过程中造成重大环境污染未治理完成，或者造成重大生态破坏未恢复的，建设单位不得提出验收合格的意见。</w:t>
            </w:r>
          </w:p>
        </w:tc>
        <w:tc>
          <w:tcPr>
            <w:tcW w:w="1878" w:type="pct"/>
            <w:vAlign w:val="center"/>
          </w:tcPr>
          <w:p w14:paraId="174C4F50">
            <w:pPr>
              <w:spacing w:line="240" w:lineRule="auto"/>
              <w:ind w:firstLine="0" w:firstLineChars="0"/>
              <w:jc w:val="both"/>
              <w:textAlignment w:val="baseline"/>
              <w:rPr>
                <w:bCs/>
                <w:color w:val="auto"/>
                <w:sz w:val="21"/>
                <w:szCs w:val="21"/>
              </w:rPr>
            </w:pPr>
            <w:r>
              <w:rPr>
                <w:bCs/>
                <w:color w:val="auto"/>
                <w:sz w:val="21"/>
                <w:szCs w:val="21"/>
              </w:rPr>
              <w:t>本项目建设过程中未造成重大环境污染和重大生态破坏。</w:t>
            </w:r>
          </w:p>
        </w:tc>
        <w:tc>
          <w:tcPr>
            <w:tcW w:w="648" w:type="pct"/>
            <w:vAlign w:val="center"/>
          </w:tcPr>
          <w:p w14:paraId="658B620A">
            <w:pPr>
              <w:spacing w:line="240" w:lineRule="auto"/>
              <w:ind w:firstLine="0" w:firstLineChars="0"/>
              <w:jc w:val="center"/>
              <w:textAlignment w:val="baseline"/>
              <w:rPr>
                <w:bCs/>
                <w:color w:val="auto"/>
                <w:sz w:val="21"/>
                <w:szCs w:val="21"/>
              </w:rPr>
            </w:pPr>
            <w:r>
              <w:rPr>
                <w:bCs/>
                <w:color w:val="auto"/>
                <w:sz w:val="21"/>
                <w:szCs w:val="21"/>
              </w:rPr>
              <w:t>不涉及</w:t>
            </w:r>
          </w:p>
        </w:tc>
      </w:tr>
      <w:tr w14:paraId="464F3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75" w:type="pct"/>
            <w:vAlign w:val="center"/>
          </w:tcPr>
          <w:p w14:paraId="51385069">
            <w:pPr>
              <w:spacing w:line="240" w:lineRule="auto"/>
              <w:ind w:firstLine="0" w:firstLineChars="0"/>
              <w:jc w:val="both"/>
              <w:textAlignment w:val="baseline"/>
              <w:rPr>
                <w:bCs/>
                <w:color w:val="auto"/>
                <w:sz w:val="21"/>
                <w:szCs w:val="21"/>
              </w:rPr>
            </w:pPr>
            <w:r>
              <w:rPr>
                <w:bCs/>
                <w:color w:val="auto"/>
                <w:sz w:val="21"/>
                <w:szCs w:val="21"/>
              </w:rPr>
              <w:t>纳入排污许可管理的建设项目，无证排污或者不按证排污的，建设单位不得提出验收合格的意见。</w:t>
            </w:r>
          </w:p>
        </w:tc>
        <w:tc>
          <w:tcPr>
            <w:tcW w:w="1878" w:type="pct"/>
            <w:vAlign w:val="center"/>
          </w:tcPr>
          <w:p w14:paraId="7871B93D">
            <w:pPr>
              <w:spacing w:line="240" w:lineRule="auto"/>
              <w:ind w:firstLine="0" w:firstLineChars="0"/>
              <w:jc w:val="both"/>
              <w:textAlignment w:val="baseline"/>
              <w:rPr>
                <w:bCs/>
                <w:color w:val="auto"/>
                <w:sz w:val="21"/>
                <w:szCs w:val="21"/>
              </w:rPr>
            </w:pPr>
            <w:r>
              <w:rPr>
                <w:bCs/>
                <w:color w:val="auto"/>
                <w:sz w:val="21"/>
                <w:szCs w:val="21"/>
              </w:rPr>
              <w:t>本项目已办理排污许可证。</w:t>
            </w:r>
          </w:p>
        </w:tc>
        <w:tc>
          <w:tcPr>
            <w:tcW w:w="648" w:type="pct"/>
            <w:vAlign w:val="center"/>
          </w:tcPr>
          <w:p w14:paraId="3DDC44FC">
            <w:pPr>
              <w:spacing w:line="240" w:lineRule="auto"/>
              <w:ind w:firstLine="0" w:firstLineChars="0"/>
              <w:jc w:val="center"/>
              <w:textAlignment w:val="baseline"/>
              <w:rPr>
                <w:bCs/>
                <w:color w:val="auto"/>
                <w:sz w:val="21"/>
                <w:szCs w:val="21"/>
              </w:rPr>
            </w:pPr>
            <w:r>
              <w:rPr>
                <w:bCs/>
                <w:color w:val="auto"/>
                <w:sz w:val="21"/>
                <w:szCs w:val="21"/>
              </w:rPr>
              <w:t>相符</w:t>
            </w:r>
          </w:p>
        </w:tc>
      </w:tr>
      <w:tr w14:paraId="682AB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75" w:type="pct"/>
            <w:vAlign w:val="center"/>
          </w:tcPr>
          <w:p w14:paraId="6865BD80">
            <w:pPr>
              <w:spacing w:line="240" w:lineRule="auto"/>
              <w:ind w:firstLine="0" w:firstLineChars="0"/>
              <w:jc w:val="both"/>
              <w:textAlignment w:val="baseline"/>
              <w:rPr>
                <w:bCs/>
                <w:color w:val="auto"/>
                <w:sz w:val="21"/>
                <w:szCs w:val="21"/>
              </w:rPr>
            </w:pPr>
            <w:r>
              <w:rPr>
                <w:bCs/>
                <w:color w:val="auto"/>
                <w:sz w:val="21"/>
                <w:szCs w:val="21"/>
              </w:rPr>
              <w:t>分期建设、分期投入生产或者使用依法应当分期验收的建设项目，其分期建设、分期投入生产或者使用的环境保护设施防治环境污染和生态破坏的能力不能满足其相应主体工程需要的，建设单位不得提出验收合格的意见。</w:t>
            </w:r>
          </w:p>
        </w:tc>
        <w:tc>
          <w:tcPr>
            <w:tcW w:w="1878" w:type="pct"/>
            <w:vAlign w:val="center"/>
          </w:tcPr>
          <w:p w14:paraId="2223D528">
            <w:pPr>
              <w:spacing w:line="240" w:lineRule="auto"/>
              <w:ind w:firstLine="0" w:firstLineChars="0"/>
              <w:jc w:val="both"/>
              <w:textAlignment w:val="baseline"/>
              <w:rPr>
                <w:bCs/>
                <w:color w:val="auto"/>
                <w:sz w:val="21"/>
                <w:szCs w:val="21"/>
              </w:rPr>
            </w:pPr>
            <w:r>
              <w:rPr>
                <w:bCs/>
                <w:color w:val="auto"/>
                <w:sz w:val="21"/>
                <w:szCs w:val="21"/>
              </w:rPr>
              <w:t>本项目属于分期建设、分期验收项目</w:t>
            </w:r>
            <w:r>
              <w:rPr>
                <w:rFonts w:hint="eastAsia"/>
                <w:bCs/>
                <w:color w:val="auto"/>
                <w:sz w:val="21"/>
                <w:szCs w:val="21"/>
              </w:rPr>
              <w:t>，</w:t>
            </w:r>
            <w:r>
              <w:rPr>
                <w:bCs/>
                <w:color w:val="auto"/>
                <w:sz w:val="21"/>
                <w:szCs w:val="21"/>
              </w:rPr>
              <w:t>环境保护设施</w:t>
            </w:r>
            <w:r>
              <w:rPr>
                <w:rFonts w:hint="eastAsia"/>
                <w:bCs/>
                <w:color w:val="auto"/>
                <w:sz w:val="21"/>
                <w:szCs w:val="21"/>
              </w:rPr>
              <w:t>按照要求进行建设</w:t>
            </w:r>
            <w:r>
              <w:rPr>
                <w:bCs/>
                <w:color w:val="auto"/>
                <w:sz w:val="21"/>
                <w:szCs w:val="21"/>
              </w:rPr>
              <w:t>。</w:t>
            </w:r>
          </w:p>
        </w:tc>
        <w:tc>
          <w:tcPr>
            <w:tcW w:w="648" w:type="pct"/>
            <w:vAlign w:val="center"/>
          </w:tcPr>
          <w:p w14:paraId="53B52A75">
            <w:pPr>
              <w:spacing w:line="240" w:lineRule="auto"/>
              <w:ind w:firstLine="0" w:firstLineChars="0"/>
              <w:jc w:val="center"/>
              <w:textAlignment w:val="baseline"/>
              <w:rPr>
                <w:bCs/>
                <w:color w:val="auto"/>
                <w:sz w:val="21"/>
                <w:szCs w:val="21"/>
              </w:rPr>
            </w:pPr>
            <w:r>
              <w:rPr>
                <w:bCs/>
                <w:color w:val="auto"/>
                <w:sz w:val="21"/>
                <w:szCs w:val="21"/>
              </w:rPr>
              <w:t>相符</w:t>
            </w:r>
          </w:p>
        </w:tc>
      </w:tr>
      <w:tr w14:paraId="4857D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75" w:type="pct"/>
            <w:vAlign w:val="center"/>
          </w:tcPr>
          <w:p w14:paraId="4A9E6B39">
            <w:pPr>
              <w:spacing w:line="240" w:lineRule="auto"/>
              <w:ind w:firstLine="0" w:firstLineChars="0"/>
              <w:jc w:val="both"/>
              <w:textAlignment w:val="baseline"/>
              <w:rPr>
                <w:bCs/>
                <w:color w:val="auto"/>
                <w:sz w:val="21"/>
                <w:szCs w:val="21"/>
              </w:rPr>
            </w:pPr>
            <w:r>
              <w:rPr>
                <w:bCs/>
                <w:color w:val="auto"/>
                <w:sz w:val="21"/>
                <w:szCs w:val="21"/>
              </w:rPr>
              <w:t>建设单位因该建设项目违反国家和地方环境保护法律法规受到处罚，被责令改正，尚未改正完成的，建设单位不得提出验收合格的意见。</w:t>
            </w:r>
          </w:p>
        </w:tc>
        <w:tc>
          <w:tcPr>
            <w:tcW w:w="1878" w:type="pct"/>
            <w:vAlign w:val="center"/>
          </w:tcPr>
          <w:p w14:paraId="3A843A1B">
            <w:pPr>
              <w:spacing w:line="240" w:lineRule="auto"/>
              <w:ind w:firstLine="0" w:firstLineChars="0"/>
              <w:jc w:val="both"/>
              <w:textAlignment w:val="baseline"/>
              <w:rPr>
                <w:bCs/>
                <w:color w:val="auto"/>
                <w:sz w:val="21"/>
                <w:szCs w:val="21"/>
              </w:rPr>
            </w:pPr>
            <w:r>
              <w:rPr>
                <w:bCs/>
                <w:color w:val="auto"/>
                <w:sz w:val="21"/>
                <w:szCs w:val="21"/>
              </w:rPr>
              <w:t>本建设单位不涉及违反国家和地方环境保护法律法规。</w:t>
            </w:r>
          </w:p>
        </w:tc>
        <w:tc>
          <w:tcPr>
            <w:tcW w:w="648" w:type="pct"/>
            <w:vAlign w:val="center"/>
          </w:tcPr>
          <w:p w14:paraId="7DB5F3D3">
            <w:pPr>
              <w:spacing w:line="240" w:lineRule="auto"/>
              <w:ind w:firstLine="0" w:firstLineChars="0"/>
              <w:jc w:val="center"/>
              <w:textAlignment w:val="baseline"/>
              <w:rPr>
                <w:bCs/>
                <w:color w:val="auto"/>
                <w:sz w:val="21"/>
                <w:szCs w:val="21"/>
              </w:rPr>
            </w:pPr>
            <w:r>
              <w:rPr>
                <w:bCs/>
                <w:color w:val="auto"/>
                <w:sz w:val="21"/>
                <w:szCs w:val="21"/>
              </w:rPr>
              <w:t>不涉及</w:t>
            </w:r>
          </w:p>
        </w:tc>
      </w:tr>
      <w:tr w14:paraId="7076D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75" w:type="pct"/>
            <w:vAlign w:val="center"/>
          </w:tcPr>
          <w:p w14:paraId="6C5C73DC">
            <w:pPr>
              <w:spacing w:line="240" w:lineRule="auto"/>
              <w:ind w:firstLine="0" w:firstLineChars="0"/>
              <w:jc w:val="both"/>
              <w:textAlignment w:val="baseline"/>
              <w:rPr>
                <w:bCs/>
                <w:color w:val="auto"/>
                <w:sz w:val="21"/>
                <w:szCs w:val="21"/>
              </w:rPr>
            </w:pPr>
            <w:r>
              <w:rPr>
                <w:bCs/>
                <w:color w:val="auto"/>
                <w:sz w:val="21"/>
                <w:szCs w:val="21"/>
              </w:rPr>
              <w:t>验收报告的基础资料数据明显不实，内容存在重大缺项、遗漏，或者验收结论不明确、不合理的，建设单位不得提出验收合格的意见。</w:t>
            </w:r>
          </w:p>
        </w:tc>
        <w:tc>
          <w:tcPr>
            <w:tcW w:w="1878" w:type="pct"/>
            <w:vAlign w:val="center"/>
          </w:tcPr>
          <w:p w14:paraId="31D5A760">
            <w:pPr>
              <w:spacing w:line="240" w:lineRule="auto"/>
              <w:ind w:firstLine="0" w:firstLineChars="0"/>
              <w:jc w:val="both"/>
              <w:textAlignment w:val="baseline"/>
              <w:rPr>
                <w:bCs/>
                <w:color w:val="auto"/>
                <w:sz w:val="21"/>
                <w:szCs w:val="21"/>
              </w:rPr>
            </w:pPr>
            <w:r>
              <w:rPr>
                <w:bCs/>
                <w:color w:val="auto"/>
                <w:sz w:val="21"/>
                <w:szCs w:val="21"/>
              </w:rPr>
              <w:t>本项目验收报告的基础资料数据真实，内容不存在重大缺项、遗漏，验收结论明确、合理。</w:t>
            </w:r>
          </w:p>
        </w:tc>
        <w:tc>
          <w:tcPr>
            <w:tcW w:w="648" w:type="pct"/>
            <w:vAlign w:val="center"/>
          </w:tcPr>
          <w:p w14:paraId="6C82C971">
            <w:pPr>
              <w:spacing w:line="240" w:lineRule="auto"/>
              <w:ind w:firstLine="0" w:firstLineChars="0"/>
              <w:jc w:val="center"/>
              <w:textAlignment w:val="baseline"/>
              <w:rPr>
                <w:bCs/>
                <w:color w:val="auto"/>
                <w:sz w:val="21"/>
                <w:szCs w:val="21"/>
              </w:rPr>
            </w:pPr>
            <w:r>
              <w:rPr>
                <w:bCs/>
                <w:color w:val="auto"/>
                <w:sz w:val="21"/>
                <w:szCs w:val="21"/>
              </w:rPr>
              <w:t>不涉及</w:t>
            </w:r>
          </w:p>
        </w:tc>
      </w:tr>
      <w:tr w14:paraId="1D965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75" w:type="pct"/>
            <w:vAlign w:val="center"/>
          </w:tcPr>
          <w:p w14:paraId="1B187AE2">
            <w:pPr>
              <w:spacing w:line="240" w:lineRule="auto"/>
              <w:ind w:firstLine="0" w:firstLineChars="0"/>
              <w:jc w:val="both"/>
              <w:textAlignment w:val="baseline"/>
              <w:rPr>
                <w:bCs/>
                <w:color w:val="auto"/>
                <w:sz w:val="21"/>
                <w:szCs w:val="21"/>
              </w:rPr>
            </w:pPr>
            <w:r>
              <w:rPr>
                <w:bCs/>
                <w:color w:val="auto"/>
                <w:sz w:val="21"/>
                <w:szCs w:val="21"/>
              </w:rPr>
              <w:t>其他环境保护法律法规规章等规定不得通过环境保护验收的，建设单位不得提出验收合格的意见。</w:t>
            </w:r>
          </w:p>
        </w:tc>
        <w:tc>
          <w:tcPr>
            <w:tcW w:w="1878" w:type="pct"/>
            <w:vAlign w:val="center"/>
          </w:tcPr>
          <w:p w14:paraId="152EE813">
            <w:pPr>
              <w:spacing w:line="240" w:lineRule="auto"/>
              <w:ind w:firstLine="0" w:firstLineChars="0"/>
              <w:jc w:val="both"/>
              <w:textAlignment w:val="baseline"/>
              <w:rPr>
                <w:bCs/>
                <w:color w:val="auto"/>
                <w:sz w:val="21"/>
                <w:szCs w:val="21"/>
              </w:rPr>
            </w:pPr>
            <w:r>
              <w:rPr>
                <w:bCs/>
                <w:color w:val="auto"/>
                <w:sz w:val="21"/>
                <w:szCs w:val="21"/>
              </w:rPr>
              <w:t>本项目符合其他环境保护法律法规规章的规定。</w:t>
            </w:r>
          </w:p>
        </w:tc>
        <w:tc>
          <w:tcPr>
            <w:tcW w:w="648" w:type="pct"/>
            <w:vAlign w:val="center"/>
          </w:tcPr>
          <w:p w14:paraId="4389EEAE">
            <w:pPr>
              <w:spacing w:line="240" w:lineRule="auto"/>
              <w:ind w:firstLine="0" w:firstLineChars="0"/>
              <w:jc w:val="center"/>
              <w:textAlignment w:val="baseline"/>
              <w:rPr>
                <w:bCs/>
                <w:color w:val="auto"/>
                <w:sz w:val="21"/>
                <w:szCs w:val="21"/>
              </w:rPr>
            </w:pPr>
            <w:r>
              <w:rPr>
                <w:bCs/>
                <w:color w:val="auto"/>
                <w:sz w:val="21"/>
                <w:szCs w:val="21"/>
              </w:rPr>
              <w:t>不涉及</w:t>
            </w:r>
          </w:p>
        </w:tc>
      </w:tr>
    </w:tbl>
    <w:p w14:paraId="735F20AA">
      <w:pPr>
        <w:pStyle w:val="2"/>
        <w:ind w:firstLine="643"/>
        <w:rPr>
          <w:rFonts w:cs="Times New Roman"/>
          <w:color w:val="auto"/>
        </w:rPr>
      </w:pPr>
      <w:bookmarkStart w:id="58" w:name="_Toc172712309"/>
      <w:r>
        <w:rPr>
          <w:rFonts w:cs="Times New Roman"/>
          <w:color w:val="auto"/>
        </w:rPr>
        <w:t>10验收监测结论</w:t>
      </w:r>
      <w:bookmarkEnd w:id="58"/>
      <w:r>
        <w:rPr>
          <w:rFonts w:cs="Times New Roman"/>
          <w:color w:val="auto"/>
        </w:rPr>
        <w:t xml:space="preserve"> </w:t>
      </w:r>
    </w:p>
    <w:p w14:paraId="23750369">
      <w:pPr>
        <w:pStyle w:val="3"/>
        <w:spacing w:before="163" w:after="163"/>
        <w:ind w:firstLine="643"/>
        <w:rPr>
          <w:rFonts w:cs="Times New Roman"/>
          <w:color w:val="auto"/>
        </w:rPr>
      </w:pPr>
      <w:bookmarkStart w:id="59" w:name="_Toc172712310"/>
      <w:r>
        <w:rPr>
          <w:rFonts w:cs="Times New Roman"/>
          <w:color w:val="auto"/>
        </w:rPr>
        <w:t>10.1环保设施调试运行效果</w:t>
      </w:r>
      <w:bookmarkEnd w:id="59"/>
    </w:p>
    <w:p w14:paraId="5B108B1D">
      <w:pPr>
        <w:pStyle w:val="4"/>
        <w:ind w:firstLine="562"/>
        <w:rPr>
          <w:rFonts w:cs="Times New Roman"/>
          <w:color w:val="auto"/>
        </w:rPr>
      </w:pPr>
      <w:r>
        <w:rPr>
          <w:rFonts w:cs="Times New Roman"/>
          <w:color w:val="auto"/>
        </w:rPr>
        <w:t>10.1.1环保设施处理效率监测结果</w:t>
      </w:r>
    </w:p>
    <w:p w14:paraId="73327541">
      <w:pPr>
        <w:ind w:firstLine="480"/>
        <w:jc w:val="both"/>
        <w:rPr>
          <w:color w:val="auto"/>
        </w:rPr>
      </w:pPr>
      <w:r>
        <w:rPr>
          <w:rFonts w:hint="eastAsia"/>
          <w:color w:val="auto"/>
        </w:rPr>
        <w:t>废水：环境影响报告书及其审批部门审批决定未对废水处理设施去除效率做出要求。根据本项目的监测结果，厂区总排口废水水质满足</w:t>
      </w:r>
      <w:r>
        <w:rPr>
          <w:rFonts w:hint="eastAsia"/>
          <w:color w:val="auto"/>
          <w:szCs w:val="24"/>
        </w:rPr>
        <w:t>大块镇污水处理厂收水标准</w:t>
      </w:r>
      <w:r>
        <w:rPr>
          <w:rFonts w:hint="eastAsia"/>
          <w:color w:val="auto"/>
        </w:rPr>
        <w:t>及《电镀污染物排放标准》（GB21900-2008）表2的限值要求</w:t>
      </w:r>
      <w:r>
        <w:rPr>
          <w:rFonts w:hint="eastAsia"/>
          <w:color w:val="auto"/>
          <w:szCs w:val="24"/>
        </w:rPr>
        <w:t>，</w:t>
      </w:r>
      <w:r>
        <w:rPr>
          <w:rFonts w:hint="eastAsia"/>
          <w:color w:val="auto"/>
        </w:rPr>
        <w:t>可以满足环境影响报告书及其审批部门审批决定的要求。</w:t>
      </w:r>
    </w:p>
    <w:p w14:paraId="71C93A2B">
      <w:pPr>
        <w:ind w:firstLine="480"/>
        <w:jc w:val="both"/>
        <w:rPr>
          <w:color w:val="auto"/>
        </w:rPr>
      </w:pPr>
      <w:r>
        <w:rPr>
          <w:rFonts w:hint="eastAsia"/>
          <w:color w:val="auto"/>
        </w:rPr>
        <w:t>废气：环境影响报告书及其审批部门审批决定未对废</w:t>
      </w:r>
      <w:r>
        <w:rPr>
          <w:rFonts w:hint="eastAsia"/>
          <w:color w:val="auto"/>
          <w:lang w:val="en-US" w:eastAsia="zh-CN"/>
        </w:rPr>
        <w:t>气</w:t>
      </w:r>
      <w:r>
        <w:rPr>
          <w:rFonts w:hint="eastAsia"/>
          <w:color w:val="auto"/>
        </w:rPr>
        <w:t>处理设施去除效率做出要求。但根据监测数据，各污染物均能够实现达标排放。</w:t>
      </w:r>
    </w:p>
    <w:p w14:paraId="4FC971B1">
      <w:pPr>
        <w:ind w:firstLine="480"/>
        <w:jc w:val="both"/>
        <w:rPr>
          <w:color w:val="auto"/>
        </w:rPr>
      </w:pPr>
      <w:r>
        <w:rPr>
          <w:rFonts w:hint="eastAsia"/>
          <w:color w:val="auto"/>
        </w:rPr>
        <w:t>噪声：环境影响报告书及其审批部门审批决定未对</w:t>
      </w:r>
      <w:r>
        <w:rPr>
          <w:rFonts w:hint="eastAsia"/>
          <w:color w:val="auto"/>
          <w:lang w:val="en-US" w:eastAsia="zh-CN"/>
        </w:rPr>
        <w:t>降噪效果</w:t>
      </w:r>
      <w:r>
        <w:rPr>
          <w:rFonts w:hint="eastAsia"/>
          <w:color w:val="auto"/>
        </w:rPr>
        <w:t>做出要求，根据监测结果，厂界噪声能够达到《工业企业厂界环境噪声排放标准》（</w:t>
      </w:r>
      <w:r>
        <w:rPr>
          <w:color w:val="auto"/>
        </w:rPr>
        <w:t>GB12348-2008</w:t>
      </w:r>
      <w:r>
        <w:rPr>
          <w:rFonts w:hint="eastAsia"/>
          <w:color w:val="auto"/>
        </w:rPr>
        <w:t>）</w:t>
      </w:r>
      <w:r>
        <w:rPr>
          <w:color w:val="auto"/>
        </w:rPr>
        <w:t>3</w:t>
      </w:r>
      <w:r>
        <w:rPr>
          <w:rFonts w:hint="eastAsia"/>
          <w:color w:val="auto"/>
        </w:rPr>
        <w:t>类标准要求。</w:t>
      </w:r>
    </w:p>
    <w:p w14:paraId="7E1B66B1">
      <w:pPr>
        <w:ind w:firstLine="480"/>
        <w:jc w:val="both"/>
        <w:rPr>
          <w:color w:val="auto"/>
        </w:rPr>
      </w:pPr>
      <w:r>
        <w:rPr>
          <w:rFonts w:hint="eastAsia"/>
          <w:color w:val="auto"/>
        </w:rPr>
        <w:t>固废：环境影响报告书及其审批部门审批决定未对去除效率做出要求，各固体废物全部得到妥善处理。</w:t>
      </w:r>
    </w:p>
    <w:p w14:paraId="4A02D0D6">
      <w:pPr>
        <w:pStyle w:val="4"/>
        <w:ind w:firstLine="562"/>
        <w:rPr>
          <w:rFonts w:cs="Times New Roman"/>
          <w:color w:val="auto"/>
        </w:rPr>
      </w:pPr>
      <w:r>
        <w:rPr>
          <w:rFonts w:cs="Times New Roman"/>
          <w:color w:val="auto"/>
        </w:rPr>
        <w:t>10.1.2污染物排放监测结果</w:t>
      </w:r>
    </w:p>
    <w:p w14:paraId="2ED560F6">
      <w:pPr>
        <w:pStyle w:val="5"/>
        <w:ind w:firstLine="482"/>
        <w:rPr>
          <w:rFonts w:cs="Times New Roman"/>
          <w:color w:val="auto"/>
        </w:rPr>
      </w:pPr>
      <w:r>
        <w:rPr>
          <w:rFonts w:cs="Times New Roman"/>
          <w:color w:val="auto"/>
        </w:rPr>
        <w:t xml:space="preserve">10.1.2.1 </w:t>
      </w:r>
      <w:r>
        <w:rPr>
          <w:rFonts w:hint="eastAsia" w:cs="Times New Roman"/>
          <w:color w:val="auto"/>
        </w:rPr>
        <w:t>废水</w:t>
      </w:r>
    </w:p>
    <w:p w14:paraId="492BBE50">
      <w:pPr>
        <w:ind w:firstLine="480"/>
        <w:jc w:val="both"/>
        <w:rPr>
          <w:color w:val="auto"/>
          <w:szCs w:val="24"/>
        </w:rPr>
      </w:pPr>
      <w:r>
        <w:rPr>
          <w:rFonts w:hint="eastAsia"/>
          <w:bCs/>
          <w:color w:val="auto"/>
          <w:szCs w:val="24"/>
        </w:rPr>
        <w:t>根据</w:t>
      </w:r>
      <w:r>
        <w:rPr>
          <w:color w:val="auto"/>
          <w:szCs w:val="24"/>
        </w:rPr>
        <w:t>验收监测期间，</w:t>
      </w:r>
      <w:r>
        <w:rPr>
          <w:rFonts w:hint="eastAsia"/>
          <w:color w:val="auto"/>
          <w:szCs w:val="24"/>
        </w:rPr>
        <w:t>厂区总排口废水污染物浓度为：</w:t>
      </w:r>
      <w:r>
        <w:rPr>
          <w:rFonts w:hint="eastAsia"/>
          <w:color w:val="auto"/>
        </w:rPr>
        <w:t>化学需氧</w:t>
      </w:r>
      <w:r>
        <w:rPr>
          <w:rFonts w:hint="eastAsia" w:ascii="Times New Roman" w:eastAsia="宋体"/>
          <w:color w:val="auto"/>
          <w:lang w:val="en-US" w:eastAsia="zh-CN"/>
        </w:rPr>
        <w:t>量41-49</w:t>
      </w:r>
      <w:r>
        <w:rPr>
          <w:rFonts w:hint="eastAsia"/>
          <w:color w:val="auto"/>
        </w:rPr>
        <w:t>mg/L、悬浮物</w:t>
      </w:r>
      <w:r>
        <w:rPr>
          <w:rFonts w:hint="eastAsia" w:ascii="Times New Roman" w:eastAsia="宋体"/>
          <w:color w:val="auto"/>
          <w:lang w:val="en-US" w:eastAsia="zh-CN"/>
        </w:rPr>
        <w:t>46-55</w:t>
      </w:r>
      <w:r>
        <w:rPr>
          <w:rFonts w:hint="eastAsia"/>
          <w:color w:val="auto"/>
        </w:rPr>
        <w:t>mg/L、氨氮7.</w:t>
      </w:r>
      <w:r>
        <w:rPr>
          <w:rFonts w:hint="eastAsia" w:ascii="Times New Roman" w:eastAsia="宋体"/>
          <w:color w:val="auto"/>
          <w:lang w:val="en-US" w:eastAsia="zh-CN"/>
        </w:rPr>
        <w:t>29</w:t>
      </w:r>
      <w:r>
        <w:rPr>
          <w:rFonts w:hint="eastAsia"/>
          <w:color w:val="auto"/>
        </w:rPr>
        <w:t>~7.</w:t>
      </w:r>
      <w:r>
        <w:rPr>
          <w:rFonts w:hint="eastAsia" w:ascii="Times New Roman" w:eastAsia="宋体"/>
          <w:color w:val="auto"/>
          <w:lang w:val="en-US" w:eastAsia="zh-CN"/>
        </w:rPr>
        <w:t>55</w:t>
      </w:r>
      <w:r>
        <w:rPr>
          <w:rFonts w:hint="eastAsia"/>
          <w:color w:val="auto"/>
        </w:rPr>
        <w:t>g/L、总磷</w:t>
      </w:r>
      <w:r>
        <w:rPr>
          <w:rFonts w:hint="eastAsia" w:ascii="Times New Roman" w:eastAsia="宋体"/>
          <w:color w:val="auto"/>
          <w:lang w:val="en-US" w:eastAsia="zh-CN"/>
        </w:rPr>
        <w:t>0.51</w:t>
      </w:r>
      <w:r>
        <w:rPr>
          <w:rFonts w:hint="eastAsia"/>
          <w:color w:val="auto"/>
        </w:rPr>
        <w:t>~</w:t>
      </w:r>
      <w:r>
        <w:rPr>
          <w:rFonts w:hint="eastAsia" w:ascii="Times New Roman" w:eastAsia="宋体"/>
          <w:color w:val="auto"/>
          <w:lang w:val="en-US" w:eastAsia="zh-CN"/>
        </w:rPr>
        <w:t>0.62</w:t>
      </w:r>
      <w:r>
        <w:rPr>
          <w:rFonts w:hint="eastAsia"/>
          <w:color w:val="auto"/>
        </w:rPr>
        <w:t>mg/L、总氮</w:t>
      </w:r>
      <w:r>
        <w:rPr>
          <w:rFonts w:hint="eastAsia" w:ascii="Times New Roman" w:eastAsia="宋体"/>
          <w:color w:val="auto"/>
          <w:lang w:val="en-US" w:eastAsia="zh-CN"/>
        </w:rPr>
        <w:t>13.1-13.9</w:t>
      </w:r>
      <w:r>
        <w:rPr>
          <w:rFonts w:hint="eastAsia"/>
          <w:color w:val="auto"/>
        </w:rPr>
        <w:t>mg/L、石油类</w:t>
      </w:r>
      <w:r>
        <w:rPr>
          <w:rFonts w:hint="eastAsia" w:ascii="Times New Roman" w:eastAsia="宋体"/>
          <w:color w:val="auto"/>
          <w:lang w:val="en-US" w:eastAsia="zh-CN"/>
        </w:rPr>
        <w:t>1.03-1.12</w:t>
      </w:r>
      <w:r>
        <w:rPr>
          <w:rFonts w:hint="eastAsia"/>
          <w:color w:val="auto"/>
        </w:rPr>
        <w:t>mg/L</w:t>
      </w:r>
      <w:r>
        <w:rPr>
          <w:rFonts w:hint="eastAsia" w:eastAsia="宋体"/>
          <w:color w:val="auto"/>
          <w:lang w:eastAsia="zh-CN"/>
        </w:rPr>
        <w:t>、</w:t>
      </w:r>
      <w:r>
        <w:rPr>
          <w:rFonts w:hint="eastAsia" w:ascii="Times New Roman" w:eastAsia="宋体"/>
          <w:color w:val="auto"/>
          <w:lang w:val="en-US" w:eastAsia="zh-CN"/>
        </w:rPr>
        <w:t>锌未检出、镍未检出、总铬未检出、六价铬未检出</w:t>
      </w:r>
      <w:r>
        <w:rPr>
          <w:rFonts w:hint="eastAsia"/>
          <w:color w:val="auto"/>
        </w:rPr>
        <w:t>。COD、氨氮、TP、TN浓度可以满足</w:t>
      </w:r>
      <w:r>
        <w:rPr>
          <w:rFonts w:hint="eastAsia"/>
          <w:color w:val="auto"/>
          <w:szCs w:val="24"/>
        </w:rPr>
        <w:t>大块镇污水处理厂收水标准（化学需氧量350</w:t>
      </w:r>
      <w:r>
        <w:rPr>
          <w:color w:val="auto"/>
          <w:szCs w:val="24"/>
        </w:rPr>
        <w:t>mg/L</w:t>
      </w:r>
      <w:r>
        <w:rPr>
          <w:rFonts w:hint="eastAsia"/>
          <w:color w:val="auto"/>
          <w:szCs w:val="24"/>
        </w:rPr>
        <w:t>、悬浮物150</w:t>
      </w:r>
      <w:r>
        <w:rPr>
          <w:color w:val="auto"/>
          <w:szCs w:val="24"/>
        </w:rPr>
        <w:t>mg/L</w:t>
      </w:r>
      <w:r>
        <w:rPr>
          <w:rFonts w:hint="eastAsia"/>
          <w:color w:val="auto"/>
          <w:szCs w:val="24"/>
        </w:rPr>
        <w:t>、氨氮35</w:t>
      </w:r>
      <w:r>
        <w:rPr>
          <w:color w:val="auto"/>
          <w:szCs w:val="24"/>
        </w:rPr>
        <w:t>mg/L</w:t>
      </w:r>
      <w:r>
        <w:rPr>
          <w:rFonts w:hint="eastAsia"/>
          <w:color w:val="auto"/>
          <w:szCs w:val="24"/>
        </w:rPr>
        <w:t>、总氮40</w:t>
      </w:r>
      <w:r>
        <w:rPr>
          <w:color w:val="auto"/>
          <w:szCs w:val="24"/>
        </w:rPr>
        <w:t>mg/L、总磷</w:t>
      </w:r>
      <w:r>
        <w:rPr>
          <w:rFonts w:hint="eastAsia"/>
          <w:color w:val="auto"/>
          <w:szCs w:val="24"/>
        </w:rPr>
        <w:t>4</w:t>
      </w:r>
      <w:r>
        <w:rPr>
          <w:color w:val="auto"/>
          <w:szCs w:val="24"/>
        </w:rPr>
        <w:t>mg/L</w:t>
      </w:r>
      <w:r>
        <w:rPr>
          <w:rFonts w:hint="eastAsia"/>
          <w:color w:val="auto"/>
          <w:szCs w:val="24"/>
        </w:rPr>
        <w:t>）、</w:t>
      </w:r>
      <w:r>
        <w:rPr>
          <w:rFonts w:hint="eastAsia"/>
          <w:color w:val="auto"/>
        </w:rPr>
        <w:t>石油类浓度均能满足《电镀污染物排放标准》（GB21900-2008）表2（石油类3.0mg/L）的限值要求</w:t>
      </w:r>
      <w:r>
        <w:rPr>
          <w:rFonts w:hint="eastAsia"/>
          <w:color w:val="auto"/>
          <w:szCs w:val="24"/>
        </w:rPr>
        <w:t>。</w:t>
      </w:r>
    </w:p>
    <w:p w14:paraId="6912724A">
      <w:pPr>
        <w:ind w:firstLine="482"/>
        <w:jc w:val="both"/>
        <w:textAlignment w:val="baseline"/>
        <w:outlineLvl w:val="3"/>
        <w:rPr>
          <w:b/>
          <w:color w:val="auto"/>
          <w:szCs w:val="24"/>
        </w:rPr>
      </w:pPr>
      <w:r>
        <w:rPr>
          <w:b/>
          <w:color w:val="auto"/>
          <w:szCs w:val="24"/>
        </w:rPr>
        <w:t>10.1.2.2</w:t>
      </w:r>
      <w:r>
        <w:rPr>
          <w:rFonts w:cs="Times New Roman"/>
          <w:b/>
          <w:color w:val="auto"/>
        </w:rPr>
        <w:t>废气</w:t>
      </w:r>
    </w:p>
    <w:p w14:paraId="22AF22A5">
      <w:pPr>
        <w:adjustRightInd/>
        <w:snapToGrid/>
        <w:ind w:firstLine="480"/>
        <w:contextualSpacing/>
        <w:jc w:val="both"/>
        <w:rPr>
          <w:rFonts w:cs="Times New Roman"/>
          <w:color w:val="auto"/>
        </w:rPr>
      </w:pPr>
      <w:r>
        <w:rPr>
          <w:rFonts w:hint="eastAsia" w:cs="Times New Roman"/>
          <w:color w:val="auto"/>
        </w:rPr>
        <w:t>（1）有组织废气</w:t>
      </w:r>
    </w:p>
    <w:p w14:paraId="1AC08426">
      <w:pPr>
        <w:ind w:firstLine="480"/>
        <w:rPr>
          <w:rFonts w:cs="Times New Roman"/>
          <w:color w:val="FF0000"/>
        </w:rPr>
      </w:pPr>
      <w:r>
        <w:rPr>
          <w:rFonts w:hint="eastAsia" w:cs="Times New Roman"/>
          <w:color w:val="auto"/>
        </w:rPr>
        <w:t>本项目有组织废气为</w:t>
      </w:r>
      <w:r>
        <w:rPr>
          <w:rFonts w:hint="eastAsia" w:cs="Times New Roman"/>
          <w:color w:val="auto"/>
          <w:lang w:val="en-US" w:eastAsia="zh-CN"/>
        </w:rPr>
        <w:t>表面处理生产线酸性废气、槽液调配间酸性废气、污水处理站废气</w:t>
      </w:r>
      <w:r>
        <w:rPr>
          <w:rFonts w:hint="eastAsia"/>
          <w:color w:val="auto"/>
          <w:lang w:eastAsia="zh-CN"/>
        </w:rPr>
        <w:t>。</w:t>
      </w:r>
      <w:r>
        <w:rPr>
          <w:rFonts w:hint="eastAsia"/>
          <w:color w:val="auto"/>
          <w:lang w:val="en-US" w:eastAsia="zh-CN"/>
        </w:rPr>
        <w:t>挂镀锌线及退锌线废气经收集后经1套</w:t>
      </w:r>
      <w:r>
        <w:rPr>
          <w:rFonts w:ascii="Times New Roman" w:hAnsi="Times New Roman" w:eastAsia="宋体" w:cs="Times New Roman"/>
          <w:color w:val="auto"/>
        </w:rPr>
        <w:t>两级酸雾吸收塔</w:t>
      </w:r>
      <w:r>
        <w:rPr>
          <w:rFonts w:hint="eastAsia" w:ascii="Times New Roman" w:hAnsi="Times New Roman" w:eastAsia="宋体" w:cs="Times New Roman"/>
          <w:color w:val="auto"/>
          <w:lang w:val="en-US" w:eastAsia="zh-CN"/>
        </w:rPr>
        <w:t>处理，尾气经1根</w:t>
      </w:r>
      <w:r>
        <w:rPr>
          <w:color w:val="auto"/>
        </w:rPr>
        <w:t>1</w:t>
      </w:r>
      <w:r>
        <w:rPr>
          <w:rFonts w:hint="eastAsia"/>
          <w:color w:val="auto"/>
        </w:rPr>
        <w:t>5</w:t>
      </w:r>
      <w:r>
        <w:rPr>
          <w:color w:val="auto"/>
        </w:rPr>
        <w:t>m</w:t>
      </w:r>
      <w:r>
        <w:rPr>
          <w:rFonts w:hint="eastAsia" w:cs="Times New Roman"/>
          <w:color w:val="auto"/>
        </w:rPr>
        <w:t>高排气筒</w:t>
      </w:r>
      <w:r>
        <w:rPr>
          <w:rFonts w:hint="eastAsia" w:cs="Times New Roman"/>
          <w:color w:val="auto"/>
          <w:lang w:val="en-US" w:eastAsia="zh-CN"/>
        </w:rPr>
        <w:t>DA006</w:t>
      </w:r>
      <w:r>
        <w:rPr>
          <w:rFonts w:hint="eastAsia" w:cs="Times New Roman"/>
          <w:color w:val="auto"/>
        </w:rPr>
        <w:t>排放</w:t>
      </w:r>
      <w:r>
        <w:rPr>
          <w:rFonts w:hint="eastAsia" w:cs="Times New Roman"/>
          <w:color w:val="auto"/>
          <w:lang w:eastAsia="zh-CN"/>
        </w:rPr>
        <w:t>；</w:t>
      </w:r>
      <w:r>
        <w:rPr>
          <w:rFonts w:hint="eastAsia" w:cs="Times New Roman"/>
          <w:color w:val="auto"/>
          <w:lang w:val="en-US" w:eastAsia="zh-CN"/>
        </w:rPr>
        <w:t>1#钢带线</w:t>
      </w:r>
      <w:r>
        <w:rPr>
          <w:rFonts w:hint="eastAsia"/>
          <w:color w:val="auto"/>
          <w:lang w:val="en-US" w:eastAsia="zh-CN"/>
        </w:rPr>
        <w:t>废气经收集后依托现有</w:t>
      </w:r>
      <w:r>
        <w:rPr>
          <w:rFonts w:ascii="Times New Roman" w:hAnsi="Times New Roman" w:eastAsia="宋体" w:cs="Times New Roman"/>
          <w:color w:val="auto"/>
          <w:szCs w:val="21"/>
        </w:rPr>
        <w:t>钢帽镀镍生产线废气处理系统</w:t>
      </w:r>
      <w:r>
        <w:rPr>
          <w:rFonts w:hint="eastAsia" w:ascii="Times New Roman" w:hAnsi="Times New Roman" w:eastAsia="宋体" w:cs="Times New Roman"/>
          <w:color w:val="auto"/>
          <w:lang w:val="en-US" w:eastAsia="zh-CN"/>
        </w:rPr>
        <w:t>处理，尾气经1根</w:t>
      </w:r>
      <w:r>
        <w:rPr>
          <w:color w:val="auto"/>
        </w:rPr>
        <w:t>1</w:t>
      </w:r>
      <w:r>
        <w:rPr>
          <w:rFonts w:hint="eastAsia"/>
          <w:color w:val="auto"/>
        </w:rPr>
        <w:t>5</w:t>
      </w:r>
      <w:r>
        <w:rPr>
          <w:color w:val="auto"/>
        </w:rPr>
        <w:t>m</w:t>
      </w:r>
      <w:r>
        <w:rPr>
          <w:rFonts w:hint="eastAsia" w:cs="Times New Roman"/>
          <w:color w:val="auto"/>
        </w:rPr>
        <w:t>高排气筒</w:t>
      </w:r>
      <w:r>
        <w:rPr>
          <w:rFonts w:hint="eastAsia" w:cs="Times New Roman"/>
          <w:color w:val="auto"/>
          <w:lang w:val="en-US" w:eastAsia="zh-CN"/>
        </w:rPr>
        <w:t>DA003</w:t>
      </w:r>
      <w:r>
        <w:rPr>
          <w:rFonts w:hint="eastAsia" w:cs="Times New Roman"/>
          <w:color w:val="auto"/>
        </w:rPr>
        <w:t>排放</w:t>
      </w:r>
      <w:r>
        <w:rPr>
          <w:rFonts w:hint="eastAsia" w:cs="Times New Roman"/>
          <w:color w:val="auto"/>
          <w:lang w:eastAsia="zh-CN"/>
        </w:rPr>
        <w:t>；</w:t>
      </w:r>
      <w:r>
        <w:rPr>
          <w:rFonts w:hint="eastAsia" w:cs="Times New Roman"/>
          <w:color w:val="auto"/>
          <w:lang w:val="en-US" w:eastAsia="zh-CN"/>
        </w:rPr>
        <w:t>2#钢带线</w:t>
      </w:r>
      <w:r>
        <w:rPr>
          <w:rFonts w:hint="eastAsia"/>
          <w:color w:val="auto"/>
          <w:lang w:val="en-US" w:eastAsia="zh-CN"/>
        </w:rPr>
        <w:t>废气经收集后经1套</w:t>
      </w:r>
      <w:r>
        <w:rPr>
          <w:rFonts w:ascii="Times New Roman" w:hAnsi="Times New Roman" w:eastAsia="宋体" w:cs="Times New Roman"/>
          <w:color w:val="auto"/>
        </w:rPr>
        <w:t>两级酸雾吸收塔</w:t>
      </w:r>
      <w:r>
        <w:rPr>
          <w:rFonts w:hint="eastAsia" w:ascii="Times New Roman" w:hAnsi="Times New Roman" w:eastAsia="宋体" w:cs="Times New Roman"/>
          <w:color w:val="auto"/>
          <w:lang w:val="en-US" w:eastAsia="zh-CN"/>
        </w:rPr>
        <w:t>处理，尾气经1根</w:t>
      </w:r>
      <w:r>
        <w:rPr>
          <w:color w:val="auto"/>
        </w:rPr>
        <w:t>1</w:t>
      </w:r>
      <w:r>
        <w:rPr>
          <w:rFonts w:hint="eastAsia"/>
          <w:color w:val="auto"/>
        </w:rPr>
        <w:t>5</w:t>
      </w:r>
      <w:r>
        <w:rPr>
          <w:color w:val="auto"/>
        </w:rPr>
        <w:t>m</w:t>
      </w:r>
      <w:r>
        <w:rPr>
          <w:rFonts w:hint="eastAsia" w:cs="Times New Roman"/>
          <w:color w:val="auto"/>
        </w:rPr>
        <w:t>高排气筒</w:t>
      </w:r>
      <w:r>
        <w:rPr>
          <w:rFonts w:hint="eastAsia" w:cs="Times New Roman"/>
          <w:color w:val="auto"/>
          <w:lang w:val="en-US" w:eastAsia="zh-CN"/>
        </w:rPr>
        <w:t>DA004</w:t>
      </w:r>
      <w:r>
        <w:rPr>
          <w:rFonts w:hint="eastAsia" w:cs="Times New Roman"/>
          <w:color w:val="auto"/>
        </w:rPr>
        <w:t>排放</w:t>
      </w:r>
      <w:r>
        <w:rPr>
          <w:rFonts w:hint="eastAsia" w:cs="Times New Roman"/>
          <w:color w:val="auto"/>
          <w:lang w:eastAsia="zh-CN"/>
        </w:rPr>
        <w:t>；</w:t>
      </w:r>
      <w:r>
        <w:rPr>
          <w:rFonts w:hint="eastAsia" w:cs="Times New Roman"/>
          <w:color w:val="auto"/>
          <w:lang w:val="en-US" w:eastAsia="zh-CN"/>
        </w:rPr>
        <w:t>3#钢带线</w:t>
      </w:r>
      <w:r>
        <w:rPr>
          <w:rFonts w:hint="eastAsia"/>
          <w:color w:val="auto"/>
          <w:lang w:val="en-US" w:eastAsia="zh-CN"/>
        </w:rPr>
        <w:t>废气经收集后经1套</w:t>
      </w:r>
      <w:r>
        <w:rPr>
          <w:rFonts w:ascii="Times New Roman" w:hAnsi="Times New Roman" w:eastAsia="宋体" w:cs="Times New Roman"/>
          <w:color w:val="auto"/>
        </w:rPr>
        <w:t>两级酸雾吸收塔</w:t>
      </w:r>
      <w:r>
        <w:rPr>
          <w:rFonts w:hint="eastAsia" w:ascii="Times New Roman" w:hAnsi="Times New Roman" w:eastAsia="宋体" w:cs="Times New Roman"/>
          <w:color w:val="auto"/>
          <w:lang w:val="en-US" w:eastAsia="zh-CN"/>
        </w:rPr>
        <w:t>处理，尾气经1根</w:t>
      </w:r>
      <w:r>
        <w:rPr>
          <w:color w:val="auto"/>
        </w:rPr>
        <w:t>1</w:t>
      </w:r>
      <w:r>
        <w:rPr>
          <w:rFonts w:hint="eastAsia"/>
          <w:color w:val="auto"/>
        </w:rPr>
        <w:t>5</w:t>
      </w:r>
      <w:r>
        <w:rPr>
          <w:color w:val="auto"/>
        </w:rPr>
        <w:t>m</w:t>
      </w:r>
      <w:r>
        <w:rPr>
          <w:rFonts w:hint="eastAsia" w:cs="Times New Roman"/>
          <w:color w:val="auto"/>
        </w:rPr>
        <w:t>高排气筒</w:t>
      </w:r>
      <w:r>
        <w:rPr>
          <w:rFonts w:hint="eastAsia" w:cs="Times New Roman"/>
          <w:color w:val="auto"/>
          <w:lang w:val="en-US" w:eastAsia="zh-CN"/>
        </w:rPr>
        <w:t>DA005</w:t>
      </w:r>
      <w:r>
        <w:rPr>
          <w:rFonts w:hint="eastAsia" w:cs="Times New Roman"/>
          <w:color w:val="auto"/>
        </w:rPr>
        <w:t>排放</w:t>
      </w:r>
      <w:r>
        <w:rPr>
          <w:rFonts w:hint="eastAsia" w:cs="Times New Roman"/>
          <w:color w:val="auto"/>
          <w:lang w:eastAsia="zh-CN"/>
        </w:rPr>
        <w:t>；</w:t>
      </w:r>
      <w:r>
        <w:rPr>
          <w:rFonts w:hint="eastAsia" w:cs="Times New Roman"/>
          <w:color w:val="auto"/>
          <w:lang w:val="en-US" w:eastAsia="zh-CN"/>
        </w:rPr>
        <w:t>污水处理站废气经收集后经1套生物除臭塔处理，</w:t>
      </w:r>
      <w:r>
        <w:rPr>
          <w:rFonts w:hint="eastAsia" w:ascii="Times New Roman" w:hAnsi="Times New Roman" w:eastAsia="宋体" w:cs="Times New Roman"/>
          <w:color w:val="auto"/>
          <w:lang w:val="en-US" w:eastAsia="zh-CN"/>
        </w:rPr>
        <w:t>尾气经1根</w:t>
      </w:r>
      <w:r>
        <w:rPr>
          <w:color w:val="auto"/>
        </w:rPr>
        <w:t>1</w:t>
      </w:r>
      <w:r>
        <w:rPr>
          <w:rFonts w:hint="eastAsia"/>
          <w:color w:val="auto"/>
        </w:rPr>
        <w:t>5</w:t>
      </w:r>
      <w:r>
        <w:rPr>
          <w:color w:val="auto"/>
        </w:rPr>
        <w:t>m</w:t>
      </w:r>
      <w:r>
        <w:rPr>
          <w:rFonts w:hint="eastAsia" w:cs="Times New Roman"/>
          <w:color w:val="auto"/>
        </w:rPr>
        <w:t>高排气筒</w:t>
      </w:r>
      <w:r>
        <w:rPr>
          <w:rFonts w:hint="eastAsia" w:cs="Times New Roman"/>
          <w:color w:val="auto"/>
          <w:lang w:val="en-US" w:eastAsia="zh-CN"/>
        </w:rPr>
        <w:t>DA007</w:t>
      </w:r>
      <w:r>
        <w:rPr>
          <w:rFonts w:hint="eastAsia" w:cs="Times New Roman"/>
          <w:color w:val="auto"/>
        </w:rPr>
        <w:t>排放。</w:t>
      </w:r>
    </w:p>
    <w:p w14:paraId="4A2E35D0">
      <w:pPr>
        <w:ind w:firstLine="480"/>
        <w:jc w:val="both"/>
        <w:rPr>
          <w:rFonts w:cs="Times New Roman"/>
          <w:color w:val="FF0000"/>
        </w:rPr>
      </w:pPr>
      <w:r>
        <w:rPr>
          <w:rFonts w:hint="eastAsia"/>
        </w:rPr>
        <w:t>本项目排气筒中各污染物排放浓度均能够满足《电镀污染物排放标准》（</w:t>
      </w:r>
      <w:r>
        <w:t>GB21900-2008</w:t>
      </w:r>
      <w:r>
        <w:rPr>
          <w:rFonts w:hint="eastAsia"/>
        </w:rPr>
        <w:t>）表</w:t>
      </w:r>
      <w:r>
        <w:t>5</w:t>
      </w:r>
      <w:r>
        <w:rPr>
          <w:rFonts w:hint="eastAsia"/>
        </w:rPr>
        <w:t>新建企业大气污染物氯化氢</w:t>
      </w:r>
      <w:r>
        <w:t xml:space="preserve"> 30mg/m</w:t>
      </w:r>
      <w:r>
        <w:rPr>
          <w:vertAlign w:val="superscript"/>
        </w:rPr>
        <w:t>3</w:t>
      </w:r>
      <w:r>
        <w:rPr>
          <w:rFonts w:hint="eastAsia"/>
        </w:rPr>
        <w:t>、硫酸雾</w:t>
      </w:r>
      <w:r>
        <w:t>30mg/m</w:t>
      </w:r>
      <w:r>
        <w:rPr>
          <w:vertAlign w:val="superscript"/>
        </w:rPr>
        <w:t>3</w:t>
      </w:r>
      <w:r>
        <w:rPr>
          <w:rFonts w:hint="eastAsia"/>
        </w:rPr>
        <w:t>的排放限值要求，《河南省重污染天气重点行业应急减排措施制定技术指南（</w:t>
      </w:r>
      <w:r>
        <w:t>202</w:t>
      </w:r>
      <w:r>
        <w:rPr>
          <w:rFonts w:hint="eastAsia"/>
        </w:rPr>
        <w:t>4年修订）》中</w:t>
      </w:r>
      <w:r>
        <w:t>A</w:t>
      </w:r>
      <w:r>
        <w:rPr>
          <w:rFonts w:hint="eastAsia"/>
        </w:rPr>
        <w:t>级企业要求电镀生产线氯化氢、硫酸雾排放浓度不</w:t>
      </w:r>
      <w:r>
        <w:t>超过10mg/m</w:t>
      </w:r>
      <w:r>
        <w:rPr>
          <w:vertAlign w:val="superscript"/>
        </w:rPr>
        <w:t>3</w:t>
      </w:r>
      <w:r>
        <w:t>的排放限值要求</w:t>
      </w:r>
      <w:r>
        <w:rPr>
          <w:rFonts w:hint="eastAsia"/>
        </w:rPr>
        <w:t>，</w:t>
      </w:r>
      <w:r>
        <w:rPr>
          <w:rFonts w:hint="eastAsia"/>
          <w:bCs/>
        </w:rPr>
        <w:t>《恶臭污染物排放标准》（</w:t>
      </w:r>
      <w:r>
        <w:rPr>
          <w:bCs/>
        </w:rPr>
        <w:t>GB14554-93</w:t>
      </w:r>
      <w:r>
        <w:rPr>
          <w:rFonts w:hint="eastAsia"/>
          <w:bCs/>
        </w:rPr>
        <w:t>）表</w:t>
      </w:r>
      <w:r>
        <w:rPr>
          <w:bCs/>
        </w:rPr>
        <w:t>2</w:t>
      </w:r>
      <w:r>
        <w:rPr>
          <w:rFonts w:hint="eastAsia"/>
          <w:bCs/>
        </w:rPr>
        <w:t>恶臭污染物排放标准值：硫化氢</w:t>
      </w:r>
      <w:r>
        <w:rPr>
          <w:bCs/>
        </w:rPr>
        <w:t>0.33kg/h</w:t>
      </w:r>
      <w:r>
        <w:rPr>
          <w:rFonts w:hint="eastAsia"/>
          <w:bCs/>
        </w:rPr>
        <w:t>、氨</w:t>
      </w:r>
      <w:r>
        <w:rPr>
          <w:bCs/>
        </w:rPr>
        <w:t>4.9kg/h</w:t>
      </w:r>
      <w:r>
        <w:rPr>
          <w:rFonts w:hint="eastAsia"/>
          <w:bCs/>
        </w:rPr>
        <w:t>、</w:t>
      </w:r>
      <w:r>
        <w:rPr>
          <w:szCs w:val="24"/>
        </w:rPr>
        <w:t>臭气浓度2000</w:t>
      </w:r>
      <w:r>
        <w:rPr>
          <w:rFonts w:hint="eastAsia"/>
          <w:bCs/>
        </w:rPr>
        <w:t>的</w:t>
      </w:r>
      <w:r>
        <w:rPr>
          <w:rFonts w:hint="eastAsia"/>
        </w:rPr>
        <w:t>排放限值要求。</w:t>
      </w:r>
    </w:p>
    <w:p w14:paraId="66F05F90">
      <w:pPr>
        <w:adjustRightInd/>
        <w:snapToGrid/>
        <w:ind w:firstLine="480"/>
        <w:contextualSpacing/>
        <w:jc w:val="both"/>
        <w:rPr>
          <w:rFonts w:cs="Times New Roman"/>
          <w:color w:val="auto"/>
        </w:rPr>
      </w:pPr>
      <w:r>
        <w:rPr>
          <w:rFonts w:hint="eastAsia" w:cs="Times New Roman"/>
          <w:color w:val="auto"/>
        </w:rPr>
        <w:t>（2）无组织废气</w:t>
      </w:r>
    </w:p>
    <w:p w14:paraId="1A013897">
      <w:pPr>
        <w:ind w:firstLine="480"/>
        <w:jc w:val="both"/>
        <w:rPr>
          <w:rFonts w:cs="Times New Roman"/>
          <w:color w:val="FF0000"/>
        </w:rPr>
      </w:pPr>
      <w:r>
        <w:rPr>
          <w:rFonts w:cs="Times New Roman"/>
          <w:color w:val="auto"/>
        </w:rPr>
        <w:t>根据厂界无组织废气监测结果显示，</w:t>
      </w:r>
      <w:r>
        <w:rPr>
          <w:rFonts w:hint="eastAsia" w:cs="Times New Roman"/>
          <w:color w:val="auto"/>
          <w:lang w:val="en-US" w:eastAsia="zh-CN"/>
        </w:rPr>
        <w:t>各项因子</w:t>
      </w:r>
      <w:r>
        <w:rPr>
          <w:rFonts w:hint="eastAsia"/>
          <w:szCs w:val="24"/>
        </w:rPr>
        <w:t>无组织排放浓度达到《</w:t>
      </w:r>
      <w:r>
        <w:rPr>
          <w:rFonts w:hint="eastAsia"/>
        </w:rPr>
        <w:t>大气污染物综合排放标准》（G</w:t>
      </w:r>
      <w:r>
        <w:t>B16297-1996</w:t>
      </w:r>
      <w:r>
        <w:rPr>
          <w:rFonts w:hint="eastAsia"/>
        </w:rPr>
        <w:t>）氯化氢</w:t>
      </w:r>
      <w:r>
        <w:t>0.2</w:t>
      </w:r>
      <w:r>
        <w:rPr>
          <w:rFonts w:hint="eastAsia"/>
        </w:rPr>
        <w:t>mg/m</w:t>
      </w:r>
      <w:r>
        <w:rPr>
          <w:rFonts w:hint="eastAsia"/>
          <w:vertAlign w:val="superscript"/>
        </w:rPr>
        <w:t>3</w:t>
      </w:r>
      <w:r>
        <w:rPr>
          <w:rFonts w:hint="eastAsia"/>
        </w:rPr>
        <w:t>、硫酸雾1.2mg/m</w:t>
      </w:r>
      <w:r>
        <w:rPr>
          <w:rFonts w:hint="eastAsia"/>
          <w:vertAlign w:val="superscript"/>
        </w:rPr>
        <w:t>3</w:t>
      </w:r>
      <w:r>
        <w:rPr>
          <w:rFonts w:hint="eastAsia"/>
        </w:rPr>
        <w:t>和《恶臭污染物排放标准》（GB14554-93）氨1.5mg/m</w:t>
      </w:r>
      <w:r>
        <w:rPr>
          <w:rFonts w:hint="eastAsia"/>
          <w:vertAlign w:val="superscript"/>
        </w:rPr>
        <w:t>3</w:t>
      </w:r>
      <w:r>
        <w:rPr>
          <w:rFonts w:hint="eastAsia"/>
        </w:rPr>
        <w:t>、硫化氢0.06 mg/m</w:t>
      </w:r>
      <w:r>
        <w:rPr>
          <w:rFonts w:hint="eastAsia"/>
          <w:vertAlign w:val="superscript"/>
        </w:rPr>
        <w:t>3</w:t>
      </w:r>
      <w:r>
        <w:rPr>
          <w:rFonts w:hint="eastAsia"/>
        </w:rPr>
        <w:t>的标准限值</w:t>
      </w:r>
      <w:r>
        <w:rPr>
          <w:rFonts w:ascii="宋体" w:hAnsi="宋体"/>
          <w:szCs w:val="24"/>
        </w:rPr>
        <w:t>。</w:t>
      </w:r>
    </w:p>
    <w:p w14:paraId="12EE345F">
      <w:pPr>
        <w:pStyle w:val="5"/>
        <w:ind w:firstLine="482"/>
        <w:rPr>
          <w:rFonts w:cs="Times New Roman"/>
          <w:color w:val="auto"/>
        </w:rPr>
      </w:pPr>
      <w:r>
        <w:rPr>
          <w:rFonts w:cs="Times New Roman"/>
          <w:color w:val="auto"/>
        </w:rPr>
        <w:t>10.1.2.3 噪声</w:t>
      </w:r>
    </w:p>
    <w:p w14:paraId="575BD496">
      <w:pPr>
        <w:adjustRightInd/>
        <w:snapToGrid/>
        <w:ind w:firstLine="480"/>
        <w:contextualSpacing/>
        <w:jc w:val="both"/>
        <w:rPr>
          <w:rFonts w:cs="Times New Roman"/>
          <w:color w:val="auto"/>
        </w:rPr>
      </w:pPr>
      <w:r>
        <w:rPr>
          <w:rFonts w:hint="eastAsia" w:cs="Times New Roman"/>
          <w:color w:val="auto"/>
        </w:rPr>
        <w:t>本项目</w:t>
      </w:r>
      <w:r>
        <w:rPr>
          <w:rFonts w:hint="eastAsia" w:cs="Times New Roman"/>
          <w:color w:val="auto"/>
          <w:lang w:val="en-US" w:eastAsia="zh-CN"/>
        </w:rPr>
        <w:t>东、南、西厂界</w:t>
      </w:r>
      <w:r>
        <w:rPr>
          <w:rFonts w:hint="eastAsia" w:cs="Times New Roman"/>
          <w:color w:val="auto"/>
        </w:rPr>
        <w:t>噪声不具备检测条件，北厂界</w:t>
      </w:r>
      <w:r>
        <w:rPr>
          <w:rFonts w:cs="Times New Roman"/>
          <w:color w:val="auto"/>
        </w:rPr>
        <w:t>噪声</w:t>
      </w:r>
      <w:r>
        <w:rPr>
          <w:rFonts w:hint="eastAsia" w:cs="Times New Roman"/>
          <w:color w:val="auto"/>
        </w:rPr>
        <w:t>值</w:t>
      </w:r>
      <w:r>
        <w:rPr>
          <w:rFonts w:hint="eastAsia"/>
          <w:color w:val="auto"/>
        </w:rPr>
        <w:t>监测值昼间</w:t>
      </w:r>
      <w:r>
        <w:rPr>
          <w:rFonts w:hint="eastAsia"/>
          <w:color w:val="auto"/>
          <w:lang w:val="en-US" w:eastAsia="zh-CN"/>
        </w:rPr>
        <w:t>53-54</w:t>
      </w:r>
      <w:r>
        <w:rPr>
          <w:rFonts w:hint="eastAsia"/>
          <w:color w:val="auto"/>
        </w:rPr>
        <w:t>dB(A)、夜间4</w:t>
      </w:r>
      <w:r>
        <w:rPr>
          <w:rFonts w:hint="eastAsia"/>
          <w:color w:val="auto"/>
          <w:lang w:val="en-US" w:eastAsia="zh-CN"/>
        </w:rPr>
        <w:t>2-43</w:t>
      </w:r>
      <w:r>
        <w:rPr>
          <w:rFonts w:hint="eastAsia"/>
          <w:color w:val="auto"/>
        </w:rPr>
        <w:t>dB(A)，</w:t>
      </w:r>
      <w:r>
        <w:rPr>
          <w:rFonts w:cs="Times New Roman"/>
          <w:color w:val="auto"/>
        </w:rPr>
        <w:t>能够达到《工业企业厂界环境噪声排放标准》（GB12348-2008）3类标准要求。</w:t>
      </w:r>
    </w:p>
    <w:p w14:paraId="78F7618B">
      <w:pPr>
        <w:pStyle w:val="5"/>
        <w:ind w:firstLine="482"/>
        <w:rPr>
          <w:rFonts w:cs="Times New Roman"/>
          <w:color w:val="auto"/>
        </w:rPr>
      </w:pPr>
      <w:r>
        <w:rPr>
          <w:rFonts w:cs="Times New Roman"/>
          <w:color w:val="auto"/>
        </w:rPr>
        <w:t>10.1.2.4固体废物</w:t>
      </w:r>
    </w:p>
    <w:p w14:paraId="5A425420">
      <w:pPr>
        <w:ind w:firstLine="480"/>
        <w:rPr>
          <w:rFonts w:hint="eastAsia"/>
          <w:color w:val="auto"/>
        </w:rPr>
      </w:pPr>
      <w:r>
        <w:rPr>
          <w:rFonts w:hint="eastAsia"/>
          <w:color w:val="auto"/>
        </w:rPr>
        <w:t>本项目固废为一般固废和危险废物，其中一般固废包括废边角料</w:t>
      </w:r>
      <w:r>
        <w:rPr>
          <w:rFonts w:hint="eastAsia"/>
          <w:color w:val="auto"/>
          <w:lang w:eastAsia="zh-CN"/>
        </w:rPr>
        <w:t>、</w:t>
      </w:r>
      <w:r>
        <w:rPr>
          <w:rFonts w:hint="eastAsia"/>
          <w:color w:val="auto"/>
        </w:rPr>
        <w:t>废钢带</w:t>
      </w:r>
      <w:r>
        <w:rPr>
          <w:rFonts w:hint="eastAsia"/>
          <w:color w:val="auto"/>
          <w:lang w:eastAsia="zh-CN"/>
        </w:rPr>
        <w:t>、</w:t>
      </w:r>
      <w:r>
        <w:rPr>
          <w:rFonts w:hint="eastAsia"/>
          <w:color w:val="auto"/>
        </w:rPr>
        <w:t>污泥</w:t>
      </w:r>
      <w:r>
        <w:rPr>
          <w:rFonts w:hint="eastAsia"/>
          <w:color w:val="auto"/>
          <w:lang w:eastAsia="zh-CN"/>
        </w:rPr>
        <w:t>、</w:t>
      </w:r>
      <w:r>
        <w:rPr>
          <w:rFonts w:hint="eastAsia"/>
          <w:color w:val="auto"/>
        </w:rPr>
        <w:t>废过滤器</w:t>
      </w:r>
      <w:r>
        <w:rPr>
          <w:rFonts w:hint="eastAsia"/>
          <w:color w:val="auto"/>
          <w:lang w:eastAsia="zh-CN"/>
        </w:rPr>
        <w:t>、</w:t>
      </w:r>
      <w:r>
        <w:rPr>
          <w:rFonts w:hint="eastAsia"/>
          <w:color w:val="auto"/>
        </w:rPr>
        <w:t>废活性炭</w:t>
      </w:r>
      <w:r>
        <w:rPr>
          <w:rFonts w:hint="eastAsia"/>
          <w:color w:val="auto"/>
          <w:lang w:eastAsia="zh-CN"/>
        </w:rPr>
        <w:t>、</w:t>
      </w:r>
      <w:r>
        <w:rPr>
          <w:rFonts w:hint="eastAsia"/>
          <w:color w:val="auto"/>
        </w:rPr>
        <w:t>废RO膜；危险废物主要包括废包装物</w:t>
      </w:r>
      <w:r>
        <w:rPr>
          <w:rFonts w:hint="eastAsia"/>
          <w:color w:val="auto"/>
          <w:lang w:eastAsia="zh-CN"/>
        </w:rPr>
        <w:t>、</w:t>
      </w:r>
      <w:r>
        <w:rPr>
          <w:rFonts w:hint="eastAsia"/>
          <w:color w:val="auto"/>
        </w:rPr>
        <w:t>废拉伸油</w:t>
      </w:r>
      <w:r>
        <w:rPr>
          <w:rFonts w:hint="eastAsia"/>
          <w:color w:val="auto"/>
          <w:lang w:eastAsia="zh-CN"/>
        </w:rPr>
        <w:t>、</w:t>
      </w:r>
      <w:r>
        <w:rPr>
          <w:rFonts w:hint="eastAsia"/>
          <w:color w:val="auto"/>
        </w:rPr>
        <w:t>废切削液</w:t>
      </w:r>
      <w:r>
        <w:rPr>
          <w:rFonts w:hint="eastAsia"/>
          <w:color w:val="auto"/>
          <w:lang w:eastAsia="zh-CN"/>
        </w:rPr>
        <w:t>、</w:t>
      </w:r>
      <w:r>
        <w:rPr>
          <w:rFonts w:hint="eastAsia"/>
          <w:color w:val="auto"/>
        </w:rPr>
        <w:t>废油渣</w:t>
      </w:r>
      <w:r>
        <w:rPr>
          <w:rFonts w:hint="eastAsia"/>
          <w:color w:val="auto"/>
          <w:lang w:eastAsia="zh-CN"/>
        </w:rPr>
        <w:t>、</w:t>
      </w:r>
      <w:r>
        <w:rPr>
          <w:rFonts w:hint="eastAsia"/>
          <w:color w:val="auto"/>
        </w:rPr>
        <w:t>含酸废水预处理系统重金属污泥</w:t>
      </w:r>
      <w:r>
        <w:rPr>
          <w:rFonts w:hint="eastAsia"/>
          <w:color w:val="auto"/>
          <w:lang w:eastAsia="zh-CN"/>
        </w:rPr>
        <w:t>、</w:t>
      </w:r>
      <w:r>
        <w:rPr>
          <w:rFonts w:hint="eastAsia"/>
          <w:color w:val="auto"/>
        </w:rPr>
        <w:t>含镍废槽液</w:t>
      </w:r>
      <w:r>
        <w:rPr>
          <w:rFonts w:hint="eastAsia"/>
          <w:color w:val="auto"/>
          <w:lang w:eastAsia="zh-CN"/>
        </w:rPr>
        <w:t>、</w:t>
      </w:r>
      <w:r>
        <w:rPr>
          <w:rFonts w:hint="eastAsia"/>
          <w:color w:val="auto"/>
        </w:rPr>
        <w:t>含镍废槽渣</w:t>
      </w:r>
      <w:r>
        <w:rPr>
          <w:rFonts w:hint="eastAsia"/>
          <w:color w:val="auto"/>
          <w:lang w:eastAsia="zh-CN"/>
        </w:rPr>
        <w:t>、</w:t>
      </w:r>
      <w:r>
        <w:rPr>
          <w:rFonts w:hint="eastAsia"/>
          <w:color w:val="auto"/>
        </w:rPr>
        <w:t>含锌废槽液</w:t>
      </w:r>
      <w:r>
        <w:rPr>
          <w:rFonts w:hint="eastAsia"/>
          <w:color w:val="auto"/>
          <w:lang w:eastAsia="zh-CN"/>
        </w:rPr>
        <w:t>、</w:t>
      </w:r>
      <w:r>
        <w:rPr>
          <w:rFonts w:hint="eastAsia"/>
          <w:color w:val="auto"/>
        </w:rPr>
        <w:t>含锌废槽渣</w:t>
      </w:r>
      <w:r>
        <w:rPr>
          <w:rFonts w:hint="eastAsia"/>
          <w:color w:val="auto"/>
          <w:lang w:eastAsia="zh-CN"/>
        </w:rPr>
        <w:t>、</w:t>
      </w:r>
      <w:r>
        <w:rPr>
          <w:rFonts w:hint="eastAsia"/>
          <w:color w:val="auto"/>
        </w:rPr>
        <w:t>退锌线废槽液</w:t>
      </w:r>
      <w:r>
        <w:rPr>
          <w:rFonts w:hint="eastAsia"/>
          <w:color w:val="auto"/>
          <w:lang w:eastAsia="zh-CN"/>
        </w:rPr>
        <w:t>、</w:t>
      </w:r>
      <w:r>
        <w:rPr>
          <w:rFonts w:hint="eastAsia"/>
          <w:color w:val="auto"/>
        </w:rPr>
        <w:t>退镍线废槽液</w:t>
      </w:r>
      <w:r>
        <w:rPr>
          <w:rFonts w:hint="eastAsia"/>
          <w:color w:val="auto"/>
          <w:lang w:eastAsia="zh-CN"/>
        </w:rPr>
        <w:t>、</w:t>
      </w:r>
      <w:r>
        <w:rPr>
          <w:rFonts w:hint="eastAsia"/>
          <w:color w:val="auto"/>
        </w:rPr>
        <w:t>废滤芯</w:t>
      </w:r>
      <w:r>
        <w:rPr>
          <w:rFonts w:hint="eastAsia"/>
          <w:color w:val="auto"/>
          <w:lang w:eastAsia="zh-CN"/>
        </w:rPr>
        <w:t>、</w:t>
      </w:r>
      <w:r>
        <w:rPr>
          <w:rFonts w:hint="eastAsia"/>
          <w:color w:val="auto"/>
        </w:rPr>
        <w:t>废油渣</w:t>
      </w:r>
      <w:r>
        <w:rPr>
          <w:rFonts w:hint="eastAsia"/>
          <w:color w:val="auto"/>
          <w:lang w:eastAsia="zh-CN"/>
        </w:rPr>
        <w:t>、</w:t>
      </w:r>
      <w:r>
        <w:rPr>
          <w:rFonts w:hint="eastAsia"/>
          <w:color w:val="auto"/>
        </w:rPr>
        <w:t>含镍废活性炭</w:t>
      </w:r>
      <w:r>
        <w:rPr>
          <w:rFonts w:hint="eastAsia"/>
          <w:color w:val="auto"/>
          <w:lang w:eastAsia="zh-CN"/>
        </w:rPr>
        <w:t>、</w:t>
      </w:r>
      <w:r>
        <w:rPr>
          <w:rFonts w:hint="eastAsia"/>
          <w:color w:val="auto"/>
        </w:rPr>
        <w:t>含镍废过滤膜</w:t>
      </w:r>
      <w:r>
        <w:rPr>
          <w:rFonts w:hint="eastAsia"/>
          <w:color w:val="auto"/>
          <w:lang w:eastAsia="zh-CN"/>
        </w:rPr>
        <w:t>、</w:t>
      </w:r>
      <w:r>
        <w:rPr>
          <w:rFonts w:hint="eastAsia"/>
          <w:color w:val="auto"/>
        </w:rPr>
        <w:t>含镍污泥</w:t>
      </w:r>
      <w:r>
        <w:rPr>
          <w:rFonts w:hint="eastAsia"/>
          <w:color w:val="auto"/>
          <w:lang w:eastAsia="zh-CN"/>
        </w:rPr>
        <w:t>、</w:t>
      </w:r>
      <w:r>
        <w:rPr>
          <w:rFonts w:hint="eastAsia"/>
          <w:color w:val="auto"/>
        </w:rPr>
        <w:t>含铬废活性炭</w:t>
      </w:r>
      <w:r>
        <w:rPr>
          <w:rFonts w:hint="eastAsia"/>
          <w:color w:val="auto"/>
          <w:lang w:eastAsia="zh-CN"/>
        </w:rPr>
        <w:t>、</w:t>
      </w:r>
      <w:r>
        <w:rPr>
          <w:rFonts w:hint="eastAsia"/>
          <w:color w:val="auto"/>
        </w:rPr>
        <w:t>含铬废过滤膜</w:t>
      </w:r>
      <w:r>
        <w:rPr>
          <w:rFonts w:hint="eastAsia"/>
          <w:color w:val="auto"/>
          <w:lang w:eastAsia="zh-CN"/>
        </w:rPr>
        <w:t>、</w:t>
      </w:r>
      <w:r>
        <w:rPr>
          <w:rFonts w:hint="eastAsia"/>
          <w:color w:val="auto"/>
        </w:rPr>
        <w:t>含铬污泥</w:t>
      </w:r>
      <w:r>
        <w:rPr>
          <w:rFonts w:hint="eastAsia"/>
          <w:color w:val="auto"/>
          <w:lang w:eastAsia="zh-CN"/>
        </w:rPr>
        <w:t>、</w:t>
      </w:r>
      <w:r>
        <w:rPr>
          <w:rFonts w:hint="eastAsia"/>
          <w:color w:val="auto"/>
        </w:rPr>
        <w:t>蒸发浓液</w:t>
      </w:r>
      <w:r>
        <w:rPr>
          <w:rFonts w:hint="eastAsia"/>
          <w:color w:val="auto"/>
          <w:lang w:eastAsia="zh-CN"/>
        </w:rPr>
        <w:t>、</w:t>
      </w:r>
      <w:r>
        <w:rPr>
          <w:rFonts w:hint="eastAsia"/>
          <w:color w:val="auto"/>
        </w:rPr>
        <w:t>含锌废活性炭</w:t>
      </w:r>
      <w:r>
        <w:rPr>
          <w:rFonts w:hint="eastAsia"/>
          <w:color w:val="auto"/>
          <w:lang w:eastAsia="zh-CN"/>
        </w:rPr>
        <w:t>、</w:t>
      </w:r>
      <w:r>
        <w:rPr>
          <w:rFonts w:hint="eastAsia"/>
          <w:color w:val="auto"/>
        </w:rPr>
        <w:t>含锌废过滤膜</w:t>
      </w:r>
      <w:r>
        <w:rPr>
          <w:rFonts w:hint="eastAsia"/>
          <w:color w:val="auto"/>
          <w:lang w:eastAsia="zh-CN"/>
        </w:rPr>
        <w:t>、</w:t>
      </w:r>
      <w:r>
        <w:rPr>
          <w:rFonts w:hint="eastAsia"/>
          <w:color w:val="auto"/>
        </w:rPr>
        <w:t>含锌污泥</w:t>
      </w:r>
      <w:r>
        <w:rPr>
          <w:rFonts w:hint="eastAsia"/>
          <w:color w:val="auto"/>
          <w:lang w:eastAsia="zh-CN"/>
        </w:rPr>
        <w:t>、</w:t>
      </w:r>
      <w:r>
        <w:rPr>
          <w:rFonts w:hint="eastAsia"/>
          <w:color w:val="auto"/>
        </w:rPr>
        <w:t>含铬镍污泥</w:t>
      </w:r>
      <w:r>
        <w:rPr>
          <w:rFonts w:hint="eastAsia"/>
          <w:color w:val="auto"/>
          <w:lang w:eastAsia="zh-CN"/>
        </w:rPr>
        <w:t>、</w:t>
      </w:r>
      <w:r>
        <w:rPr>
          <w:rFonts w:hint="eastAsia"/>
          <w:color w:val="auto"/>
        </w:rPr>
        <w:t>含铬镍废活性炭</w:t>
      </w:r>
      <w:r>
        <w:rPr>
          <w:rFonts w:hint="eastAsia"/>
          <w:color w:val="auto"/>
          <w:lang w:eastAsia="zh-CN"/>
        </w:rPr>
        <w:t>、</w:t>
      </w:r>
      <w:r>
        <w:rPr>
          <w:rFonts w:hint="eastAsia"/>
          <w:color w:val="auto"/>
        </w:rPr>
        <w:t>含铬镍废过滤膜。</w:t>
      </w:r>
    </w:p>
    <w:p w14:paraId="2CCA4B12">
      <w:pPr>
        <w:ind w:firstLine="480"/>
        <w:rPr>
          <w:color w:val="auto"/>
        </w:rPr>
      </w:pPr>
      <w:r>
        <w:rPr>
          <w:rFonts w:hint="eastAsia"/>
          <w:color w:val="auto"/>
          <w:lang w:val="en-US" w:eastAsia="zh-CN"/>
        </w:rPr>
        <w:t>一般固废中的</w:t>
      </w:r>
      <w:r>
        <w:rPr>
          <w:rFonts w:hint="eastAsia"/>
          <w:color w:val="auto"/>
        </w:rPr>
        <w:t>废边角料</w:t>
      </w:r>
      <w:r>
        <w:rPr>
          <w:rFonts w:hint="eastAsia"/>
          <w:color w:val="auto"/>
          <w:lang w:eastAsia="zh-CN"/>
        </w:rPr>
        <w:t>、</w:t>
      </w:r>
      <w:r>
        <w:rPr>
          <w:rFonts w:hint="eastAsia"/>
          <w:color w:val="auto"/>
        </w:rPr>
        <w:t>废钢带</w:t>
      </w:r>
      <w:r>
        <w:rPr>
          <w:rFonts w:hint="eastAsia"/>
          <w:color w:val="auto"/>
          <w:lang w:eastAsia="zh-CN"/>
        </w:rPr>
        <w:t>、</w:t>
      </w:r>
      <w:r>
        <w:rPr>
          <w:rFonts w:hint="eastAsia"/>
          <w:color w:val="auto"/>
        </w:rPr>
        <w:t>污泥</w:t>
      </w:r>
      <w:r>
        <w:rPr>
          <w:rFonts w:hint="eastAsia"/>
          <w:color w:val="auto"/>
          <w:lang w:val="en-US" w:eastAsia="zh-CN"/>
        </w:rPr>
        <w:t>经收集后于一般固废暂存场暂存，定期外售，</w:t>
      </w:r>
      <w:r>
        <w:rPr>
          <w:rFonts w:hint="eastAsia"/>
          <w:color w:val="auto"/>
        </w:rPr>
        <w:t>废过滤器</w:t>
      </w:r>
      <w:r>
        <w:rPr>
          <w:rFonts w:hint="eastAsia"/>
          <w:color w:val="auto"/>
          <w:lang w:eastAsia="zh-CN"/>
        </w:rPr>
        <w:t>、</w:t>
      </w:r>
      <w:r>
        <w:rPr>
          <w:rFonts w:hint="eastAsia"/>
          <w:color w:val="auto"/>
        </w:rPr>
        <w:t>废活性炭</w:t>
      </w:r>
      <w:r>
        <w:rPr>
          <w:rFonts w:hint="eastAsia"/>
          <w:color w:val="auto"/>
          <w:lang w:eastAsia="zh-CN"/>
        </w:rPr>
        <w:t>、</w:t>
      </w:r>
      <w:r>
        <w:rPr>
          <w:rFonts w:hint="eastAsia"/>
          <w:color w:val="auto"/>
        </w:rPr>
        <w:t>废RO膜</w:t>
      </w:r>
      <w:r>
        <w:rPr>
          <w:rFonts w:hint="eastAsia"/>
          <w:color w:val="auto"/>
          <w:lang w:val="en-US" w:eastAsia="zh-CN"/>
        </w:rPr>
        <w:t>由生产厂家定期更换回收；危险废物经收集后于危险废物贮存库内暂存，定期委托有资质单位安全处置。</w:t>
      </w:r>
      <w:r>
        <w:rPr>
          <w:rFonts w:hint="eastAsia"/>
          <w:color w:val="auto"/>
        </w:rPr>
        <w:t>各固体废物全部得到妥善处理。</w:t>
      </w:r>
    </w:p>
    <w:p w14:paraId="317B835F">
      <w:pPr>
        <w:pStyle w:val="5"/>
        <w:ind w:firstLine="482"/>
        <w:rPr>
          <w:rFonts w:cs="Times New Roman"/>
          <w:color w:val="auto"/>
        </w:rPr>
      </w:pPr>
      <w:r>
        <w:rPr>
          <w:rFonts w:cs="Times New Roman"/>
          <w:color w:val="auto"/>
        </w:rPr>
        <w:t>10.1.2.5总量</w:t>
      </w:r>
    </w:p>
    <w:p w14:paraId="2CDA1447">
      <w:pPr>
        <w:ind w:firstLine="480"/>
        <w:jc w:val="both"/>
        <w:rPr>
          <w:color w:val="auto"/>
          <w:szCs w:val="24"/>
        </w:rPr>
      </w:pPr>
      <w:r>
        <w:rPr>
          <w:color w:val="auto"/>
          <w:szCs w:val="24"/>
        </w:rPr>
        <w:t>本项目建成后污染物实际</w:t>
      </w:r>
      <w:r>
        <w:rPr>
          <w:rFonts w:hint="eastAsia"/>
          <w:color w:val="auto"/>
          <w:szCs w:val="24"/>
        </w:rPr>
        <w:t>排放总量为：硫酸雾0.1224</w:t>
      </w:r>
      <w:r>
        <w:rPr>
          <w:color w:val="auto"/>
          <w:szCs w:val="24"/>
        </w:rPr>
        <w:t>t/a</w:t>
      </w:r>
      <w:r>
        <w:rPr>
          <w:rFonts w:hint="eastAsia"/>
          <w:color w:val="auto"/>
          <w:szCs w:val="24"/>
          <w:lang w:eastAsia="zh-CN"/>
        </w:rPr>
        <w:t>、</w:t>
      </w:r>
      <w:r>
        <w:rPr>
          <w:rFonts w:hint="eastAsia"/>
          <w:color w:val="auto"/>
          <w:szCs w:val="24"/>
        </w:rPr>
        <w:t>氯化氢0.0519</w:t>
      </w:r>
      <w:r>
        <w:rPr>
          <w:color w:val="auto"/>
          <w:szCs w:val="24"/>
        </w:rPr>
        <w:t>t/a</w:t>
      </w:r>
      <w:r>
        <w:rPr>
          <w:rFonts w:hint="eastAsia"/>
          <w:color w:val="auto"/>
          <w:szCs w:val="24"/>
          <w:lang w:eastAsia="zh-CN"/>
        </w:rPr>
        <w:t>、</w:t>
      </w:r>
      <w:r>
        <w:rPr>
          <w:rFonts w:hint="eastAsia"/>
          <w:color w:val="auto"/>
          <w:szCs w:val="24"/>
        </w:rPr>
        <w:t>氨0.0017</w:t>
      </w:r>
      <w:r>
        <w:rPr>
          <w:color w:val="auto"/>
          <w:szCs w:val="24"/>
        </w:rPr>
        <w:t>t/a</w:t>
      </w:r>
      <w:r>
        <w:rPr>
          <w:rFonts w:hint="eastAsia"/>
          <w:color w:val="auto"/>
          <w:szCs w:val="24"/>
          <w:lang w:eastAsia="zh-CN"/>
        </w:rPr>
        <w:t>、</w:t>
      </w:r>
      <w:r>
        <w:rPr>
          <w:rFonts w:hint="eastAsia"/>
          <w:color w:val="auto"/>
          <w:szCs w:val="24"/>
        </w:rPr>
        <w:t>硫化氢0.00005</w:t>
      </w:r>
      <w:r>
        <w:rPr>
          <w:color w:val="auto"/>
          <w:szCs w:val="24"/>
        </w:rPr>
        <w:t>t/a</w:t>
      </w:r>
      <w:r>
        <w:rPr>
          <w:rFonts w:hint="eastAsia"/>
          <w:color w:val="auto"/>
          <w:szCs w:val="24"/>
          <w:lang w:eastAsia="zh-CN"/>
        </w:rPr>
        <w:t>、</w:t>
      </w:r>
      <w:r>
        <w:rPr>
          <w:rFonts w:hint="eastAsia"/>
          <w:color w:val="auto"/>
          <w:szCs w:val="24"/>
        </w:rPr>
        <w:t>COD1.0440</w:t>
      </w:r>
      <w:r>
        <w:rPr>
          <w:color w:val="auto"/>
          <w:szCs w:val="24"/>
        </w:rPr>
        <w:t>t/a</w:t>
      </w:r>
      <w:r>
        <w:rPr>
          <w:rFonts w:hint="eastAsia"/>
          <w:color w:val="auto"/>
          <w:szCs w:val="24"/>
        </w:rPr>
        <w:t>、NH</w:t>
      </w:r>
      <w:r>
        <w:rPr>
          <w:rFonts w:hint="eastAsia"/>
          <w:color w:val="auto"/>
          <w:szCs w:val="24"/>
          <w:vertAlign w:val="subscript"/>
        </w:rPr>
        <w:t>3</w:t>
      </w:r>
      <w:r>
        <w:rPr>
          <w:rFonts w:hint="eastAsia"/>
          <w:color w:val="auto"/>
          <w:szCs w:val="24"/>
        </w:rPr>
        <w:t>-N0.0522</w:t>
      </w:r>
      <w:r>
        <w:rPr>
          <w:color w:val="auto"/>
          <w:szCs w:val="24"/>
        </w:rPr>
        <w:t>t/a</w:t>
      </w:r>
      <w:r>
        <w:rPr>
          <w:rFonts w:hint="eastAsia"/>
          <w:color w:val="auto"/>
          <w:szCs w:val="24"/>
        </w:rPr>
        <w:t>、TP0.0104</w:t>
      </w:r>
      <w:r>
        <w:rPr>
          <w:color w:val="auto"/>
          <w:szCs w:val="24"/>
        </w:rPr>
        <w:t>t/a</w:t>
      </w:r>
      <w:r>
        <w:rPr>
          <w:rFonts w:hint="eastAsia"/>
          <w:color w:val="auto"/>
          <w:szCs w:val="24"/>
        </w:rPr>
        <w:t>、TN0.3915</w:t>
      </w:r>
      <w:r>
        <w:rPr>
          <w:color w:val="auto"/>
          <w:szCs w:val="24"/>
        </w:rPr>
        <w:t>t/a</w:t>
      </w:r>
      <w:r>
        <w:rPr>
          <w:rFonts w:hint="eastAsia"/>
          <w:color w:val="auto"/>
          <w:szCs w:val="24"/>
        </w:rPr>
        <w:t>，</w:t>
      </w:r>
      <w:r>
        <w:rPr>
          <w:color w:val="auto"/>
          <w:szCs w:val="24"/>
        </w:rPr>
        <w:t>能够满足</w:t>
      </w:r>
      <w:r>
        <w:rPr>
          <w:rFonts w:hint="eastAsia"/>
          <w:color w:val="auto"/>
          <w:szCs w:val="24"/>
          <w:lang w:val="en-US" w:eastAsia="zh-CN"/>
        </w:rPr>
        <w:t>一期项目</w:t>
      </w:r>
      <w:r>
        <w:rPr>
          <w:rFonts w:hint="eastAsia"/>
          <w:color w:val="auto"/>
          <w:szCs w:val="24"/>
        </w:rPr>
        <w:t>环评批复：硫酸雾0.1482</w:t>
      </w:r>
      <w:r>
        <w:rPr>
          <w:color w:val="auto"/>
          <w:szCs w:val="24"/>
        </w:rPr>
        <w:t>t/a</w:t>
      </w:r>
      <w:r>
        <w:rPr>
          <w:rFonts w:hint="eastAsia"/>
          <w:color w:val="auto"/>
          <w:szCs w:val="24"/>
          <w:lang w:eastAsia="zh-CN"/>
        </w:rPr>
        <w:t>、</w:t>
      </w:r>
      <w:r>
        <w:rPr>
          <w:rFonts w:hint="eastAsia"/>
          <w:color w:val="auto"/>
          <w:szCs w:val="24"/>
        </w:rPr>
        <w:t>氯化氢0.0922</w:t>
      </w:r>
      <w:r>
        <w:rPr>
          <w:color w:val="auto"/>
          <w:szCs w:val="24"/>
        </w:rPr>
        <w:t>t/a</w:t>
      </w:r>
      <w:r>
        <w:rPr>
          <w:rFonts w:hint="eastAsia"/>
          <w:color w:val="auto"/>
          <w:szCs w:val="24"/>
          <w:lang w:eastAsia="zh-CN"/>
        </w:rPr>
        <w:t>、</w:t>
      </w:r>
      <w:r>
        <w:rPr>
          <w:rFonts w:hint="eastAsia"/>
          <w:color w:val="auto"/>
          <w:szCs w:val="24"/>
        </w:rPr>
        <w:t>0.0049氨</w:t>
      </w:r>
      <w:r>
        <w:rPr>
          <w:color w:val="auto"/>
          <w:szCs w:val="24"/>
        </w:rPr>
        <w:t>t/a</w:t>
      </w:r>
      <w:r>
        <w:rPr>
          <w:rFonts w:hint="eastAsia"/>
          <w:color w:val="auto"/>
          <w:szCs w:val="24"/>
          <w:lang w:eastAsia="zh-CN"/>
        </w:rPr>
        <w:t>、</w:t>
      </w:r>
      <w:r>
        <w:rPr>
          <w:rFonts w:hint="eastAsia"/>
          <w:color w:val="auto"/>
          <w:szCs w:val="24"/>
        </w:rPr>
        <w:t>硫化氢0.00005</w:t>
      </w:r>
      <w:r>
        <w:rPr>
          <w:color w:val="auto"/>
          <w:szCs w:val="24"/>
        </w:rPr>
        <w:t>t/a</w:t>
      </w:r>
      <w:r>
        <w:rPr>
          <w:rFonts w:hint="eastAsia"/>
          <w:color w:val="auto"/>
          <w:szCs w:val="24"/>
          <w:lang w:eastAsia="zh-CN"/>
        </w:rPr>
        <w:t>、</w:t>
      </w:r>
      <w:r>
        <w:rPr>
          <w:rFonts w:hint="eastAsia"/>
          <w:color w:val="auto"/>
          <w:szCs w:val="24"/>
        </w:rPr>
        <w:t>COD1.9475</w:t>
      </w:r>
      <w:r>
        <w:rPr>
          <w:color w:val="auto"/>
          <w:szCs w:val="24"/>
        </w:rPr>
        <w:t>t/a</w:t>
      </w:r>
      <w:r>
        <w:rPr>
          <w:rFonts w:hint="eastAsia"/>
          <w:color w:val="auto"/>
          <w:szCs w:val="24"/>
        </w:rPr>
        <w:t>、NH</w:t>
      </w:r>
      <w:r>
        <w:rPr>
          <w:rFonts w:hint="eastAsia"/>
          <w:color w:val="auto"/>
          <w:szCs w:val="24"/>
          <w:vertAlign w:val="subscript"/>
        </w:rPr>
        <w:t>3</w:t>
      </w:r>
      <w:r>
        <w:rPr>
          <w:rFonts w:hint="eastAsia"/>
          <w:color w:val="auto"/>
          <w:szCs w:val="24"/>
        </w:rPr>
        <w:t>-N0.0974</w:t>
      </w:r>
      <w:r>
        <w:rPr>
          <w:color w:val="auto"/>
          <w:szCs w:val="24"/>
        </w:rPr>
        <w:t>t/a</w:t>
      </w:r>
      <w:r>
        <w:rPr>
          <w:rFonts w:hint="eastAsia"/>
          <w:color w:val="auto"/>
          <w:szCs w:val="24"/>
        </w:rPr>
        <w:t>、TP0.0195</w:t>
      </w:r>
      <w:r>
        <w:rPr>
          <w:color w:val="auto"/>
          <w:szCs w:val="24"/>
        </w:rPr>
        <w:t>t/a</w:t>
      </w:r>
      <w:r>
        <w:rPr>
          <w:rFonts w:hint="eastAsia"/>
          <w:color w:val="auto"/>
          <w:szCs w:val="24"/>
        </w:rPr>
        <w:t>、TN0.7303</w:t>
      </w:r>
      <w:r>
        <w:rPr>
          <w:color w:val="auto"/>
          <w:szCs w:val="24"/>
        </w:rPr>
        <w:t>t/a</w:t>
      </w:r>
      <w:r>
        <w:rPr>
          <w:rFonts w:hint="eastAsia"/>
          <w:color w:val="auto"/>
          <w:szCs w:val="24"/>
        </w:rPr>
        <w:t>的总量要求。</w:t>
      </w:r>
    </w:p>
    <w:p w14:paraId="3D81E2EA">
      <w:pPr>
        <w:pStyle w:val="3"/>
        <w:spacing w:before="163" w:after="163"/>
        <w:ind w:firstLine="643"/>
        <w:rPr>
          <w:rFonts w:cs="Times New Roman"/>
          <w:color w:val="auto"/>
        </w:rPr>
      </w:pPr>
      <w:bookmarkStart w:id="60" w:name="_Toc501703567"/>
      <w:bookmarkStart w:id="61" w:name="_Toc172712311"/>
      <w:bookmarkStart w:id="62" w:name="_Toc512940295"/>
      <w:r>
        <w:rPr>
          <w:rFonts w:cs="Times New Roman"/>
          <w:color w:val="auto"/>
        </w:rPr>
        <w:t>10.2 环境管理检查结论</w:t>
      </w:r>
      <w:bookmarkEnd w:id="60"/>
      <w:bookmarkEnd w:id="61"/>
      <w:bookmarkEnd w:id="62"/>
    </w:p>
    <w:p w14:paraId="3AEAFFD4">
      <w:pPr>
        <w:ind w:firstLine="480"/>
        <w:jc w:val="both"/>
        <w:rPr>
          <w:rFonts w:cs="Times New Roman"/>
          <w:color w:val="auto"/>
        </w:rPr>
      </w:pPr>
      <w:r>
        <w:rPr>
          <w:rFonts w:cs="Times New Roman"/>
          <w:color w:val="auto"/>
        </w:rPr>
        <w:t>项目执行了环保“三同时”制度；按照有关规定建立了相关环境保护管理制度；由专人负责公司环境管理工作。</w:t>
      </w:r>
    </w:p>
    <w:p w14:paraId="6465332B">
      <w:pPr>
        <w:pStyle w:val="3"/>
        <w:spacing w:before="163" w:after="163"/>
        <w:ind w:firstLine="643"/>
        <w:rPr>
          <w:rFonts w:cs="Times New Roman"/>
          <w:color w:val="auto"/>
        </w:rPr>
      </w:pPr>
      <w:bookmarkStart w:id="63" w:name="_Toc172712312"/>
      <w:bookmarkStart w:id="64" w:name="_Toc512940296"/>
      <w:r>
        <w:rPr>
          <w:rFonts w:cs="Times New Roman"/>
          <w:color w:val="auto"/>
        </w:rPr>
        <w:t>10.3 总结论</w:t>
      </w:r>
      <w:bookmarkEnd w:id="63"/>
      <w:bookmarkEnd w:id="64"/>
    </w:p>
    <w:p w14:paraId="1968D995">
      <w:pPr>
        <w:ind w:firstLine="480"/>
        <w:jc w:val="both"/>
        <w:rPr>
          <w:rFonts w:cs="Times New Roman"/>
          <w:color w:val="auto"/>
        </w:rPr>
      </w:pPr>
      <w:r>
        <w:rPr>
          <w:rFonts w:cs="Times New Roman"/>
          <w:color w:val="auto"/>
        </w:rPr>
        <w:t>新乡市万宝科技有限公司</w:t>
      </w:r>
      <w:r>
        <w:rPr>
          <w:rFonts w:hint="eastAsia" w:cs="Times New Roman"/>
          <w:bCs/>
          <w:color w:val="auto"/>
          <w:lang w:eastAsia="zh-CN"/>
        </w:rPr>
        <w:t>年产2万吨五金件、2万吨汽车配件、800吨钢带、5亿只电池钢壳项目</w:t>
      </w:r>
      <w:r>
        <w:rPr>
          <w:rFonts w:hint="eastAsia" w:cs="Times New Roman"/>
          <w:bCs/>
          <w:color w:val="auto"/>
        </w:rPr>
        <w:t>（一期）</w:t>
      </w:r>
      <w:r>
        <w:rPr>
          <w:rFonts w:cs="Times New Roman"/>
          <w:color w:val="auto"/>
        </w:rPr>
        <w:t>各项污染物经治理后能够实现达标排放，固废处置措施可行，对周围环境影响较小，满足验收要求。</w:t>
      </w:r>
    </w:p>
    <w:p w14:paraId="666FDE40">
      <w:pPr>
        <w:ind w:firstLine="480"/>
        <w:rPr>
          <w:rFonts w:cs="Times New Roman"/>
          <w:color w:val="FF0000"/>
        </w:rPr>
      </w:pPr>
    </w:p>
    <w:p w14:paraId="6CAE3522">
      <w:pPr>
        <w:pStyle w:val="2"/>
        <w:ind w:firstLine="643"/>
        <w:rPr>
          <w:rFonts w:cs="Times New Roman"/>
          <w:color w:val="auto"/>
        </w:rPr>
      </w:pPr>
      <w:bookmarkStart w:id="65" w:name="_Toc172712313"/>
      <w:r>
        <w:rPr>
          <w:rFonts w:cs="Times New Roman"/>
          <w:color w:val="auto"/>
        </w:rPr>
        <w:t>11 建设项目竣工环境保护“三同时”验收登记表</w:t>
      </w:r>
      <w:bookmarkEnd w:id="65"/>
    </w:p>
    <w:p w14:paraId="72394B2A">
      <w:pPr>
        <w:ind w:firstLine="480"/>
        <w:rPr>
          <w:rFonts w:cs="Times New Roman"/>
          <w:color w:val="auto"/>
        </w:rPr>
        <w:sectPr>
          <w:pgSz w:w="11906" w:h="16838"/>
          <w:pgMar w:top="1417" w:right="1417" w:bottom="1417" w:left="1417" w:header="851" w:footer="992" w:gutter="0"/>
          <w:cols w:space="425" w:num="1"/>
          <w:docGrid w:type="lines" w:linePitch="326" w:charSpace="0"/>
        </w:sectPr>
      </w:pPr>
      <w:r>
        <w:rPr>
          <w:rFonts w:cs="Times New Roman"/>
          <w:color w:val="auto"/>
        </w:rPr>
        <w:t>本项目环境保护“三同时”竣工验收登记表见下表。</w:t>
      </w:r>
    </w:p>
    <w:p w14:paraId="1B05872A">
      <w:pPr>
        <w:pStyle w:val="43"/>
        <w:spacing w:before="120" w:beforeLines="50" w:after="120" w:afterLines="50"/>
        <w:rPr>
          <w:rFonts w:cs="Times New Roman"/>
          <w:color w:val="auto"/>
        </w:rPr>
      </w:pPr>
      <w:r>
        <w:rPr>
          <w:rFonts w:cs="Times New Roman"/>
          <w:color w:val="auto"/>
        </w:rPr>
        <w:t>建设项目工程竣工环境保护“三同时”验收登记表</w:t>
      </w:r>
    </w:p>
    <w:p w14:paraId="3E1F284E">
      <w:pPr>
        <w:pStyle w:val="39"/>
        <w:jc w:val="left"/>
        <w:rPr>
          <w:color w:val="auto"/>
          <w:sz w:val="18"/>
          <w:szCs w:val="18"/>
        </w:rPr>
      </w:pPr>
      <w:r>
        <w:rPr>
          <w:color w:val="auto"/>
          <w:sz w:val="18"/>
          <w:szCs w:val="18"/>
        </w:rPr>
        <w:t>填表单位（盖章）：新乡市万宝科技有限公司                                            填表人（签字）：                                                  项目经办人（签字）：</w:t>
      </w:r>
    </w:p>
    <w:tbl>
      <w:tblPr>
        <w:tblStyle w:val="26"/>
        <w:tblW w:w="1480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01"/>
        <w:gridCol w:w="1385"/>
        <w:gridCol w:w="698"/>
        <w:gridCol w:w="850"/>
        <w:gridCol w:w="894"/>
        <w:gridCol w:w="807"/>
        <w:gridCol w:w="327"/>
        <w:gridCol w:w="665"/>
        <w:gridCol w:w="611"/>
        <w:gridCol w:w="992"/>
        <w:gridCol w:w="949"/>
        <w:gridCol w:w="894"/>
        <w:gridCol w:w="1232"/>
        <w:gridCol w:w="894"/>
        <w:gridCol w:w="851"/>
        <w:gridCol w:w="567"/>
        <w:gridCol w:w="425"/>
        <w:gridCol w:w="284"/>
        <w:gridCol w:w="283"/>
        <w:gridCol w:w="600"/>
      </w:tblGrid>
      <w:tr w14:paraId="6A66F3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49" w:hRule="atLeast"/>
          <w:jc w:val="center"/>
        </w:trPr>
        <w:tc>
          <w:tcPr>
            <w:tcW w:w="601" w:type="dxa"/>
            <w:vMerge w:val="restart"/>
            <w:textDirection w:val="tbRlV"/>
            <w:vAlign w:val="center"/>
          </w:tcPr>
          <w:p w14:paraId="73BFCCBE">
            <w:pPr>
              <w:pStyle w:val="53"/>
              <w:adjustRightInd w:val="0"/>
              <w:snapToGrid w:val="0"/>
              <w:contextualSpacing w:val="0"/>
              <w:rPr>
                <w:rFonts w:eastAsiaTheme="minorEastAsia"/>
                <w:b/>
                <w:bCs/>
                <w:color w:val="auto"/>
                <w:sz w:val="15"/>
                <w:szCs w:val="15"/>
              </w:rPr>
            </w:pPr>
            <w:r>
              <w:rPr>
                <w:rFonts w:eastAsiaTheme="minorEastAsia"/>
                <w:b/>
                <w:bCs/>
                <w:color w:val="auto"/>
                <w:sz w:val="15"/>
                <w:szCs w:val="15"/>
              </w:rPr>
              <w:t>建设项目</w:t>
            </w:r>
          </w:p>
        </w:tc>
        <w:tc>
          <w:tcPr>
            <w:tcW w:w="2083" w:type="dxa"/>
            <w:gridSpan w:val="2"/>
            <w:vAlign w:val="center"/>
          </w:tcPr>
          <w:p w14:paraId="201E906F">
            <w:pPr>
              <w:pStyle w:val="53"/>
              <w:adjustRightInd w:val="0"/>
              <w:snapToGrid w:val="0"/>
              <w:contextualSpacing w:val="0"/>
              <w:rPr>
                <w:rFonts w:eastAsiaTheme="minorEastAsia"/>
                <w:b/>
                <w:bCs/>
                <w:color w:val="auto"/>
                <w:sz w:val="15"/>
                <w:szCs w:val="15"/>
              </w:rPr>
            </w:pPr>
            <w:r>
              <w:rPr>
                <w:rFonts w:eastAsiaTheme="minorEastAsia"/>
                <w:b/>
                <w:bCs/>
                <w:color w:val="auto"/>
                <w:sz w:val="15"/>
                <w:szCs w:val="15"/>
              </w:rPr>
              <w:t>项目名称</w:t>
            </w:r>
          </w:p>
        </w:tc>
        <w:tc>
          <w:tcPr>
            <w:tcW w:w="4154" w:type="dxa"/>
            <w:gridSpan w:val="6"/>
            <w:vAlign w:val="center"/>
          </w:tcPr>
          <w:p w14:paraId="4F97AC18">
            <w:pPr>
              <w:pStyle w:val="53"/>
              <w:adjustRightInd w:val="0"/>
              <w:snapToGrid w:val="0"/>
              <w:contextualSpacing w:val="0"/>
              <w:rPr>
                <w:rFonts w:eastAsiaTheme="minorEastAsia"/>
                <w:color w:val="auto"/>
                <w:sz w:val="15"/>
                <w:szCs w:val="15"/>
              </w:rPr>
            </w:pPr>
            <w:r>
              <w:rPr>
                <w:rFonts w:hint="eastAsia" w:eastAsiaTheme="minorEastAsia"/>
                <w:color w:val="auto"/>
                <w:kern w:val="2"/>
                <w:sz w:val="15"/>
                <w:szCs w:val="15"/>
                <w:lang w:eastAsia="zh-CN"/>
              </w:rPr>
              <w:t>年产2万吨五金件、2万吨汽车配件、800吨钢带、5亿只电池钢壳项目</w:t>
            </w:r>
            <w:r>
              <w:rPr>
                <w:rFonts w:eastAsiaTheme="minorEastAsia"/>
                <w:color w:val="auto"/>
                <w:kern w:val="2"/>
                <w:sz w:val="15"/>
                <w:szCs w:val="15"/>
              </w:rPr>
              <w:t>（一期）</w:t>
            </w:r>
          </w:p>
        </w:tc>
        <w:tc>
          <w:tcPr>
            <w:tcW w:w="1941" w:type="dxa"/>
            <w:gridSpan w:val="2"/>
            <w:vAlign w:val="center"/>
          </w:tcPr>
          <w:p w14:paraId="08B1F049">
            <w:pPr>
              <w:pStyle w:val="53"/>
              <w:adjustRightInd w:val="0"/>
              <w:snapToGrid w:val="0"/>
              <w:contextualSpacing w:val="0"/>
              <w:rPr>
                <w:rFonts w:eastAsiaTheme="minorEastAsia"/>
                <w:b/>
                <w:bCs/>
                <w:color w:val="auto"/>
                <w:sz w:val="15"/>
                <w:szCs w:val="15"/>
              </w:rPr>
            </w:pPr>
            <w:r>
              <w:rPr>
                <w:rFonts w:eastAsiaTheme="minorEastAsia"/>
                <w:b/>
                <w:bCs/>
                <w:color w:val="auto"/>
                <w:sz w:val="15"/>
                <w:szCs w:val="15"/>
              </w:rPr>
              <w:t>项目代码</w:t>
            </w:r>
          </w:p>
        </w:tc>
        <w:tc>
          <w:tcPr>
            <w:tcW w:w="2126" w:type="dxa"/>
            <w:gridSpan w:val="2"/>
            <w:tcMar>
              <w:top w:w="0" w:type="dxa"/>
              <w:left w:w="57" w:type="dxa"/>
              <w:bottom w:w="0" w:type="dxa"/>
              <w:right w:w="57" w:type="dxa"/>
            </w:tcMar>
            <w:vAlign w:val="center"/>
          </w:tcPr>
          <w:p w14:paraId="2D5BD2A6">
            <w:pPr>
              <w:pStyle w:val="53"/>
              <w:adjustRightInd w:val="0"/>
              <w:snapToGrid w:val="0"/>
              <w:contextualSpacing w:val="0"/>
              <w:rPr>
                <w:rFonts w:eastAsiaTheme="minorEastAsia"/>
                <w:color w:val="auto"/>
                <w:sz w:val="15"/>
                <w:szCs w:val="15"/>
              </w:rPr>
            </w:pPr>
            <w:r>
              <w:rPr>
                <w:rFonts w:eastAsiaTheme="minorEastAsia"/>
                <w:color w:val="auto"/>
                <w:sz w:val="15"/>
                <w:szCs w:val="15"/>
              </w:rPr>
              <w:t>2404-410704-04-05-487851</w:t>
            </w:r>
          </w:p>
        </w:tc>
        <w:tc>
          <w:tcPr>
            <w:tcW w:w="1745" w:type="dxa"/>
            <w:gridSpan w:val="2"/>
            <w:tcMar>
              <w:top w:w="0" w:type="dxa"/>
              <w:left w:w="57" w:type="dxa"/>
              <w:bottom w:w="0" w:type="dxa"/>
              <w:right w:w="57" w:type="dxa"/>
            </w:tcMar>
            <w:vAlign w:val="center"/>
          </w:tcPr>
          <w:p w14:paraId="36ACF1A3">
            <w:pPr>
              <w:pStyle w:val="53"/>
              <w:adjustRightInd w:val="0"/>
              <w:snapToGrid w:val="0"/>
              <w:contextualSpacing w:val="0"/>
              <w:rPr>
                <w:rFonts w:eastAsiaTheme="minorEastAsia"/>
                <w:b/>
                <w:bCs/>
                <w:color w:val="auto"/>
                <w:sz w:val="15"/>
                <w:szCs w:val="15"/>
              </w:rPr>
            </w:pPr>
            <w:r>
              <w:rPr>
                <w:rFonts w:eastAsiaTheme="minorEastAsia"/>
                <w:b/>
                <w:bCs/>
                <w:color w:val="auto"/>
                <w:sz w:val="15"/>
                <w:szCs w:val="15"/>
              </w:rPr>
              <w:t>建设地点</w:t>
            </w:r>
          </w:p>
        </w:tc>
        <w:tc>
          <w:tcPr>
            <w:tcW w:w="2159" w:type="dxa"/>
            <w:gridSpan w:val="5"/>
            <w:tcMar>
              <w:top w:w="0" w:type="dxa"/>
              <w:left w:w="57" w:type="dxa"/>
              <w:bottom w:w="0" w:type="dxa"/>
              <w:right w:w="57" w:type="dxa"/>
            </w:tcMar>
            <w:vAlign w:val="center"/>
          </w:tcPr>
          <w:p w14:paraId="23BED10F">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新乡市凤泉区大块镇陈堡村丰源路5号</w:t>
            </w:r>
          </w:p>
        </w:tc>
      </w:tr>
      <w:tr w14:paraId="76C7F6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49" w:hRule="atLeast"/>
          <w:jc w:val="center"/>
        </w:trPr>
        <w:tc>
          <w:tcPr>
            <w:tcW w:w="601" w:type="dxa"/>
            <w:vMerge w:val="continue"/>
            <w:vAlign w:val="center"/>
          </w:tcPr>
          <w:p w14:paraId="0AA8D63E">
            <w:pPr>
              <w:pStyle w:val="53"/>
              <w:adjustRightInd w:val="0"/>
              <w:snapToGrid w:val="0"/>
              <w:contextualSpacing w:val="0"/>
              <w:rPr>
                <w:rFonts w:eastAsiaTheme="minorEastAsia"/>
                <w:b/>
                <w:bCs/>
                <w:color w:val="auto"/>
                <w:sz w:val="15"/>
                <w:szCs w:val="15"/>
              </w:rPr>
            </w:pPr>
          </w:p>
        </w:tc>
        <w:tc>
          <w:tcPr>
            <w:tcW w:w="2083" w:type="dxa"/>
            <w:gridSpan w:val="2"/>
            <w:tcMar>
              <w:top w:w="0" w:type="dxa"/>
              <w:left w:w="57" w:type="dxa"/>
              <w:bottom w:w="0" w:type="dxa"/>
              <w:right w:w="57" w:type="dxa"/>
            </w:tcMar>
            <w:vAlign w:val="center"/>
          </w:tcPr>
          <w:p w14:paraId="0A2FC7C4">
            <w:pPr>
              <w:pStyle w:val="53"/>
              <w:adjustRightInd w:val="0"/>
              <w:snapToGrid w:val="0"/>
              <w:contextualSpacing w:val="0"/>
              <w:rPr>
                <w:rFonts w:eastAsiaTheme="minorEastAsia"/>
                <w:b/>
                <w:bCs/>
                <w:color w:val="auto"/>
                <w:sz w:val="15"/>
                <w:szCs w:val="15"/>
              </w:rPr>
            </w:pPr>
            <w:r>
              <w:rPr>
                <w:rFonts w:eastAsiaTheme="minorEastAsia"/>
                <w:b/>
                <w:bCs/>
                <w:color w:val="auto"/>
                <w:sz w:val="15"/>
                <w:szCs w:val="15"/>
              </w:rPr>
              <w:t>行业类别（分类管理名录）</w:t>
            </w:r>
          </w:p>
        </w:tc>
        <w:tc>
          <w:tcPr>
            <w:tcW w:w="4154" w:type="dxa"/>
            <w:gridSpan w:val="6"/>
            <w:tcMar>
              <w:top w:w="0" w:type="dxa"/>
              <w:left w:w="57" w:type="dxa"/>
              <w:bottom w:w="0" w:type="dxa"/>
              <w:right w:w="57" w:type="dxa"/>
            </w:tcMar>
            <w:vAlign w:val="center"/>
          </w:tcPr>
          <w:p w14:paraId="2A34AA5E">
            <w:pPr>
              <w:pStyle w:val="53"/>
              <w:adjustRightInd w:val="0"/>
              <w:snapToGrid w:val="0"/>
              <w:contextualSpacing w:val="0"/>
              <w:rPr>
                <w:rFonts w:hint="default" w:eastAsiaTheme="minorEastAsia"/>
                <w:color w:val="auto"/>
                <w:kern w:val="2"/>
                <w:sz w:val="15"/>
                <w:szCs w:val="15"/>
                <w:lang w:val="en-US" w:eastAsia="zh-CN"/>
              </w:rPr>
            </w:pPr>
            <w:r>
              <w:rPr>
                <w:rFonts w:hint="eastAsia" w:eastAsiaTheme="minorEastAsia"/>
                <w:color w:val="auto"/>
                <w:kern w:val="2"/>
                <w:sz w:val="15"/>
                <w:szCs w:val="15"/>
                <w:lang w:val="en-US" w:eastAsia="zh-CN"/>
              </w:rPr>
              <w:t>C3670汽车零部件及配件制造</w:t>
            </w:r>
          </w:p>
          <w:p w14:paraId="660F695E">
            <w:pPr>
              <w:pStyle w:val="53"/>
              <w:adjustRightInd w:val="0"/>
              <w:snapToGrid w:val="0"/>
              <w:contextualSpacing w:val="0"/>
              <w:rPr>
                <w:rFonts w:eastAsiaTheme="minorEastAsia"/>
                <w:color w:val="auto"/>
                <w:sz w:val="15"/>
                <w:szCs w:val="15"/>
              </w:rPr>
            </w:pPr>
            <w:r>
              <w:rPr>
                <w:rFonts w:hint="eastAsia" w:eastAsiaTheme="minorEastAsia"/>
                <w:color w:val="auto"/>
                <w:kern w:val="2"/>
                <w:sz w:val="15"/>
                <w:szCs w:val="15"/>
              </w:rPr>
              <w:t>C3849其他电池制造</w:t>
            </w:r>
          </w:p>
        </w:tc>
        <w:tc>
          <w:tcPr>
            <w:tcW w:w="1941" w:type="dxa"/>
            <w:gridSpan w:val="2"/>
            <w:tcMar>
              <w:top w:w="0" w:type="dxa"/>
              <w:left w:w="57" w:type="dxa"/>
              <w:bottom w:w="0" w:type="dxa"/>
              <w:right w:w="57" w:type="dxa"/>
            </w:tcMar>
            <w:vAlign w:val="center"/>
          </w:tcPr>
          <w:p w14:paraId="784A19B4">
            <w:pPr>
              <w:pStyle w:val="53"/>
              <w:adjustRightInd w:val="0"/>
              <w:snapToGrid w:val="0"/>
              <w:contextualSpacing w:val="0"/>
              <w:rPr>
                <w:rFonts w:eastAsiaTheme="minorEastAsia"/>
                <w:b/>
                <w:bCs/>
                <w:color w:val="auto"/>
                <w:sz w:val="15"/>
                <w:szCs w:val="15"/>
              </w:rPr>
            </w:pPr>
            <w:r>
              <w:rPr>
                <w:rFonts w:eastAsiaTheme="minorEastAsia"/>
                <w:b/>
                <w:bCs/>
                <w:color w:val="auto"/>
                <w:sz w:val="15"/>
                <w:szCs w:val="15"/>
              </w:rPr>
              <w:t>建设性质</w:t>
            </w:r>
          </w:p>
        </w:tc>
        <w:tc>
          <w:tcPr>
            <w:tcW w:w="3871" w:type="dxa"/>
            <w:gridSpan w:val="4"/>
            <w:tcMar>
              <w:top w:w="0" w:type="dxa"/>
              <w:left w:w="57" w:type="dxa"/>
              <w:bottom w:w="0" w:type="dxa"/>
              <w:right w:w="57" w:type="dxa"/>
            </w:tcMar>
            <w:vAlign w:val="center"/>
          </w:tcPr>
          <w:p w14:paraId="4DC9176F">
            <w:pPr>
              <w:pStyle w:val="53"/>
              <w:adjustRightInd w:val="0"/>
              <w:snapToGrid w:val="0"/>
              <w:contextualSpacing w:val="0"/>
              <w:rPr>
                <w:rFonts w:eastAsiaTheme="minorEastAsia"/>
                <w:b/>
                <w:bCs/>
                <w:color w:val="auto"/>
                <w:sz w:val="15"/>
                <w:szCs w:val="15"/>
              </w:rPr>
            </w:pPr>
            <w:r>
              <w:rPr>
                <w:rFonts w:eastAsiaTheme="minorEastAsia"/>
                <w:b/>
                <w:bCs/>
                <w:color w:val="auto"/>
                <w:sz w:val="15"/>
                <w:szCs w:val="15"/>
              </w:rPr>
              <w:t>□新建（迁建）  √改扩建   □技术改造</w:t>
            </w:r>
          </w:p>
        </w:tc>
        <w:tc>
          <w:tcPr>
            <w:tcW w:w="992" w:type="dxa"/>
            <w:gridSpan w:val="2"/>
            <w:tcMar>
              <w:top w:w="0" w:type="dxa"/>
              <w:left w:w="57" w:type="dxa"/>
              <w:bottom w:w="0" w:type="dxa"/>
              <w:right w:w="57" w:type="dxa"/>
            </w:tcMar>
            <w:vAlign w:val="center"/>
          </w:tcPr>
          <w:p w14:paraId="3694DFB5">
            <w:pPr>
              <w:pStyle w:val="53"/>
              <w:adjustRightInd w:val="0"/>
              <w:snapToGrid w:val="0"/>
              <w:contextualSpacing w:val="0"/>
              <w:rPr>
                <w:rFonts w:eastAsiaTheme="minorEastAsia"/>
                <w:b/>
                <w:bCs/>
                <w:color w:val="auto"/>
                <w:sz w:val="15"/>
                <w:szCs w:val="15"/>
              </w:rPr>
            </w:pPr>
            <w:r>
              <w:rPr>
                <w:rFonts w:eastAsiaTheme="minorEastAsia"/>
                <w:b/>
                <w:bCs/>
                <w:color w:val="auto"/>
                <w:sz w:val="15"/>
                <w:szCs w:val="15"/>
              </w:rPr>
              <w:t>项目厂区中心经度/纬度</w:t>
            </w:r>
          </w:p>
        </w:tc>
        <w:tc>
          <w:tcPr>
            <w:tcW w:w="1167" w:type="dxa"/>
            <w:gridSpan w:val="3"/>
            <w:tcMar>
              <w:top w:w="0" w:type="dxa"/>
              <w:left w:w="57" w:type="dxa"/>
              <w:bottom w:w="0" w:type="dxa"/>
              <w:right w:w="57" w:type="dxa"/>
            </w:tcMar>
            <w:vAlign w:val="center"/>
          </w:tcPr>
          <w:p w14:paraId="0856E931">
            <w:pPr>
              <w:pStyle w:val="53"/>
              <w:adjustRightInd w:val="0"/>
              <w:snapToGrid w:val="0"/>
              <w:contextualSpacing w:val="0"/>
              <w:rPr>
                <w:rFonts w:eastAsiaTheme="minorEastAsia"/>
                <w:color w:val="auto"/>
                <w:sz w:val="15"/>
                <w:szCs w:val="15"/>
              </w:rPr>
            </w:pPr>
            <w:r>
              <w:rPr>
                <w:rFonts w:eastAsiaTheme="minorEastAsia"/>
                <w:color w:val="auto"/>
                <w:sz w:val="15"/>
                <w:szCs w:val="15"/>
              </w:rPr>
              <w:t>E113.706812°</w:t>
            </w:r>
          </w:p>
          <w:p w14:paraId="093CA664">
            <w:pPr>
              <w:pStyle w:val="53"/>
              <w:adjustRightInd w:val="0"/>
              <w:snapToGrid w:val="0"/>
              <w:contextualSpacing w:val="0"/>
              <w:rPr>
                <w:rFonts w:eastAsiaTheme="minorEastAsia"/>
                <w:b/>
                <w:bCs/>
                <w:color w:val="auto"/>
                <w:sz w:val="15"/>
                <w:szCs w:val="15"/>
              </w:rPr>
            </w:pPr>
            <w:r>
              <w:rPr>
                <w:rFonts w:eastAsiaTheme="minorEastAsia"/>
                <w:color w:val="auto"/>
                <w:sz w:val="15"/>
                <w:szCs w:val="15"/>
              </w:rPr>
              <w:t>N35.264096°</w:t>
            </w:r>
          </w:p>
        </w:tc>
      </w:tr>
      <w:tr w14:paraId="05238D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49" w:hRule="atLeast"/>
          <w:jc w:val="center"/>
        </w:trPr>
        <w:tc>
          <w:tcPr>
            <w:tcW w:w="601" w:type="dxa"/>
            <w:vMerge w:val="continue"/>
            <w:vAlign w:val="center"/>
          </w:tcPr>
          <w:p w14:paraId="7049C60D">
            <w:pPr>
              <w:pStyle w:val="53"/>
              <w:adjustRightInd w:val="0"/>
              <w:snapToGrid w:val="0"/>
              <w:contextualSpacing w:val="0"/>
              <w:rPr>
                <w:rFonts w:eastAsiaTheme="minorEastAsia"/>
                <w:b/>
                <w:bCs/>
                <w:color w:val="auto"/>
                <w:sz w:val="15"/>
                <w:szCs w:val="15"/>
              </w:rPr>
            </w:pPr>
          </w:p>
        </w:tc>
        <w:tc>
          <w:tcPr>
            <w:tcW w:w="2083" w:type="dxa"/>
            <w:gridSpan w:val="2"/>
            <w:vAlign w:val="center"/>
          </w:tcPr>
          <w:p w14:paraId="593FCA4C">
            <w:pPr>
              <w:pStyle w:val="53"/>
              <w:adjustRightInd w:val="0"/>
              <w:snapToGrid w:val="0"/>
              <w:contextualSpacing w:val="0"/>
              <w:rPr>
                <w:rFonts w:eastAsiaTheme="minorEastAsia"/>
                <w:b/>
                <w:bCs/>
                <w:color w:val="auto"/>
                <w:sz w:val="15"/>
                <w:szCs w:val="15"/>
              </w:rPr>
            </w:pPr>
            <w:r>
              <w:rPr>
                <w:rFonts w:eastAsiaTheme="minorEastAsia"/>
                <w:b/>
                <w:bCs/>
                <w:color w:val="auto"/>
                <w:sz w:val="15"/>
                <w:szCs w:val="15"/>
              </w:rPr>
              <w:t>设计生产能力</w:t>
            </w:r>
          </w:p>
        </w:tc>
        <w:tc>
          <w:tcPr>
            <w:tcW w:w="4154" w:type="dxa"/>
            <w:gridSpan w:val="6"/>
            <w:vAlign w:val="center"/>
          </w:tcPr>
          <w:p w14:paraId="7F409CE6">
            <w:pPr>
              <w:pStyle w:val="53"/>
              <w:adjustRightInd w:val="0"/>
              <w:snapToGrid w:val="0"/>
              <w:contextualSpacing w:val="0"/>
              <w:rPr>
                <w:rFonts w:hint="eastAsia" w:eastAsiaTheme="minorEastAsia"/>
                <w:color w:val="auto"/>
                <w:sz w:val="15"/>
                <w:szCs w:val="15"/>
                <w:lang w:eastAsia="zh-CN"/>
              </w:rPr>
            </w:pPr>
            <w:r>
              <w:rPr>
                <w:rFonts w:hint="eastAsia" w:eastAsiaTheme="minorEastAsia"/>
                <w:color w:val="auto"/>
                <w:kern w:val="2"/>
                <w:sz w:val="15"/>
                <w:szCs w:val="15"/>
                <w:lang w:eastAsia="zh-CN"/>
              </w:rPr>
              <w:t>年产2万吨五金件、2万吨汽车配件、800吨钢带、5亿只电池钢壳</w:t>
            </w:r>
          </w:p>
        </w:tc>
        <w:tc>
          <w:tcPr>
            <w:tcW w:w="1941" w:type="dxa"/>
            <w:gridSpan w:val="2"/>
            <w:vAlign w:val="center"/>
          </w:tcPr>
          <w:p w14:paraId="6CD014D8">
            <w:pPr>
              <w:pStyle w:val="53"/>
              <w:adjustRightInd w:val="0"/>
              <w:snapToGrid w:val="0"/>
              <w:contextualSpacing w:val="0"/>
              <w:rPr>
                <w:rFonts w:eastAsiaTheme="minorEastAsia"/>
                <w:b/>
                <w:bCs/>
                <w:color w:val="auto"/>
                <w:sz w:val="15"/>
                <w:szCs w:val="15"/>
              </w:rPr>
            </w:pPr>
            <w:r>
              <w:rPr>
                <w:rFonts w:eastAsiaTheme="minorEastAsia"/>
                <w:b/>
                <w:bCs/>
                <w:color w:val="auto"/>
                <w:sz w:val="15"/>
                <w:szCs w:val="15"/>
              </w:rPr>
              <w:t>实际生产能力</w:t>
            </w:r>
          </w:p>
        </w:tc>
        <w:tc>
          <w:tcPr>
            <w:tcW w:w="2126" w:type="dxa"/>
            <w:gridSpan w:val="2"/>
            <w:tcMar>
              <w:top w:w="0" w:type="dxa"/>
              <w:left w:w="57" w:type="dxa"/>
              <w:bottom w:w="0" w:type="dxa"/>
              <w:right w:w="57" w:type="dxa"/>
            </w:tcMar>
            <w:vAlign w:val="center"/>
          </w:tcPr>
          <w:p w14:paraId="05BC94E3">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一期：年产</w:t>
            </w:r>
            <w:r>
              <w:rPr>
                <w:rFonts w:hint="eastAsia" w:eastAsiaTheme="minorEastAsia"/>
                <w:color w:val="auto"/>
                <w:kern w:val="2"/>
                <w:sz w:val="15"/>
                <w:szCs w:val="15"/>
                <w:lang w:val="en-US" w:eastAsia="zh-CN"/>
              </w:rPr>
              <w:t>8000</w:t>
            </w:r>
            <w:r>
              <w:rPr>
                <w:rFonts w:eastAsiaTheme="minorEastAsia"/>
                <w:color w:val="auto"/>
                <w:kern w:val="2"/>
                <w:sz w:val="15"/>
                <w:szCs w:val="15"/>
              </w:rPr>
              <w:t>吨汽车配件、</w:t>
            </w:r>
            <w:r>
              <w:rPr>
                <w:rFonts w:hint="eastAsia" w:eastAsiaTheme="minorEastAsia"/>
                <w:color w:val="auto"/>
                <w:kern w:val="2"/>
                <w:sz w:val="15"/>
                <w:szCs w:val="15"/>
                <w:lang w:val="en-US" w:eastAsia="zh-CN"/>
              </w:rPr>
              <w:t>58</w:t>
            </w:r>
            <w:r>
              <w:rPr>
                <w:rFonts w:eastAsiaTheme="minorEastAsia"/>
                <w:color w:val="auto"/>
                <w:kern w:val="2"/>
                <w:sz w:val="15"/>
                <w:szCs w:val="15"/>
              </w:rPr>
              <w:t>0吨钢带</w:t>
            </w:r>
          </w:p>
        </w:tc>
        <w:tc>
          <w:tcPr>
            <w:tcW w:w="1745" w:type="dxa"/>
            <w:gridSpan w:val="2"/>
            <w:tcMar>
              <w:top w:w="0" w:type="dxa"/>
              <w:left w:w="57" w:type="dxa"/>
              <w:bottom w:w="0" w:type="dxa"/>
              <w:right w:w="57" w:type="dxa"/>
            </w:tcMar>
            <w:vAlign w:val="center"/>
          </w:tcPr>
          <w:p w14:paraId="2EA88A07">
            <w:pPr>
              <w:pStyle w:val="53"/>
              <w:adjustRightInd w:val="0"/>
              <w:snapToGrid w:val="0"/>
              <w:contextualSpacing w:val="0"/>
              <w:rPr>
                <w:rFonts w:eastAsiaTheme="minorEastAsia"/>
                <w:b/>
                <w:bCs/>
                <w:color w:val="auto"/>
                <w:sz w:val="15"/>
                <w:szCs w:val="15"/>
              </w:rPr>
            </w:pPr>
            <w:r>
              <w:rPr>
                <w:rFonts w:eastAsiaTheme="minorEastAsia"/>
                <w:b/>
                <w:bCs/>
                <w:color w:val="auto"/>
                <w:sz w:val="15"/>
                <w:szCs w:val="15"/>
              </w:rPr>
              <w:t>环评单位</w:t>
            </w:r>
          </w:p>
        </w:tc>
        <w:tc>
          <w:tcPr>
            <w:tcW w:w="2159" w:type="dxa"/>
            <w:gridSpan w:val="5"/>
            <w:tcMar>
              <w:top w:w="0" w:type="dxa"/>
              <w:left w:w="57" w:type="dxa"/>
              <w:bottom w:w="0" w:type="dxa"/>
              <w:right w:w="57" w:type="dxa"/>
            </w:tcMar>
            <w:vAlign w:val="center"/>
          </w:tcPr>
          <w:p w14:paraId="12C405EA">
            <w:pPr>
              <w:pStyle w:val="53"/>
              <w:adjustRightInd w:val="0"/>
              <w:snapToGrid w:val="0"/>
              <w:contextualSpacing w:val="0"/>
              <w:rPr>
                <w:rFonts w:hint="eastAsia" w:eastAsiaTheme="minorEastAsia"/>
                <w:color w:val="auto"/>
                <w:sz w:val="15"/>
                <w:szCs w:val="15"/>
                <w:lang w:eastAsia="zh-CN"/>
              </w:rPr>
            </w:pPr>
            <w:r>
              <w:rPr>
                <w:rFonts w:hint="eastAsia" w:eastAsiaTheme="minorEastAsia"/>
                <w:color w:val="auto"/>
                <w:kern w:val="2"/>
                <w:sz w:val="15"/>
                <w:szCs w:val="15"/>
                <w:lang w:eastAsia="zh-CN"/>
              </w:rPr>
              <w:t>新乡市世青环境技术有限公司</w:t>
            </w:r>
          </w:p>
        </w:tc>
      </w:tr>
      <w:tr w14:paraId="7EFFC3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49" w:hRule="atLeast"/>
          <w:jc w:val="center"/>
        </w:trPr>
        <w:tc>
          <w:tcPr>
            <w:tcW w:w="601" w:type="dxa"/>
            <w:vMerge w:val="continue"/>
            <w:vAlign w:val="center"/>
          </w:tcPr>
          <w:p w14:paraId="3FF9D56D">
            <w:pPr>
              <w:pStyle w:val="53"/>
              <w:adjustRightInd w:val="0"/>
              <w:snapToGrid w:val="0"/>
              <w:contextualSpacing w:val="0"/>
              <w:rPr>
                <w:rFonts w:eastAsiaTheme="minorEastAsia"/>
                <w:b/>
                <w:bCs/>
                <w:color w:val="auto"/>
                <w:sz w:val="15"/>
                <w:szCs w:val="15"/>
              </w:rPr>
            </w:pPr>
          </w:p>
        </w:tc>
        <w:tc>
          <w:tcPr>
            <w:tcW w:w="2083" w:type="dxa"/>
            <w:gridSpan w:val="2"/>
            <w:vAlign w:val="center"/>
          </w:tcPr>
          <w:p w14:paraId="6E7D9ED2">
            <w:pPr>
              <w:pStyle w:val="53"/>
              <w:adjustRightInd w:val="0"/>
              <w:snapToGrid w:val="0"/>
              <w:contextualSpacing w:val="0"/>
              <w:rPr>
                <w:rFonts w:eastAsiaTheme="minorEastAsia"/>
                <w:b/>
                <w:bCs/>
                <w:color w:val="auto"/>
                <w:sz w:val="15"/>
                <w:szCs w:val="15"/>
              </w:rPr>
            </w:pPr>
            <w:r>
              <w:rPr>
                <w:rFonts w:eastAsiaTheme="minorEastAsia"/>
                <w:b/>
                <w:bCs/>
                <w:color w:val="auto"/>
                <w:sz w:val="15"/>
                <w:szCs w:val="15"/>
              </w:rPr>
              <w:t>环评文件审批机关</w:t>
            </w:r>
          </w:p>
        </w:tc>
        <w:tc>
          <w:tcPr>
            <w:tcW w:w="4154" w:type="dxa"/>
            <w:gridSpan w:val="6"/>
            <w:vAlign w:val="center"/>
          </w:tcPr>
          <w:p w14:paraId="6442D187">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新乡市生态环境局</w:t>
            </w:r>
          </w:p>
        </w:tc>
        <w:tc>
          <w:tcPr>
            <w:tcW w:w="1941" w:type="dxa"/>
            <w:gridSpan w:val="2"/>
            <w:vAlign w:val="center"/>
          </w:tcPr>
          <w:p w14:paraId="726D0FF7">
            <w:pPr>
              <w:pStyle w:val="53"/>
              <w:adjustRightInd w:val="0"/>
              <w:snapToGrid w:val="0"/>
              <w:contextualSpacing w:val="0"/>
              <w:rPr>
                <w:rFonts w:eastAsiaTheme="minorEastAsia"/>
                <w:b/>
                <w:bCs/>
                <w:color w:val="auto"/>
                <w:sz w:val="15"/>
                <w:szCs w:val="15"/>
              </w:rPr>
            </w:pPr>
            <w:r>
              <w:rPr>
                <w:rFonts w:eastAsiaTheme="minorEastAsia"/>
                <w:b/>
                <w:bCs/>
                <w:color w:val="auto"/>
                <w:sz w:val="15"/>
                <w:szCs w:val="15"/>
              </w:rPr>
              <w:t>审批文号</w:t>
            </w:r>
          </w:p>
        </w:tc>
        <w:tc>
          <w:tcPr>
            <w:tcW w:w="2126" w:type="dxa"/>
            <w:gridSpan w:val="2"/>
            <w:tcMar>
              <w:top w:w="0" w:type="dxa"/>
              <w:left w:w="57" w:type="dxa"/>
              <w:bottom w:w="0" w:type="dxa"/>
              <w:right w:w="57" w:type="dxa"/>
            </w:tcMar>
            <w:vAlign w:val="center"/>
          </w:tcPr>
          <w:p w14:paraId="5D0A7475">
            <w:pPr>
              <w:pStyle w:val="53"/>
              <w:adjustRightInd w:val="0"/>
              <w:snapToGrid w:val="0"/>
              <w:contextualSpacing w:val="0"/>
              <w:rPr>
                <w:rFonts w:hint="eastAsia" w:eastAsiaTheme="minorEastAsia"/>
                <w:color w:val="auto"/>
                <w:sz w:val="15"/>
                <w:szCs w:val="15"/>
                <w:lang w:eastAsia="zh-CN"/>
              </w:rPr>
            </w:pPr>
            <w:r>
              <w:rPr>
                <w:rFonts w:hint="eastAsia" w:eastAsiaTheme="minorEastAsia"/>
                <w:color w:val="auto"/>
                <w:kern w:val="2"/>
                <w:sz w:val="15"/>
                <w:szCs w:val="15"/>
                <w:lang w:eastAsia="zh-CN"/>
              </w:rPr>
              <w:t>新环书审[2025]6号</w:t>
            </w:r>
          </w:p>
        </w:tc>
        <w:tc>
          <w:tcPr>
            <w:tcW w:w="1745" w:type="dxa"/>
            <w:gridSpan w:val="2"/>
            <w:tcMar>
              <w:top w:w="0" w:type="dxa"/>
              <w:left w:w="57" w:type="dxa"/>
              <w:bottom w:w="0" w:type="dxa"/>
              <w:right w:w="57" w:type="dxa"/>
            </w:tcMar>
            <w:vAlign w:val="center"/>
          </w:tcPr>
          <w:p w14:paraId="7522A4E9">
            <w:pPr>
              <w:pStyle w:val="53"/>
              <w:adjustRightInd w:val="0"/>
              <w:snapToGrid w:val="0"/>
              <w:contextualSpacing w:val="0"/>
              <w:rPr>
                <w:rFonts w:eastAsiaTheme="minorEastAsia"/>
                <w:b/>
                <w:bCs/>
                <w:color w:val="auto"/>
                <w:sz w:val="15"/>
                <w:szCs w:val="15"/>
              </w:rPr>
            </w:pPr>
            <w:r>
              <w:rPr>
                <w:rFonts w:eastAsiaTheme="minorEastAsia"/>
                <w:b/>
                <w:bCs/>
                <w:color w:val="auto"/>
                <w:sz w:val="15"/>
                <w:szCs w:val="15"/>
              </w:rPr>
              <w:t>环评文件类型</w:t>
            </w:r>
          </w:p>
        </w:tc>
        <w:tc>
          <w:tcPr>
            <w:tcW w:w="2159" w:type="dxa"/>
            <w:gridSpan w:val="5"/>
            <w:tcMar>
              <w:top w:w="0" w:type="dxa"/>
              <w:left w:w="57" w:type="dxa"/>
              <w:bottom w:w="0" w:type="dxa"/>
              <w:right w:w="57" w:type="dxa"/>
            </w:tcMar>
            <w:vAlign w:val="center"/>
          </w:tcPr>
          <w:p w14:paraId="4D1D7AE0">
            <w:pPr>
              <w:pStyle w:val="53"/>
              <w:adjustRightInd w:val="0"/>
              <w:snapToGrid w:val="0"/>
              <w:contextualSpacing w:val="0"/>
              <w:rPr>
                <w:rFonts w:eastAsiaTheme="minorEastAsia"/>
                <w:color w:val="FF0000"/>
                <w:sz w:val="15"/>
                <w:szCs w:val="15"/>
              </w:rPr>
            </w:pPr>
            <w:r>
              <w:rPr>
                <w:rFonts w:eastAsiaTheme="minorEastAsia"/>
                <w:color w:val="auto"/>
                <w:sz w:val="15"/>
                <w:szCs w:val="15"/>
              </w:rPr>
              <w:t>报告书</w:t>
            </w:r>
          </w:p>
        </w:tc>
      </w:tr>
      <w:tr w14:paraId="7A4B13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49" w:hRule="atLeast"/>
          <w:jc w:val="center"/>
        </w:trPr>
        <w:tc>
          <w:tcPr>
            <w:tcW w:w="601" w:type="dxa"/>
            <w:vMerge w:val="continue"/>
            <w:vAlign w:val="center"/>
          </w:tcPr>
          <w:p w14:paraId="34FC2DCA">
            <w:pPr>
              <w:pStyle w:val="53"/>
              <w:adjustRightInd w:val="0"/>
              <w:snapToGrid w:val="0"/>
              <w:contextualSpacing w:val="0"/>
              <w:rPr>
                <w:rFonts w:eastAsiaTheme="minorEastAsia"/>
                <w:b/>
                <w:bCs/>
                <w:color w:val="FF0000"/>
                <w:sz w:val="15"/>
                <w:szCs w:val="15"/>
              </w:rPr>
            </w:pPr>
          </w:p>
        </w:tc>
        <w:tc>
          <w:tcPr>
            <w:tcW w:w="2083" w:type="dxa"/>
            <w:gridSpan w:val="2"/>
            <w:vAlign w:val="center"/>
          </w:tcPr>
          <w:p w14:paraId="49757706">
            <w:pPr>
              <w:pStyle w:val="53"/>
              <w:adjustRightInd w:val="0"/>
              <w:snapToGrid w:val="0"/>
              <w:contextualSpacing w:val="0"/>
              <w:rPr>
                <w:rFonts w:eastAsiaTheme="minorEastAsia"/>
                <w:b/>
                <w:bCs/>
                <w:color w:val="auto"/>
                <w:sz w:val="15"/>
                <w:szCs w:val="15"/>
              </w:rPr>
            </w:pPr>
            <w:r>
              <w:rPr>
                <w:rFonts w:eastAsiaTheme="minorEastAsia"/>
                <w:b/>
                <w:bCs/>
                <w:color w:val="auto"/>
                <w:sz w:val="15"/>
                <w:szCs w:val="15"/>
              </w:rPr>
              <w:t>开工日期</w:t>
            </w:r>
          </w:p>
        </w:tc>
        <w:tc>
          <w:tcPr>
            <w:tcW w:w="4154" w:type="dxa"/>
            <w:gridSpan w:val="6"/>
            <w:vAlign w:val="center"/>
          </w:tcPr>
          <w:p w14:paraId="3A63F673">
            <w:pPr>
              <w:pStyle w:val="53"/>
              <w:adjustRightInd w:val="0"/>
              <w:snapToGrid w:val="0"/>
              <w:contextualSpacing w:val="0"/>
              <w:rPr>
                <w:rFonts w:hint="default" w:eastAsiaTheme="minorEastAsia"/>
                <w:color w:val="auto"/>
                <w:sz w:val="15"/>
                <w:szCs w:val="15"/>
                <w:lang w:val="en-US" w:eastAsia="zh-CN"/>
              </w:rPr>
            </w:pPr>
            <w:r>
              <w:rPr>
                <w:rFonts w:hint="eastAsia" w:eastAsiaTheme="minorEastAsia"/>
                <w:color w:val="auto"/>
                <w:sz w:val="15"/>
                <w:szCs w:val="15"/>
              </w:rPr>
              <w:t>202</w:t>
            </w:r>
            <w:r>
              <w:rPr>
                <w:rFonts w:hint="eastAsia" w:eastAsiaTheme="minorEastAsia"/>
                <w:color w:val="auto"/>
                <w:sz w:val="15"/>
                <w:szCs w:val="15"/>
                <w:lang w:val="en-US" w:eastAsia="zh-CN"/>
              </w:rPr>
              <w:t>5.9.1</w:t>
            </w:r>
          </w:p>
        </w:tc>
        <w:tc>
          <w:tcPr>
            <w:tcW w:w="1941" w:type="dxa"/>
            <w:gridSpan w:val="2"/>
            <w:vAlign w:val="center"/>
          </w:tcPr>
          <w:p w14:paraId="27F26861">
            <w:pPr>
              <w:pStyle w:val="53"/>
              <w:adjustRightInd w:val="0"/>
              <w:snapToGrid w:val="0"/>
              <w:contextualSpacing w:val="0"/>
              <w:rPr>
                <w:rFonts w:eastAsiaTheme="minorEastAsia"/>
                <w:b/>
                <w:bCs/>
                <w:color w:val="auto"/>
                <w:sz w:val="15"/>
                <w:szCs w:val="15"/>
              </w:rPr>
            </w:pPr>
            <w:r>
              <w:rPr>
                <w:rFonts w:eastAsiaTheme="minorEastAsia"/>
                <w:b/>
                <w:bCs/>
                <w:color w:val="auto"/>
                <w:sz w:val="15"/>
                <w:szCs w:val="15"/>
              </w:rPr>
              <w:t>竣工日期</w:t>
            </w:r>
          </w:p>
        </w:tc>
        <w:tc>
          <w:tcPr>
            <w:tcW w:w="2126" w:type="dxa"/>
            <w:gridSpan w:val="2"/>
            <w:tcMar>
              <w:top w:w="0" w:type="dxa"/>
              <w:left w:w="57" w:type="dxa"/>
              <w:bottom w:w="0" w:type="dxa"/>
              <w:right w:w="57" w:type="dxa"/>
            </w:tcMar>
            <w:vAlign w:val="center"/>
          </w:tcPr>
          <w:p w14:paraId="199B1979">
            <w:pPr>
              <w:pStyle w:val="53"/>
              <w:adjustRightInd w:val="0"/>
              <w:snapToGrid w:val="0"/>
              <w:contextualSpacing w:val="0"/>
              <w:rPr>
                <w:rFonts w:hint="default" w:eastAsiaTheme="minorEastAsia"/>
                <w:color w:val="auto"/>
                <w:sz w:val="15"/>
                <w:szCs w:val="15"/>
                <w:lang w:val="en-US" w:eastAsia="zh-CN"/>
              </w:rPr>
            </w:pPr>
            <w:r>
              <w:rPr>
                <w:rFonts w:eastAsiaTheme="minorEastAsia"/>
                <w:color w:val="auto"/>
                <w:sz w:val="15"/>
                <w:szCs w:val="15"/>
              </w:rPr>
              <w:t>一期202</w:t>
            </w:r>
            <w:r>
              <w:rPr>
                <w:rFonts w:hint="eastAsia" w:eastAsiaTheme="minorEastAsia"/>
                <w:color w:val="auto"/>
                <w:sz w:val="15"/>
                <w:szCs w:val="15"/>
                <w:lang w:val="en-US" w:eastAsia="zh-CN"/>
              </w:rPr>
              <w:t>6.2.28</w:t>
            </w:r>
          </w:p>
        </w:tc>
        <w:tc>
          <w:tcPr>
            <w:tcW w:w="1745" w:type="dxa"/>
            <w:gridSpan w:val="2"/>
            <w:tcMar>
              <w:top w:w="0" w:type="dxa"/>
              <w:left w:w="57" w:type="dxa"/>
              <w:bottom w:w="0" w:type="dxa"/>
              <w:right w:w="57" w:type="dxa"/>
            </w:tcMar>
            <w:vAlign w:val="center"/>
          </w:tcPr>
          <w:p w14:paraId="6E2CEE54">
            <w:pPr>
              <w:pStyle w:val="53"/>
              <w:adjustRightInd w:val="0"/>
              <w:snapToGrid w:val="0"/>
              <w:contextualSpacing w:val="0"/>
              <w:rPr>
                <w:rFonts w:eastAsiaTheme="minorEastAsia"/>
                <w:b/>
                <w:bCs/>
                <w:color w:val="auto"/>
                <w:sz w:val="15"/>
                <w:szCs w:val="15"/>
              </w:rPr>
            </w:pPr>
            <w:r>
              <w:rPr>
                <w:rFonts w:eastAsiaTheme="minorEastAsia"/>
                <w:b/>
                <w:bCs/>
                <w:color w:val="auto"/>
                <w:sz w:val="15"/>
                <w:szCs w:val="15"/>
              </w:rPr>
              <w:t>排污许可证申领时间</w:t>
            </w:r>
          </w:p>
        </w:tc>
        <w:tc>
          <w:tcPr>
            <w:tcW w:w="2159" w:type="dxa"/>
            <w:gridSpan w:val="5"/>
            <w:tcMar>
              <w:top w:w="0" w:type="dxa"/>
              <w:left w:w="57" w:type="dxa"/>
              <w:bottom w:w="0" w:type="dxa"/>
              <w:right w:w="57" w:type="dxa"/>
            </w:tcMar>
            <w:vAlign w:val="center"/>
          </w:tcPr>
          <w:p w14:paraId="4CBFEF45">
            <w:pPr>
              <w:pStyle w:val="53"/>
              <w:adjustRightInd w:val="0"/>
              <w:snapToGrid w:val="0"/>
              <w:contextualSpacing w:val="0"/>
              <w:rPr>
                <w:rFonts w:eastAsiaTheme="minorEastAsia"/>
                <w:color w:val="auto"/>
                <w:sz w:val="15"/>
                <w:szCs w:val="15"/>
              </w:rPr>
            </w:pPr>
            <w:r>
              <w:rPr>
                <w:rFonts w:hint="eastAsia" w:eastAsiaTheme="minorEastAsia"/>
                <w:color w:val="auto"/>
                <w:sz w:val="15"/>
                <w:szCs w:val="15"/>
              </w:rPr>
              <w:t>202</w:t>
            </w:r>
            <w:r>
              <w:rPr>
                <w:rFonts w:hint="eastAsia" w:eastAsiaTheme="minorEastAsia"/>
                <w:color w:val="auto"/>
                <w:sz w:val="15"/>
                <w:szCs w:val="15"/>
                <w:lang w:val="en-US" w:eastAsia="zh-CN"/>
              </w:rPr>
              <w:t>6.3.13</w:t>
            </w:r>
            <w:r>
              <w:rPr>
                <w:rFonts w:eastAsiaTheme="minorEastAsia"/>
                <w:color w:val="auto"/>
                <w:sz w:val="15"/>
                <w:szCs w:val="15"/>
              </w:rPr>
              <w:t>重新申请</w:t>
            </w:r>
          </w:p>
        </w:tc>
      </w:tr>
      <w:tr w14:paraId="57D02F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49" w:hRule="atLeast"/>
          <w:jc w:val="center"/>
        </w:trPr>
        <w:tc>
          <w:tcPr>
            <w:tcW w:w="601" w:type="dxa"/>
            <w:vMerge w:val="continue"/>
            <w:vAlign w:val="center"/>
          </w:tcPr>
          <w:p w14:paraId="2D37920E">
            <w:pPr>
              <w:pStyle w:val="53"/>
              <w:adjustRightInd w:val="0"/>
              <w:snapToGrid w:val="0"/>
              <w:contextualSpacing w:val="0"/>
              <w:rPr>
                <w:rFonts w:eastAsiaTheme="minorEastAsia"/>
                <w:b/>
                <w:bCs/>
                <w:color w:val="FF0000"/>
                <w:sz w:val="15"/>
                <w:szCs w:val="15"/>
              </w:rPr>
            </w:pPr>
          </w:p>
        </w:tc>
        <w:tc>
          <w:tcPr>
            <w:tcW w:w="2083" w:type="dxa"/>
            <w:gridSpan w:val="2"/>
            <w:vAlign w:val="center"/>
          </w:tcPr>
          <w:p w14:paraId="47EAEF70">
            <w:pPr>
              <w:pStyle w:val="53"/>
              <w:adjustRightInd w:val="0"/>
              <w:snapToGrid w:val="0"/>
              <w:contextualSpacing w:val="0"/>
              <w:rPr>
                <w:rFonts w:eastAsiaTheme="minorEastAsia"/>
                <w:b/>
                <w:bCs/>
                <w:color w:val="auto"/>
                <w:sz w:val="15"/>
                <w:szCs w:val="15"/>
              </w:rPr>
            </w:pPr>
            <w:r>
              <w:rPr>
                <w:rFonts w:eastAsiaTheme="minorEastAsia"/>
                <w:b/>
                <w:bCs/>
                <w:color w:val="auto"/>
                <w:sz w:val="15"/>
                <w:szCs w:val="15"/>
              </w:rPr>
              <w:t>环保设施设计单位</w:t>
            </w:r>
          </w:p>
        </w:tc>
        <w:tc>
          <w:tcPr>
            <w:tcW w:w="4154" w:type="dxa"/>
            <w:gridSpan w:val="6"/>
            <w:vAlign w:val="center"/>
          </w:tcPr>
          <w:p w14:paraId="1AF0790D">
            <w:pPr>
              <w:pStyle w:val="53"/>
              <w:adjustRightInd w:val="0"/>
              <w:snapToGrid w:val="0"/>
              <w:contextualSpacing w:val="0"/>
              <w:rPr>
                <w:rFonts w:eastAsiaTheme="minorEastAsia"/>
                <w:color w:val="auto"/>
                <w:sz w:val="15"/>
                <w:szCs w:val="15"/>
              </w:rPr>
            </w:pPr>
            <w:r>
              <w:rPr>
                <w:rFonts w:hint="eastAsia" w:eastAsiaTheme="minorEastAsia"/>
                <w:color w:val="auto"/>
                <w:kern w:val="2"/>
                <w:sz w:val="15"/>
                <w:szCs w:val="15"/>
              </w:rPr>
              <w:t>河南蓝天环境工程有限公司</w:t>
            </w:r>
          </w:p>
        </w:tc>
        <w:tc>
          <w:tcPr>
            <w:tcW w:w="1941" w:type="dxa"/>
            <w:gridSpan w:val="2"/>
            <w:vAlign w:val="center"/>
          </w:tcPr>
          <w:p w14:paraId="1660A7A4">
            <w:pPr>
              <w:pStyle w:val="53"/>
              <w:adjustRightInd w:val="0"/>
              <w:snapToGrid w:val="0"/>
              <w:contextualSpacing w:val="0"/>
              <w:rPr>
                <w:rFonts w:eastAsiaTheme="minorEastAsia"/>
                <w:b/>
                <w:bCs/>
                <w:color w:val="auto"/>
                <w:sz w:val="15"/>
                <w:szCs w:val="15"/>
              </w:rPr>
            </w:pPr>
            <w:r>
              <w:rPr>
                <w:rFonts w:eastAsiaTheme="minorEastAsia"/>
                <w:b/>
                <w:bCs/>
                <w:color w:val="auto"/>
                <w:sz w:val="15"/>
                <w:szCs w:val="15"/>
              </w:rPr>
              <w:t>环保设施施工单位</w:t>
            </w:r>
          </w:p>
        </w:tc>
        <w:tc>
          <w:tcPr>
            <w:tcW w:w="2126" w:type="dxa"/>
            <w:gridSpan w:val="2"/>
            <w:tcMar>
              <w:top w:w="0" w:type="dxa"/>
              <w:left w:w="57" w:type="dxa"/>
              <w:bottom w:w="0" w:type="dxa"/>
              <w:right w:w="57" w:type="dxa"/>
            </w:tcMar>
            <w:vAlign w:val="center"/>
          </w:tcPr>
          <w:p w14:paraId="150BEFBC">
            <w:pPr>
              <w:pStyle w:val="53"/>
              <w:adjustRightInd w:val="0"/>
              <w:snapToGrid w:val="0"/>
              <w:contextualSpacing w:val="0"/>
              <w:rPr>
                <w:rFonts w:eastAsiaTheme="minorEastAsia"/>
                <w:color w:val="auto"/>
                <w:sz w:val="15"/>
                <w:szCs w:val="15"/>
              </w:rPr>
            </w:pPr>
            <w:r>
              <w:rPr>
                <w:rFonts w:hint="eastAsia" w:eastAsiaTheme="minorEastAsia"/>
                <w:color w:val="auto"/>
                <w:kern w:val="2"/>
                <w:sz w:val="15"/>
                <w:szCs w:val="15"/>
              </w:rPr>
              <w:t>河南蓝天环境工程有限公司</w:t>
            </w:r>
          </w:p>
        </w:tc>
        <w:tc>
          <w:tcPr>
            <w:tcW w:w="1745" w:type="dxa"/>
            <w:gridSpan w:val="2"/>
            <w:tcMar>
              <w:top w:w="0" w:type="dxa"/>
              <w:left w:w="57" w:type="dxa"/>
              <w:bottom w:w="0" w:type="dxa"/>
              <w:right w:w="57" w:type="dxa"/>
            </w:tcMar>
            <w:vAlign w:val="center"/>
          </w:tcPr>
          <w:p w14:paraId="05F8B8C5">
            <w:pPr>
              <w:pStyle w:val="53"/>
              <w:adjustRightInd w:val="0"/>
              <w:snapToGrid w:val="0"/>
              <w:contextualSpacing w:val="0"/>
              <w:rPr>
                <w:rFonts w:eastAsiaTheme="minorEastAsia"/>
                <w:b/>
                <w:bCs/>
                <w:color w:val="auto"/>
                <w:sz w:val="15"/>
                <w:szCs w:val="15"/>
              </w:rPr>
            </w:pPr>
            <w:r>
              <w:rPr>
                <w:rFonts w:eastAsiaTheme="minorEastAsia"/>
                <w:b/>
                <w:bCs/>
                <w:color w:val="auto"/>
                <w:sz w:val="15"/>
                <w:szCs w:val="15"/>
              </w:rPr>
              <w:t>本工程排污许可证编号</w:t>
            </w:r>
          </w:p>
        </w:tc>
        <w:tc>
          <w:tcPr>
            <w:tcW w:w="2159" w:type="dxa"/>
            <w:gridSpan w:val="5"/>
            <w:tcMar>
              <w:top w:w="0" w:type="dxa"/>
              <w:left w:w="57" w:type="dxa"/>
              <w:bottom w:w="0" w:type="dxa"/>
              <w:right w:w="57" w:type="dxa"/>
            </w:tcMar>
            <w:vAlign w:val="center"/>
          </w:tcPr>
          <w:p w14:paraId="31D51D42">
            <w:pPr>
              <w:pStyle w:val="53"/>
              <w:adjustRightInd w:val="0"/>
              <w:snapToGrid w:val="0"/>
              <w:contextualSpacing w:val="0"/>
              <w:rPr>
                <w:rFonts w:hint="eastAsia" w:eastAsiaTheme="minorEastAsia"/>
                <w:color w:val="auto"/>
                <w:sz w:val="15"/>
                <w:szCs w:val="15"/>
                <w:lang w:eastAsia="zh-CN"/>
              </w:rPr>
            </w:pPr>
            <w:r>
              <w:rPr>
                <w:rFonts w:hint="eastAsia" w:eastAsiaTheme="minorEastAsia"/>
                <w:color w:val="auto"/>
                <w:sz w:val="15"/>
                <w:szCs w:val="15"/>
                <w:lang w:eastAsia="zh-CN"/>
              </w:rPr>
              <w:t>91410704MA9GB3524A001V</w:t>
            </w:r>
          </w:p>
        </w:tc>
      </w:tr>
      <w:tr w14:paraId="4FC6C9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49" w:hRule="atLeast"/>
          <w:jc w:val="center"/>
        </w:trPr>
        <w:tc>
          <w:tcPr>
            <w:tcW w:w="601" w:type="dxa"/>
            <w:vMerge w:val="continue"/>
            <w:vAlign w:val="center"/>
          </w:tcPr>
          <w:p w14:paraId="68BE79B0">
            <w:pPr>
              <w:pStyle w:val="53"/>
              <w:adjustRightInd w:val="0"/>
              <w:snapToGrid w:val="0"/>
              <w:contextualSpacing w:val="0"/>
              <w:rPr>
                <w:rFonts w:eastAsiaTheme="minorEastAsia"/>
                <w:b/>
                <w:bCs/>
                <w:color w:val="FF0000"/>
                <w:sz w:val="15"/>
                <w:szCs w:val="15"/>
              </w:rPr>
            </w:pPr>
          </w:p>
        </w:tc>
        <w:tc>
          <w:tcPr>
            <w:tcW w:w="2083" w:type="dxa"/>
            <w:gridSpan w:val="2"/>
            <w:vAlign w:val="center"/>
          </w:tcPr>
          <w:p w14:paraId="6E4F39DD">
            <w:pPr>
              <w:pStyle w:val="53"/>
              <w:adjustRightInd w:val="0"/>
              <w:snapToGrid w:val="0"/>
              <w:contextualSpacing w:val="0"/>
              <w:rPr>
                <w:rFonts w:eastAsiaTheme="minorEastAsia"/>
                <w:b/>
                <w:bCs/>
                <w:color w:val="auto"/>
                <w:sz w:val="15"/>
                <w:szCs w:val="15"/>
              </w:rPr>
            </w:pPr>
            <w:r>
              <w:rPr>
                <w:rFonts w:eastAsiaTheme="minorEastAsia"/>
                <w:b/>
                <w:bCs/>
                <w:color w:val="auto"/>
                <w:sz w:val="15"/>
                <w:szCs w:val="15"/>
              </w:rPr>
              <w:t>验收单位</w:t>
            </w:r>
          </w:p>
        </w:tc>
        <w:tc>
          <w:tcPr>
            <w:tcW w:w="4154" w:type="dxa"/>
            <w:gridSpan w:val="6"/>
            <w:vAlign w:val="center"/>
          </w:tcPr>
          <w:p w14:paraId="706BC6D2">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新乡市万宝科技有限公司</w:t>
            </w:r>
          </w:p>
        </w:tc>
        <w:tc>
          <w:tcPr>
            <w:tcW w:w="1941" w:type="dxa"/>
            <w:gridSpan w:val="2"/>
            <w:vAlign w:val="center"/>
          </w:tcPr>
          <w:p w14:paraId="71B76A16">
            <w:pPr>
              <w:pStyle w:val="53"/>
              <w:adjustRightInd w:val="0"/>
              <w:snapToGrid w:val="0"/>
              <w:contextualSpacing w:val="0"/>
              <w:rPr>
                <w:rFonts w:eastAsiaTheme="minorEastAsia"/>
                <w:b/>
                <w:bCs/>
                <w:color w:val="auto"/>
                <w:sz w:val="15"/>
                <w:szCs w:val="15"/>
              </w:rPr>
            </w:pPr>
            <w:r>
              <w:rPr>
                <w:rFonts w:eastAsiaTheme="minorEastAsia"/>
                <w:b/>
                <w:bCs/>
                <w:color w:val="auto"/>
                <w:sz w:val="15"/>
                <w:szCs w:val="15"/>
              </w:rPr>
              <w:t>环保设施检测单位</w:t>
            </w:r>
          </w:p>
        </w:tc>
        <w:tc>
          <w:tcPr>
            <w:tcW w:w="2126" w:type="dxa"/>
            <w:gridSpan w:val="2"/>
            <w:tcMar>
              <w:top w:w="0" w:type="dxa"/>
              <w:left w:w="57" w:type="dxa"/>
              <w:bottom w:w="0" w:type="dxa"/>
              <w:right w:w="57" w:type="dxa"/>
            </w:tcMar>
            <w:vAlign w:val="center"/>
          </w:tcPr>
          <w:p w14:paraId="246DBB51">
            <w:pPr>
              <w:pStyle w:val="53"/>
              <w:adjustRightInd w:val="0"/>
              <w:snapToGrid w:val="0"/>
              <w:contextualSpacing w:val="0"/>
              <w:rPr>
                <w:rFonts w:hint="eastAsia" w:eastAsiaTheme="minorEastAsia"/>
                <w:color w:val="auto"/>
                <w:sz w:val="15"/>
                <w:szCs w:val="15"/>
                <w:lang w:eastAsia="zh-CN"/>
              </w:rPr>
            </w:pPr>
            <w:r>
              <w:rPr>
                <w:rFonts w:hint="eastAsia" w:eastAsiaTheme="minorEastAsia"/>
                <w:color w:val="auto"/>
                <w:sz w:val="15"/>
                <w:szCs w:val="15"/>
                <w:lang w:eastAsia="zh-CN"/>
              </w:rPr>
              <w:t>河南嘉昱环保技术有限公司</w:t>
            </w:r>
          </w:p>
        </w:tc>
        <w:tc>
          <w:tcPr>
            <w:tcW w:w="1745" w:type="dxa"/>
            <w:gridSpan w:val="2"/>
            <w:tcMar>
              <w:top w:w="0" w:type="dxa"/>
              <w:left w:w="57" w:type="dxa"/>
              <w:bottom w:w="0" w:type="dxa"/>
              <w:right w:w="57" w:type="dxa"/>
            </w:tcMar>
            <w:vAlign w:val="center"/>
          </w:tcPr>
          <w:p w14:paraId="20B7C681">
            <w:pPr>
              <w:pStyle w:val="53"/>
              <w:adjustRightInd w:val="0"/>
              <w:snapToGrid w:val="0"/>
              <w:contextualSpacing w:val="0"/>
              <w:rPr>
                <w:rFonts w:eastAsiaTheme="minorEastAsia"/>
                <w:b/>
                <w:bCs/>
                <w:color w:val="auto"/>
                <w:sz w:val="15"/>
                <w:szCs w:val="15"/>
              </w:rPr>
            </w:pPr>
            <w:r>
              <w:rPr>
                <w:rFonts w:eastAsiaTheme="minorEastAsia"/>
                <w:b/>
                <w:bCs/>
                <w:color w:val="auto"/>
                <w:sz w:val="15"/>
                <w:szCs w:val="15"/>
              </w:rPr>
              <w:t>验收检测时工况</w:t>
            </w:r>
          </w:p>
        </w:tc>
        <w:tc>
          <w:tcPr>
            <w:tcW w:w="2159" w:type="dxa"/>
            <w:gridSpan w:val="5"/>
            <w:tcMar>
              <w:top w:w="0" w:type="dxa"/>
              <w:left w:w="57" w:type="dxa"/>
              <w:bottom w:w="0" w:type="dxa"/>
              <w:right w:w="57" w:type="dxa"/>
            </w:tcMar>
            <w:vAlign w:val="center"/>
          </w:tcPr>
          <w:p w14:paraId="4546FF8E">
            <w:pPr>
              <w:pStyle w:val="53"/>
              <w:adjustRightInd w:val="0"/>
              <w:snapToGrid w:val="0"/>
              <w:contextualSpacing w:val="0"/>
              <w:rPr>
                <w:rFonts w:eastAsiaTheme="minorEastAsia"/>
                <w:color w:val="auto"/>
                <w:sz w:val="15"/>
                <w:szCs w:val="15"/>
              </w:rPr>
            </w:pPr>
            <w:r>
              <w:rPr>
                <w:rFonts w:hint="eastAsia" w:eastAsiaTheme="minorEastAsia"/>
                <w:color w:val="auto"/>
                <w:sz w:val="15"/>
                <w:szCs w:val="15"/>
                <w:lang w:val="en-US" w:eastAsia="zh-CN"/>
              </w:rPr>
              <w:t>93.3%-97.5</w:t>
            </w:r>
            <w:r>
              <w:rPr>
                <w:rFonts w:eastAsiaTheme="minorEastAsia"/>
                <w:color w:val="auto"/>
                <w:sz w:val="15"/>
                <w:szCs w:val="15"/>
              </w:rPr>
              <w:t>%</w:t>
            </w:r>
          </w:p>
        </w:tc>
      </w:tr>
      <w:tr w14:paraId="14A083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49" w:hRule="atLeast"/>
          <w:jc w:val="center"/>
        </w:trPr>
        <w:tc>
          <w:tcPr>
            <w:tcW w:w="601" w:type="dxa"/>
            <w:vMerge w:val="continue"/>
            <w:vAlign w:val="center"/>
          </w:tcPr>
          <w:p w14:paraId="182812BD">
            <w:pPr>
              <w:pStyle w:val="53"/>
              <w:adjustRightInd w:val="0"/>
              <w:snapToGrid w:val="0"/>
              <w:contextualSpacing w:val="0"/>
              <w:rPr>
                <w:rFonts w:eastAsiaTheme="minorEastAsia"/>
                <w:b/>
                <w:bCs/>
                <w:color w:val="FF0000"/>
                <w:sz w:val="15"/>
                <w:szCs w:val="15"/>
              </w:rPr>
            </w:pPr>
          </w:p>
        </w:tc>
        <w:tc>
          <w:tcPr>
            <w:tcW w:w="2083" w:type="dxa"/>
            <w:gridSpan w:val="2"/>
            <w:vAlign w:val="center"/>
          </w:tcPr>
          <w:p w14:paraId="54638C3D">
            <w:pPr>
              <w:pStyle w:val="53"/>
              <w:adjustRightInd w:val="0"/>
              <w:snapToGrid w:val="0"/>
              <w:contextualSpacing w:val="0"/>
              <w:rPr>
                <w:rFonts w:eastAsiaTheme="minorEastAsia"/>
                <w:b/>
                <w:bCs/>
                <w:color w:val="auto"/>
                <w:sz w:val="15"/>
                <w:szCs w:val="15"/>
              </w:rPr>
            </w:pPr>
            <w:r>
              <w:rPr>
                <w:rFonts w:eastAsiaTheme="minorEastAsia"/>
                <w:b/>
                <w:bCs/>
                <w:color w:val="auto"/>
                <w:sz w:val="15"/>
                <w:szCs w:val="15"/>
              </w:rPr>
              <w:t>投资总概算（万元）</w:t>
            </w:r>
          </w:p>
        </w:tc>
        <w:tc>
          <w:tcPr>
            <w:tcW w:w="4154" w:type="dxa"/>
            <w:gridSpan w:val="6"/>
            <w:vAlign w:val="center"/>
          </w:tcPr>
          <w:p w14:paraId="0A07E71E">
            <w:pPr>
              <w:pStyle w:val="53"/>
              <w:adjustRightInd w:val="0"/>
              <w:snapToGrid w:val="0"/>
              <w:contextualSpacing w:val="0"/>
              <w:rPr>
                <w:rFonts w:eastAsiaTheme="minorEastAsia"/>
                <w:color w:val="auto"/>
                <w:sz w:val="15"/>
                <w:szCs w:val="15"/>
              </w:rPr>
            </w:pPr>
            <w:r>
              <w:rPr>
                <w:rFonts w:hint="eastAsia" w:eastAsiaTheme="minorEastAsia"/>
                <w:color w:val="auto"/>
                <w:kern w:val="2"/>
                <w:sz w:val="15"/>
                <w:szCs w:val="15"/>
                <w:lang w:val="en-US" w:eastAsia="zh-CN"/>
              </w:rPr>
              <w:t>2</w:t>
            </w:r>
            <w:r>
              <w:rPr>
                <w:rFonts w:hint="eastAsia" w:eastAsiaTheme="minorEastAsia"/>
                <w:color w:val="auto"/>
                <w:kern w:val="2"/>
                <w:sz w:val="15"/>
                <w:szCs w:val="15"/>
              </w:rPr>
              <w:t>000</w:t>
            </w:r>
          </w:p>
        </w:tc>
        <w:tc>
          <w:tcPr>
            <w:tcW w:w="1941" w:type="dxa"/>
            <w:gridSpan w:val="2"/>
            <w:vAlign w:val="center"/>
          </w:tcPr>
          <w:p w14:paraId="6C3A0D0A">
            <w:pPr>
              <w:pStyle w:val="53"/>
              <w:adjustRightInd w:val="0"/>
              <w:snapToGrid w:val="0"/>
              <w:contextualSpacing w:val="0"/>
              <w:rPr>
                <w:rFonts w:eastAsiaTheme="minorEastAsia"/>
                <w:b/>
                <w:bCs/>
                <w:color w:val="auto"/>
                <w:sz w:val="15"/>
                <w:szCs w:val="15"/>
              </w:rPr>
            </w:pPr>
            <w:r>
              <w:rPr>
                <w:rFonts w:eastAsiaTheme="minorEastAsia"/>
                <w:b/>
                <w:bCs/>
                <w:color w:val="auto"/>
                <w:sz w:val="15"/>
                <w:szCs w:val="15"/>
              </w:rPr>
              <w:t>环保投资总概算(万元)</w:t>
            </w:r>
          </w:p>
        </w:tc>
        <w:tc>
          <w:tcPr>
            <w:tcW w:w="2126" w:type="dxa"/>
            <w:gridSpan w:val="2"/>
            <w:tcMar>
              <w:top w:w="0" w:type="dxa"/>
              <w:left w:w="57" w:type="dxa"/>
              <w:bottom w:w="0" w:type="dxa"/>
              <w:right w:w="57" w:type="dxa"/>
            </w:tcMar>
            <w:vAlign w:val="center"/>
          </w:tcPr>
          <w:p w14:paraId="0A1319BE">
            <w:pPr>
              <w:pStyle w:val="53"/>
              <w:adjustRightInd w:val="0"/>
              <w:snapToGrid w:val="0"/>
              <w:contextualSpacing w:val="0"/>
              <w:rPr>
                <w:rFonts w:hint="default" w:eastAsiaTheme="minorEastAsia"/>
                <w:color w:val="auto"/>
                <w:sz w:val="15"/>
                <w:szCs w:val="15"/>
                <w:lang w:val="en-US" w:eastAsia="zh-CN"/>
              </w:rPr>
            </w:pPr>
            <w:r>
              <w:rPr>
                <w:rFonts w:hint="eastAsia" w:eastAsiaTheme="minorEastAsia"/>
                <w:color w:val="auto"/>
                <w:kern w:val="2"/>
                <w:sz w:val="15"/>
                <w:szCs w:val="15"/>
                <w:lang w:val="en-US" w:eastAsia="zh-CN"/>
              </w:rPr>
              <w:t>500</w:t>
            </w:r>
          </w:p>
        </w:tc>
        <w:tc>
          <w:tcPr>
            <w:tcW w:w="1745" w:type="dxa"/>
            <w:gridSpan w:val="2"/>
            <w:tcMar>
              <w:top w:w="0" w:type="dxa"/>
              <w:left w:w="57" w:type="dxa"/>
              <w:bottom w:w="0" w:type="dxa"/>
              <w:right w:w="57" w:type="dxa"/>
            </w:tcMar>
            <w:vAlign w:val="center"/>
          </w:tcPr>
          <w:p w14:paraId="19CF5116">
            <w:pPr>
              <w:pStyle w:val="53"/>
              <w:adjustRightInd w:val="0"/>
              <w:snapToGrid w:val="0"/>
              <w:contextualSpacing w:val="0"/>
              <w:rPr>
                <w:rFonts w:eastAsiaTheme="minorEastAsia"/>
                <w:b/>
                <w:bCs/>
                <w:color w:val="auto"/>
                <w:sz w:val="15"/>
                <w:szCs w:val="15"/>
              </w:rPr>
            </w:pPr>
            <w:r>
              <w:rPr>
                <w:rFonts w:eastAsiaTheme="minorEastAsia"/>
                <w:b/>
                <w:bCs/>
                <w:color w:val="auto"/>
                <w:sz w:val="15"/>
                <w:szCs w:val="15"/>
              </w:rPr>
              <w:t>所占比例（%）</w:t>
            </w:r>
          </w:p>
        </w:tc>
        <w:tc>
          <w:tcPr>
            <w:tcW w:w="2159" w:type="dxa"/>
            <w:gridSpan w:val="5"/>
            <w:tcMar>
              <w:top w:w="0" w:type="dxa"/>
              <w:left w:w="57" w:type="dxa"/>
              <w:bottom w:w="0" w:type="dxa"/>
              <w:right w:w="57" w:type="dxa"/>
            </w:tcMar>
            <w:vAlign w:val="center"/>
          </w:tcPr>
          <w:p w14:paraId="41668246">
            <w:pPr>
              <w:pStyle w:val="53"/>
              <w:adjustRightInd w:val="0"/>
              <w:snapToGrid w:val="0"/>
              <w:contextualSpacing w:val="0"/>
              <w:rPr>
                <w:rFonts w:hint="default" w:eastAsiaTheme="minorEastAsia"/>
                <w:color w:val="auto"/>
                <w:sz w:val="15"/>
                <w:szCs w:val="15"/>
                <w:lang w:val="en-US" w:eastAsia="zh-CN"/>
              </w:rPr>
            </w:pPr>
            <w:r>
              <w:rPr>
                <w:rFonts w:hint="eastAsia" w:eastAsiaTheme="minorEastAsia"/>
                <w:color w:val="auto"/>
                <w:sz w:val="15"/>
                <w:szCs w:val="15"/>
                <w:lang w:val="en-US" w:eastAsia="zh-CN"/>
              </w:rPr>
              <w:t>25</w:t>
            </w:r>
          </w:p>
        </w:tc>
      </w:tr>
      <w:tr w14:paraId="33F03C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49" w:hRule="atLeast"/>
          <w:jc w:val="center"/>
        </w:trPr>
        <w:tc>
          <w:tcPr>
            <w:tcW w:w="601" w:type="dxa"/>
            <w:vMerge w:val="continue"/>
            <w:vAlign w:val="center"/>
          </w:tcPr>
          <w:p w14:paraId="6CE6AD46">
            <w:pPr>
              <w:pStyle w:val="53"/>
              <w:adjustRightInd w:val="0"/>
              <w:snapToGrid w:val="0"/>
              <w:contextualSpacing w:val="0"/>
              <w:rPr>
                <w:rFonts w:eastAsiaTheme="minorEastAsia"/>
                <w:b/>
                <w:bCs/>
                <w:color w:val="FF0000"/>
                <w:sz w:val="15"/>
                <w:szCs w:val="15"/>
              </w:rPr>
            </w:pPr>
          </w:p>
        </w:tc>
        <w:tc>
          <w:tcPr>
            <w:tcW w:w="2083" w:type="dxa"/>
            <w:gridSpan w:val="2"/>
            <w:vAlign w:val="center"/>
          </w:tcPr>
          <w:p w14:paraId="689244F2">
            <w:pPr>
              <w:pStyle w:val="53"/>
              <w:adjustRightInd w:val="0"/>
              <w:snapToGrid w:val="0"/>
              <w:contextualSpacing w:val="0"/>
              <w:rPr>
                <w:rFonts w:eastAsiaTheme="minorEastAsia"/>
                <w:b/>
                <w:bCs/>
                <w:color w:val="auto"/>
                <w:sz w:val="15"/>
                <w:szCs w:val="15"/>
              </w:rPr>
            </w:pPr>
            <w:r>
              <w:rPr>
                <w:rFonts w:eastAsiaTheme="minorEastAsia"/>
                <w:b/>
                <w:bCs/>
                <w:color w:val="auto"/>
                <w:sz w:val="15"/>
                <w:szCs w:val="15"/>
              </w:rPr>
              <w:t>实际总投资</w:t>
            </w:r>
          </w:p>
        </w:tc>
        <w:tc>
          <w:tcPr>
            <w:tcW w:w="4154" w:type="dxa"/>
            <w:gridSpan w:val="6"/>
            <w:vAlign w:val="center"/>
          </w:tcPr>
          <w:p w14:paraId="4E6BF51E">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一期</w:t>
            </w:r>
            <w:r>
              <w:rPr>
                <w:rFonts w:hint="eastAsia" w:eastAsiaTheme="minorEastAsia"/>
                <w:color w:val="auto"/>
                <w:kern w:val="2"/>
                <w:sz w:val="15"/>
                <w:szCs w:val="15"/>
              </w:rPr>
              <w:t>100</w:t>
            </w:r>
            <w:r>
              <w:rPr>
                <w:rFonts w:eastAsiaTheme="minorEastAsia"/>
                <w:color w:val="auto"/>
                <w:kern w:val="2"/>
                <w:sz w:val="15"/>
                <w:szCs w:val="15"/>
              </w:rPr>
              <w:t>0</w:t>
            </w:r>
            <w:r>
              <w:rPr>
                <w:rFonts w:eastAsiaTheme="minorEastAsia"/>
                <w:color w:val="auto"/>
                <w:sz w:val="15"/>
                <w:szCs w:val="15"/>
              </w:rPr>
              <w:t>万元</w:t>
            </w:r>
          </w:p>
        </w:tc>
        <w:tc>
          <w:tcPr>
            <w:tcW w:w="1941" w:type="dxa"/>
            <w:gridSpan w:val="2"/>
            <w:vAlign w:val="center"/>
          </w:tcPr>
          <w:p w14:paraId="1EA76DBF">
            <w:pPr>
              <w:pStyle w:val="53"/>
              <w:adjustRightInd w:val="0"/>
              <w:snapToGrid w:val="0"/>
              <w:contextualSpacing w:val="0"/>
              <w:rPr>
                <w:rFonts w:eastAsiaTheme="minorEastAsia"/>
                <w:b/>
                <w:bCs/>
                <w:color w:val="auto"/>
                <w:sz w:val="15"/>
                <w:szCs w:val="15"/>
              </w:rPr>
            </w:pPr>
            <w:r>
              <w:rPr>
                <w:rFonts w:eastAsiaTheme="minorEastAsia"/>
                <w:b/>
                <w:bCs/>
                <w:color w:val="auto"/>
                <w:sz w:val="15"/>
                <w:szCs w:val="15"/>
              </w:rPr>
              <w:t>实际环保投资</w:t>
            </w:r>
          </w:p>
        </w:tc>
        <w:tc>
          <w:tcPr>
            <w:tcW w:w="2126" w:type="dxa"/>
            <w:gridSpan w:val="2"/>
            <w:tcMar>
              <w:top w:w="0" w:type="dxa"/>
              <w:left w:w="57" w:type="dxa"/>
              <w:bottom w:w="0" w:type="dxa"/>
              <w:right w:w="57" w:type="dxa"/>
            </w:tcMar>
            <w:vAlign w:val="center"/>
          </w:tcPr>
          <w:p w14:paraId="1829F6CE">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一期</w:t>
            </w:r>
            <w:r>
              <w:rPr>
                <w:rFonts w:hint="eastAsia" w:eastAsiaTheme="minorEastAsia"/>
                <w:color w:val="auto"/>
                <w:kern w:val="2"/>
                <w:sz w:val="15"/>
                <w:szCs w:val="15"/>
                <w:lang w:val="en-US" w:eastAsia="zh-CN"/>
              </w:rPr>
              <w:t>295</w:t>
            </w:r>
            <w:r>
              <w:rPr>
                <w:rFonts w:eastAsiaTheme="minorEastAsia"/>
                <w:color w:val="auto"/>
                <w:kern w:val="2"/>
                <w:sz w:val="15"/>
                <w:szCs w:val="15"/>
              </w:rPr>
              <w:t>万元</w:t>
            </w:r>
          </w:p>
        </w:tc>
        <w:tc>
          <w:tcPr>
            <w:tcW w:w="1745" w:type="dxa"/>
            <w:gridSpan w:val="2"/>
            <w:tcMar>
              <w:top w:w="0" w:type="dxa"/>
              <w:left w:w="57" w:type="dxa"/>
              <w:bottom w:w="0" w:type="dxa"/>
              <w:right w:w="57" w:type="dxa"/>
            </w:tcMar>
            <w:vAlign w:val="center"/>
          </w:tcPr>
          <w:p w14:paraId="1CEDFC14">
            <w:pPr>
              <w:pStyle w:val="53"/>
              <w:adjustRightInd w:val="0"/>
              <w:snapToGrid w:val="0"/>
              <w:contextualSpacing w:val="0"/>
              <w:rPr>
                <w:rFonts w:eastAsiaTheme="minorEastAsia"/>
                <w:b/>
                <w:bCs/>
                <w:color w:val="auto"/>
                <w:sz w:val="15"/>
                <w:szCs w:val="15"/>
              </w:rPr>
            </w:pPr>
            <w:r>
              <w:rPr>
                <w:rFonts w:eastAsiaTheme="minorEastAsia"/>
                <w:b/>
                <w:bCs/>
                <w:color w:val="auto"/>
                <w:sz w:val="15"/>
                <w:szCs w:val="15"/>
              </w:rPr>
              <w:t>所占比例（%）</w:t>
            </w:r>
          </w:p>
        </w:tc>
        <w:tc>
          <w:tcPr>
            <w:tcW w:w="2159" w:type="dxa"/>
            <w:gridSpan w:val="5"/>
            <w:tcMar>
              <w:top w:w="0" w:type="dxa"/>
              <w:left w:w="57" w:type="dxa"/>
              <w:bottom w:w="0" w:type="dxa"/>
              <w:right w:w="57" w:type="dxa"/>
            </w:tcMar>
            <w:vAlign w:val="center"/>
          </w:tcPr>
          <w:p w14:paraId="70EC4A6D">
            <w:pPr>
              <w:pStyle w:val="53"/>
              <w:adjustRightInd w:val="0"/>
              <w:snapToGrid w:val="0"/>
              <w:contextualSpacing w:val="0"/>
              <w:rPr>
                <w:rFonts w:hint="default" w:eastAsiaTheme="minorEastAsia"/>
                <w:color w:val="auto"/>
                <w:sz w:val="15"/>
                <w:szCs w:val="15"/>
                <w:lang w:val="en-US" w:eastAsia="zh-CN"/>
              </w:rPr>
            </w:pPr>
            <w:r>
              <w:rPr>
                <w:rFonts w:hint="eastAsia" w:eastAsiaTheme="minorEastAsia"/>
                <w:color w:val="auto"/>
                <w:sz w:val="15"/>
                <w:szCs w:val="15"/>
                <w:lang w:val="en-US" w:eastAsia="zh-CN"/>
              </w:rPr>
              <w:t>29.5</w:t>
            </w:r>
          </w:p>
        </w:tc>
      </w:tr>
      <w:tr w14:paraId="57F36B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49" w:hRule="atLeast"/>
          <w:jc w:val="center"/>
        </w:trPr>
        <w:tc>
          <w:tcPr>
            <w:tcW w:w="601" w:type="dxa"/>
            <w:vMerge w:val="continue"/>
            <w:vAlign w:val="center"/>
          </w:tcPr>
          <w:p w14:paraId="224E9D26">
            <w:pPr>
              <w:pStyle w:val="53"/>
              <w:adjustRightInd w:val="0"/>
              <w:snapToGrid w:val="0"/>
              <w:contextualSpacing w:val="0"/>
              <w:rPr>
                <w:rFonts w:eastAsiaTheme="minorEastAsia"/>
                <w:b/>
                <w:bCs/>
                <w:color w:val="FF0000"/>
                <w:sz w:val="15"/>
                <w:szCs w:val="15"/>
              </w:rPr>
            </w:pPr>
          </w:p>
        </w:tc>
        <w:tc>
          <w:tcPr>
            <w:tcW w:w="2083" w:type="dxa"/>
            <w:gridSpan w:val="2"/>
            <w:vAlign w:val="center"/>
          </w:tcPr>
          <w:p w14:paraId="3CEF84AF">
            <w:pPr>
              <w:pStyle w:val="53"/>
              <w:adjustRightInd w:val="0"/>
              <w:snapToGrid w:val="0"/>
              <w:contextualSpacing w:val="0"/>
              <w:rPr>
                <w:rFonts w:eastAsiaTheme="minorEastAsia"/>
                <w:b/>
                <w:bCs/>
                <w:color w:val="auto"/>
                <w:sz w:val="15"/>
                <w:szCs w:val="15"/>
              </w:rPr>
            </w:pPr>
            <w:r>
              <w:rPr>
                <w:rFonts w:eastAsiaTheme="minorEastAsia"/>
                <w:b/>
                <w:bCs/>
                <w:color w:val="auto"/>
                <w:sz w:val="15"/>
                <w:szCs w:val="15"/>
              </w:rPr>
              <w:t>废水治理（万元）</w:t>
            </w:r>
          </w:p>
        </w:tc>
        <w:tc>
          <w:tcPr>
            <w:tcW w:w="850" w:type="dxa"/>
            <w:vAlign w:val="center"/>
          </w:tcPr>
          <w:p w14:paraId="4BC20B29">
            <w:pPr>
              <w:pStyle w:val="53"/>
              <w:adjustRightInd w:val="0"/>
              <w:snapToGrid w:val="0"/>
              <w:contextualSpacing w:val="0"/>
              <w:rPr>
                <w:rFonts w:hint="default" w:eastAsiaTheme="minorEastAsia"/>
                <w:color w:val="auto"/>
                <w:sz w:val="15"/>
                <w:szCs w:val="15"/>
                <w:lang w:val="en-US" w:eastAsia="zh-CN"/>
              </w:rPr>
            </w:pPr>
            <w:r>
              <w:rPr>
                <w:rFonts w:hint="eastAsia" w:eastAsiaTheme="minorEastAsia"/>
                <w:color w:val="auto"/>
                <w:sz w:val="15"/>
                <w:szCs w:val="15"/>
                <w:lang w:val="en-US" w:eastAsia="zh-CN"/>
              </w:rPr>
              <w:t>182</w:t>
            </w:r>
          </w:p>
        </w:tc>
        <w:tc>
          <w:tcPr>
            <w:tcW w:w="894" w:type="dxa"/>
            <w:vAlign w:val="center"/>
          </w:tcPr>
          <w:p w14:paraId="6E32F8B6">
            <w:pPr>
              <w:pStyle w:val="53"/>
              <w:adjustRightInd w:val="0"/>
              <w:snapToGrid w:val="0"/>
              <w:contextualSpacing w:val="0"/>
              <w:rPr>
                <w:rFonts w:eastAsiaTheme="minorEastAsia"/>
                <w:b/>
                <w:bCs/>
                <w:color w:val="auto"/>
                <w:sz w:val="15"/>
                <w:szCs w:val="15"/>
              </w:rPr>
            </w:pPr>
            <w:r>
              <w:rPr>
                <w:rFonts w:eastAsiaTheme="minorEastAsia"/>
                <w:b/>
                <w:bCs/>
                <w:color w:val="auto"/>
                <w:sz w:val="15"/>
                <w:szCs w:val="15"/>
              </w:rPr>
              <w:t>废气治理（万元）</w:t>
            </w:r>
          </w:p>
        </w:tc>
        <w:tc>
          <w:tcPr>
            <w:tcW w:w="807" w:type="dxa"/>
            <w:vAlign w:val="center"/>
          </w:tcPr>
          <w:p w14:paraId="347C4FA2">
            <w:pPr>
              <w:pStyle w:val="53"/>
              <w:adjustRightInd w:val="0"/>
              <w:snapToGrid w:val="0"/>
              <w:contextualSpacing w:val="0"/>
              <w:rPr>
                <w:rFonts w:hint="default" w:eastAsiaTheme="minorEastAsia"/>
                <w:color w:val="auto"/>
                <w:sz w:val="15"/>
                <w:szCs w:val="15"/>
                <w:lang w:val="en-US" w:eastAsia="zh-CN"/>
              </w:rPr>
            </w:pPr>
            <w:r>
              <w:rPr>
                <w:rFonts w:hint="eastAsia" w:eastAsiaTheme="minorEastAsia"/>
                <w:color w:val="auto"/>
                <w:sz w:val="15"/>
                <w:szCs w:val="15"/>
                <w:lang w:val="en-US" w:eastAsia="zh-CN"/>
              </w:rPr>
              <w:t>100</w:t>
            </w:r>
          </w:p>
        </w:tc>
        <w:tc>
          <w:tcPr>
            <w:tcW w:w="992" w:type="dxa"/>
            <w:gridSpan w:val="2"/>
            <w:vAlign w:val="center"/>
          </w:tcPr>
          <w:p w14:paraId="2007DAE3">
            <w:pPr>
              <w:pStyle w:val="53"/>
              <w:adjustRightInd w:val="0"/>
              <w:snapToGrid w:val="0"/>
              <w:contextualSpacing w:val="0"/>
              <w:rPr>
                <w:rFonts w:eastAsiaTheme="minorEastAsia"/>
                <w:b/>
                <w:bCs/>
                <w:color w:val="auto"/>
                <w:sz w:val="15"/>
                <w:szCs w:val="15"/>
              </w:rPr>
            </w:pPr>
            <w:r>
              <w:rPr>
                <w:rFonts w:eastAsiaTheme="minorEastAsia"/>
                <w:b/>
                <w:bCs/>
                <w:color w:val="auto"/>
                <w:sz w:val="15"/>
                <w:szCs w:val="15"/>
              </w:rPr>
              <w:t>噪声治理（万元）</w:t>
            </w:r>
          </w:p>
        </w:tc>
        <w:tc>
          <w:tcPr>
            <w:tcW w:w="611" w:type="dxa"/>
            <w:vAlign w:val="center"/>
          </w:tcPr>
          <w:p w14:paraId="6864F28E">
            <w:pPr>
              <w:pStyle w:val="53"/>
              <w:adjustRightInd w:val="0"/>
              <w:snapToGrid w:val="0"/>
              <w:contextualSpacing w:val="0"/>
              <w:rPr>
                <w:rFonts w:eastAsiaTheme="minorEastAsia"/>
                <w:color w:val="auto"/>
                <w:sz w:val="15"/>
                <w:szCs w:val="15"/>
              </w:rPr>
            </w:pPr>
            <w:r>
              <w:rPr>
                <w:rFonts w:hint="eastAsia" w:eastAsiaTheme="minorEastAsia"/>
                <w:color w:val="auto"/>
                <w:sz w:val="15"/>
                <w:szCs w:val="15"/>
              </w:rPr>
              <w:t>10</w:t>
            </w:r>
          </w:p>
        </w:tc>
        <w:tc>
          <w:tcPr>
            <w:tcW w:w="1941" w:type="dxa"/>
            <w:gridSpan w:val="2"/>
            <w:vAlign w:val="center"/>
          </w:tcPr>
          <w:p w14:paraId="03BA255B">
            <w:pPr>
              <w:pStyle w:val="53"/>
              <w:adjustRightInd w:val="0"/>
              <w:snapToGrid w:val="0"/>
              <w:contextualSpacing w:val="0"/>
              <w:rPr>
                <w:rFonts w:eastAsiaTheme="minorEastAsia"/>
                <w:b/>
                <w:bCs/>
                <w:color w:val="auto"/>
                <w:sz w:val="15"/>
                <w:szCs w:val="15"/>
              </w:rPr>
            </w:pPr>
            <w:r>
              <w:rPr>
                <w:rFonts w:eastAsiaTheme="minorEastAsia"/>
                <w:b/>
                <w:bCs/>
                <w:color w:val="auto"/>
                <w:sz w:val="15"/>
                <w:szCs w:val="15"/>
              </w:rPr>
              <w:t>固体废物治理(万元)</w:t>
            </w:r>
          </w:p>
        </w:tc>
        <w:tc>
          <w:tcPr>
            <w:tcW w:w="2126" w:type="dxa"/>
            <w:gridSpan w:val="2"/>
            <w:vAlign w:val="center"/>
          </w:tcPr>
          <w:p w14:paraId="1737B987">
            <w:pPr>
              <w:pStyle w:val="53"/>
              <w:adjustRightInd w:val="0"/>
              <w:snapToGrid w:val="0"/>
              <w:contextualSpacing w:val="0"/>
              <w:rPr>
                <w:rFonts w:hint="eastAsia" w:eastAsiaTheme="minorEastAsia"/>
                <w:color w:val="auto"/>
                <w:sz w:val="15"/>
                <w:szCs w:val="15"/>
                <w:lang w:eastAsia="zh-CN"/>
              </w:rPr>
            </w:pPr>
            <w:r>
              <w:rPr>
                <w:rFonts w:hint="eastAsia" w:eastAsiaTheme="minorEastAsia"/>
                <w:color w:val="auto"/>
                <w:sz w:val="15"/>
                <w:szCs w:val="15"/>
                <w:lang w:val="en-US" w:eastAsia="zh-CN"/>
              </w:rPr>
              <w:t>3</w:t>
            </w:r>
          </w:p>
        </w:tc>
        <w:tc>
          <w:tcPr>
            <w:tcW w:w="1745" w:type="dxa"/>
            <w:gridSpan w:val="2"/>
            <w:vAlign w:val="center"/>
          </w:tcPr>
          <w:p w14:paraId="4FD51CA0">
            <w:pPr>
              <w:pStyle w:val="53"/>
              <w:adjustRightInd w:val="0"/>
              <w:snapToGrid w:val="0"/>
              <w:contextualSpacing w:val="0"/>
              <w:rPr>
                <w:rFonts w:eastAsiaTheme="minorEastAsia"/>
                <w:b/>
                <w:bCs/>
                <w:color w:val="auto"/>
                <w:sz w:val="15"/>
                <w:szCs w:val="15"/>
              </w:rPr>
            </w:pPr>
            <w:r>
              <w:rPr>
                <w:rFonts w:eastAsiaTheme="minorEastAsia"/>
                <w:b/>
                <w:bCs/>
                <w:color w:val="auto"/>
                <w:sz w:val="15"/>
                <w:szCs w:val="15"/>
              </w:rPr>
              <w:t>绿化及生态（万元）</w:t>
            </w:r>
          </w:p>
        </w:tc>
        <w:tc>
          <w:tcPr>
            <w:tcW w:w="567" w:type="dxa"/>
            <w:tcMar>
              <w:top w:w="0" w:type="dxa"/>
              <w:left w:w="57" w:type="dxa"/>
              <w:bottom w:w="0" w:type="dxa"/>
              <w:right w:w="57" w:type="dxa"/>
            </w:tcMar>
            <w:vAlign w:val="center"/>
          </w:tcPr>
          <w:p w14:paraId="3DB802E3">
            <w:pPr>
              <w:pStyle w:val="53"/>
              <w:adjustRightInd w:val="0"/>
              <w:snapToGrid w:val="0"/>
              <w:contextualSpacing w:val="0"/>
              <w:rPr>
                <w:rFonts w:eastAsiaTheme="minorEastAsia"/>
                <w:color w:val="auto"/>
                <w:sz w:val="15"/>
                <w:szCs w:val="15"/>
              </w:rPr>
            </w:pPr>
            <w:r>
              <w:rPr>
                <w:rFonts w:eastAsiaTheme="minorEastAsia"/>
                <w:color w:val="auto"/>
                <w:sz w:val="15"/>
                <w:szCs w:val="15"/>
              </w:rPr>
              <w:t>/</w:t>
            </w:r>
          </w:p>
        </w:tc>
        <w:tc>
          <w:tcPr>
            <w:tcW w:w="992" w:type="dxa"/>
            <w:gridSpan w:val="3"/>
            <w:tcMar>
              <w:top w:w="0" w:type="dxa"/>
              <w:left w:w="57" w:type="dxa"/>
              <w:bottom w:w="0" w:type="dxa"/>
              <w:right w:w="57" w:type="dxa"/>
            </w:tcMar>
            <w:vAlign w:val="center"/>
          </w:tcPr>
          <w:p w14:paraId="5753935C">
            <w:pPr>
              <w:pStyle w:val="53"/>
              <w:adjustRightInd w:val="0"/>
              <w:snapToGrid w:val="0"/>
              <w:contextualSpacing w:val="0"/>
              <w:rPr>
                <w:rFonts w:eastAsiaTheme="minorEastAsia"/>
                <w:b/>
                <w:bCs/>
                <w:color w:val="auto"/>
                <w:sz w:val="15"/>
                <w:szCs w:val="15"/>
              </w:rPr>
            </w:pPr>
            <w:r>
              <w:rPr>
                <w:rFonts w:eastAsiaTheme="minorEastAsia"/>
                <w:b/>
                <w:bCs/>
                <w:color w:val="auto"/>
                <w:sz w:val="15"/>
                <w:szCs w:val="15"/>
              </w:rPr>
              <w:t>其他（万元）</w:t>
            </w:r>
          </w:p>
        </w:tc>
        <w:tc>
          <w:tcPr>
            <w:tcW w:w="600" w:type="dxa"/>
            <w:tcMar>
              <w:top w:w="0" w:type="dxa"/>
              <w:left w:w="57" w:type="dxa"/>
              <w:bottom w:w="0" w:type="dxa"/>
              <w:right w:w="57" w:type="dxa"/>
            </w:tcMar>
            <w:vAlign w:val="center"/>
          </w:tcPr>
          <w:p w14:paraId="3C49028B">
            <w:pPr>
              <w:pStyle w:val="53"/>
              <w:adjustRightInd w:val="0"/>
              <w:snapToGrid w:val="0"/>
              <w:contextualSpacing w:val="0"/>
              <w:rPr>
                <w:rFonts w:hint="eastAsia" w:eastAsiaTheme="minorEastAsia"/>
                <w:color w:val="auto"/>
                <w:sz w:val="15"/>
                <w:szCs w:val="15"/>
                <w:lang w:eastAsia="zh-CN"/>
              </w:rPr>
            </w:pPr>
            <w:r>
              <w:rPr>
                <w:rFonts w:hint="eastAsia" w:eastAsiaTheme="minorEastAsia"/>
                <w:color w:val="auto"/>
                <w:sz w:val="15"/>
                <w:szCs w:val="15"/>
                <w:lang w:val="en-US" w:eastAsia="zh-CN"/>
              </w:rPr>
              <w:t>/</w:t>
            </w:r>
          </w:p>
        </w:tc>
      </w:tr>
      <w:tr w14:paraId="1C91DA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49" w:hRule="atLeast"/>
          <w:jc w:val="center"/>
        </w:trPr>
        <w:tc>
          <w:tcPr>
            <w:tcW w:w="601" w:type="dxa"/>
            <w:vMerge w:val="continue"/>
            <w:vAlign w:val="center"/>
          </w:tcPr>
          <w:p w14:paraId="306977BE">
            <w:pPr>
              <w:pStyle w:val="53"/>
              <w:adjustRightInd w:val="0"/>
              <w:snapToGrid w:val="0"/>
              <w:contextualSpacing w:val="0"/>
              <w:rPr>
                <w:rFonts w:eastAsiaTheme="minorEastAsia"/>
                <w:b/>
                <w:bCs/>
                <w:color w:val="FF0000"/>
                <w:sz w:val="15"/>
                <w:szCs w:val="15"/>
              </w:rPr>
            </w:pPr>
          </w:p>
        </w:tc>
        <w:tc>
          <w:tcPr>
            <w:tcW w:w="2083" w:type="dxa"/>
            <w:gridSpan w:val="2"/>
            <w:vAlign w:val="center"/>
          </w:tcPr>
          <w:p w14:paraId="59238206">
            <w:pPr>
              <w:pStyle w:val="53"/>
              <w:adjustRightInd w:val="0"/>
              <w:snapToGrid w:val="0"/>
              <w:contextualSpacing w:val="0"/>
              <w:rPr>
                <w:rFonts w:eastAsiaTheme="minorEastAsia"/>
                <w:b/>
                <w:bCs/>
                <w:color w:val="auto"/>
                <w:sz w:val="15"/>
                <w:szCs w:val="15"/>
              </w:rPr>
            </w:pPr>
            <w:r>
              <w:rPr>
                <w:rFonts w:eastAsiaTheme="minorEastAsia"/>
                <w:b/>
                <w:bCs/>
                <w:color w:val="auto"/>
                <w:sz w:val="15"/>
                <w:szCs w:val="15"/>
              </w:rPr>
              <w:t>新增废水处理设施能力</w:t>
            </w:r>
          </w:p>
        </w:tc>
        <w:tc>
          <w:tcPr>
            <w:tcW w:w="4154" w:type="dxa"/>
            <w:gridSpan w:val="6"/>
            <w:vAlign w:val="center"/>
          </w:tcPr>
          <w:p w14:paraId="423FFD64">
            <w:pPr>
              <w:pStyle w:val="53"/>
              <w:adjustRightInd w:val="0"/>
              <w:snapToGrid w:val="0"/>
              <w:contextualSpacing w:val="0"/>
              <w:rPr>
                <w:rFonts w:eastAsiaTheme="minorEastAsia"/>
                <w:b/>
                <w:bCs/>
                <w:color w:val="auto"/>
                <w:sz w:val="15"/>
                <w:szCs w:val="15"/>
              </w:rPr>
            </w:pPr>
            <w:r>
              <w:rPr>
                <w:rFonts w:hint="eastAsia" w:eastAsiaTheme="minorEastAsia"/>
                <w:b/>
                <w:bCs/>
                <w:color w:val="auto"/>
                <w:sz w:val="15"/>
                <w:szCs w:val="15"/>
              </w:rPr>
              <w:t>/</w:t>
            </w:r>
          </w:p>
        </w:tc>
        <w:tc>
          <w:tcPr>
            <w:tcW w:w="1941" w:type="dxa"/>
            <w:gridSpan w:val="2"/>
            <w:vAlign w:val="center"/>
          </w:tcPr>
          <w:p w14:paraId="2BE8BDAC">
            <w:pPr>
              <w:pStyle w:val="53"/>
              <w:adjustRightInd w:val="0"/>
              <w:snapToGrid w:val="0"/>
              <w:contextualSpacing w:val="0"/>
              <w:rPr>
                <w:rFonts w:eastAsiaTheme="minorEastAsia"/>
                <w:b/>
                <w:bCs/>
                <w:color w:val="auto"/>
                <w:sz w:val="15"/>
                <w:szCs w:val="15"/>
              </w:rPr>
            </w:pPr>
            <w:r>
              <w:rPr>
                <w:rFonts w:eastAsiaTheme="minorEastAsia"/>
                <w:b/>
                <w:bCs/>
                <w:color w:val="auto"/>
                <w:sz w:val="15"/>
                <w:szCs w:val="15"/>
              </w:rPr>
              <w:t>新增废气处理设施能力</w:t>
            </w:r>
          </w:p>
        </w:tc>
        <w:tc>
          <w:tcPr>
            <w:tcW w:w="2126" w:type="dxa"/>
            <w:gridSpan w:val="2"/>
            <w:tcMar>
              <w:top w:w="0" w:type="dxa"/>
              <w:left w:w="57" w:type="dxa"/>
              <w:bottom w:w="0" w:type="dxa"/>
              <w:right w:w="57" w:type="dxa"/>
            </w:tcMar>
            <w:vAlign w:val="center"/>
          </w:tcPr>
          <w:p w14:paraId="1AC128E2">
            <w:pPr>
              <w:pStyle w:val="53"/>
              <w:adjustRightInd w:val="0"/>
              <w:snapToGrid w:val="0"/>
              <w:contextualSpacing w:val="0"/>
              <w:rPr>
                <w:rFonts w:eastAsiaTheme="minorEastAsia"/>
                <w:color w:val="auto"/>
                <w:sz w:val="15"/>
                <w:szCs w:val="15"/>
              </w:rPr>
            </w:pPr>
            <w:r>
              <w:rPr>
                <w:rFonts w:eastAsiaTheme="minorEastAsia"/>
                <w:color w:val="auto"/>
                <w:sz w:val="15"/>
                <w:szCs w:val="15"/>
              </w:rPr>
              <w:t>/</w:t>
            </w:r>
          </w:p>
        </w:tc>
        <w:tc>
          <w:tcPr>
            <w:tcW w:w="1745" w:type="dxa"/>
            <w:gridSpan w:val="2"/>
            <w:tcMar>
              <w:top w:w="0" w:type="dxa"/>
              <w:left w:w="57" w:type="dxa"/>
              <w:bottom w:w="0" w:type="dxa"/>
              <w:right w:w="57" w:type="dxa"/>
            </w:tcMar>
            <w:vAlign w:val="center"/>
          </w:tcPr>
          <w:p w14:paraId="7F4A1ED2">
            <w:pPr>
              <w:pStyle w:val="53"/>
              <w:adjustRightInd w:val="0"/>
              <w:snapToGrid w:val="0"/>
              <w:contextualSpacing w:val="0"/>
              <w:rPr>
                <w:rFonts w:eastAsiaTheme="minorEastAsia"/>
                <w:b/>
                <w:bCs/>
                <w:color w:val="auto"/>
                <w:sz w:val="15"/>
                <w:szCs w:val="15"/>
              </w:rPr>
            </w:pPr>
            <w:r>
              <w:rPr>
                <w:rFonts w:eastAsiaTheme="minorEastAsia"/>
                <w:b/>
                <w:bCs/>
                <w:color w:val="auto"/>
                <w:sz w:val="15"/>
                <w:szCs w:val="15"/>
              </w:rPr>
              <w:t>年平均工作时间</w:t>
            </w:r>
          </w:p>
        </w:tc>
        <w:tc>
          <w:tcPr>
            <w:tcW w:w="2159" w:type="dxa"/>
            <w:gridSpan w:val="5"/>
            <w:tcMar>
              <w:top w:w="0" w:type="dxa"/>
              <w:left w:w="57" w:type="dxa"/>
              <w:bottom w:w="0" w:type="dxa"/>
              <w:right w:w="57" w:type="dxa"/>
            </w:tcMar>
            <w:vAlign w:val="center"/>
          </w:tcPr>
          <w:p w14:paraId="598D4B62">
            <w:pPr>
              <w:pStyle w:val="53"/>
              <w:adjustRightInd w:val="0"/>
              <w:snapToGrid w:val="0"/>
              <w:contextualSpacing w:val="0"/>
              <w:rPr>
                <w:rFonts w:eastAsiaTheme="minorEastAsia"/>
                <w:color w:val="FF0000"/>
                <w:sz w:val="15"/>
                <w:szCs w:val="15"/>
              </w:rPr>
            </w:pPr>
            <w:r>
              <w:rPr>
                <w:rFonts w:eastAsiaTheme="minorEastAsia"/>
                <w:color w:val="auto"/>
                <w:sz w:val="15"/>
                <w:szCs w:val="15"/>
              </w:rPr>
              <w:t>300天</w:t>
            </w:r>
          </w:p>
        </w:tc>
      </w:tr>
      <w:tr w14:paraId="1C399A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49" w:hRule="atLeast"/>
          <w:jc w:val="center"/>
        </w:trPr>
        <w:tc>
          <w:tcPr>
            <w:tcW w:w="2684" w:type="dxa"/>
            <w:gridSpan w:val="3"/>
            <w:vAlign w:val="center"/>
          </w:tcPr>
          <w:p w14:paraId="227549B0">
            <w:pPr>
              <w:pStyle w:val="53"/>
              <w:adjustRightInd w:val="0"/>
              <w:snapToGrid w:val="0"/>
              <w:contextualSpacing w:val="0"/>
              <w:rPr>
                <w:rFonts w:eastAsiaTheme="minorEastAsia"/>
                <w:b/>
                <w:bCs/>
                <w:color w:val="auto"/>
                <w:sz w:val="15"/>
                <w:szCs w:val="15"/>
              </w:rPr>
            </w:pPr>
            <w:r>
              <w:rPr>
                <w:rFonts w:eastAsiaTheme="minorEastAsia"/>
                <w:b/>
                <w:bCs/>
                <w:color w:val="auto"/>
                <w:sz w:val="15"/>
                <w:szCs w:val="15"/>
              </w:rPr>
              <w:t>运营单位</w:t>
            </w:r>
          </w:p>
        </w:tc>
        <w:tc>
          <w:tcPr>
            <w:tcW w:w="2878" w:type="dxa"/>
            <w:gridSpan w:val="4"/>
            <w:vAlign w:val="center"/>
          </w:tcPr>
          <w:p w14:paraId="0898A05C">
            <w:pPr>
              <w:pStyle w:val="53"/>
              <w:adjustRightInd w:val="0"/>
              <w:snapToGrid w:val="0"/>
              <w:contextualSpacing w:val="0"/>
              <w:rPr>
                <w:rFonts w:eastAsiaTheme="minorEastAsia"/>
                <w:b/>
                <w:bCs/>
                <w:color w:val="auto"/>
                <w:sz w:val="15"/>
                <w:szCs w:val="15"/>
              </w:rPr>
            </w:pPr>
            <w:r>
              <w:rPr>
                <w:rFonts w:eastAsiaTheme="minorEastAsia"/>
                <w:color w:val="auto"/>
                <w:kern w:val="2"/>
                <w:sz w:val="15"/>
                <w:szCs w:val="15"/>
              </w:rPr>
              <w:t>新乡市万宝科技有限公司</w:t>
            </w:r>
          </w:p>
        </w:tc>
        <w:tc>
          <w:tcPr>
            <w:tcW w:w="3217" w:type="dxa"/>
            <w:gridSpan w:val="4"/>
            <w:vAlign w:val="center"/>
          </w:tcPr>
          <w:p w14:paraId="624C9E78">
            <w:pPr>
              <w:pStyle w:val="53"/>
              <w:adjustRightInd w:val="0"/>
              <w:snapToGrid w:val="0"/>
              <w:contextualSpacing w:val="0"/>
              <w:rPr>
                <w:rFonts w:eastAsiaTheme="minorEastAsia"/>
                <w:b/>
                <w:bCs/>
                <w:color w:val="auto"/>
                <w:sz w:val="15"/>
                <w:szCs w:val="15"/>
              </w:rPr>
            </w:pPr>
            <w:r>
              <w:rPr>
                <w:rFonts w:eastAsiaTheme="minorEastAsia"/>
                <w:b/>
                <w:bCs/>
                <w:color w:val="auto"/>
                <w:sz w:val="15"/>
                <w:szCs w:val="15"/>
              </w:rPr>
              <w:t>运营单位统一社会信用代码</w:t>
            </w:r>
          </w:p>
          <w:p w14:paraId="30685283">
            <w:pPr>
              <w:pStyle w:val="53"/>
              <w:adjustRightInd w:val="0"/>
              <w:snapToGrid w:val="0"/>
              <w:contextualSpacing w:val="0"/>
              <w:rPr>
                <w:rFonts w:eastAsiaTheme="minorEastAsia"/>
                <w:b/>
                <w:bCs/>
                <w:color w:val="auto"/>
                <w:sz w:val="15"/>
                <w:szCs w:val="15"/>
              </w:rPr>
            </w:pPr>
            <w:r>
              <w:rPr>
                <w:rFonts w:eastAsiaTheme="minorEastAsia"/>
                <w:b/>
                <w:bCs/>
                <w:color w:val="auto"/>
                <w:sz w:val="15"/>
                <w:szCs w:val="15"/>
              </w:rPr>
              <w:t>（或组织机构代码）</w:t>
            </w:r>
          </w:p>
        </w:tc>
        <w:tc>
          <w:tcPr>
            <w:tcW w:w="2126" w:type="dxa"/>
            <w:gridSpan w:val="2"/>
            <w:tcMar>
              <w:top w:w="0" w:type="dxa"/>
              <w:left w:w="57" w:type="dxa"/>
              <w:bottom w:w="0" w:type="dxa"/>
              <w:right w:w="57" w:type="dxa"/>
            </w:tcMar>
            <w:vAlign w:val="center"/>
          </w:tcPr>
          <w:p w14:paraId="2D323B2A">
            <w:pPr>
              <w:pStyle w:val="53"/>
              <w:adjustRightInd w:val="0"/>
              <w:snapToGrid w:val="0"/>
              <w:contextualSpacing w:val="0"/>
              <w:rPr>
                <w:rFonts w:eastAsiaTheme="minorEastAsia"/>
                <w:color w:val="auto"/>
                <w:sz w:val="15"/>
                <w:szCs w:val="15"/>
              </w:rPr>
            </w:pPr>
            <w:r>
              <w:rPr>
                <w:rFonts w:hint="eastAsia" w:eastAsiaTheme="minorEastAsia"/>
                <w:color w:val="auto"/>
                <w:sz w:val="15"/>
                <w:szCs w:val="15"/>
              </w:rPr>
              <w:t>91410704MA9GB3524A</w:t>
            </w:r>
          </w:p>
        </w:tc>
        <w:tc>
          <w:tcPr>
            <w:tcW w:w="1745" w:type="dxa"/>
            <w:gridSpan w:val="2"/>
            <w:tcMar>
              <w:top w:w="0" w:type="dxa"/>
              <w:left w:w="57" w:type="dxa"/>
              <w:bottom w:w="0" w:type="dxa"/>
              <w:right w:w="57" w:type="dxa"/>
            </w:tcMar>
            <w:vAlign w:val="center"/>
          </w:tcPr>
          <w:p w14:paraId="7B149059">
            <w:pPr>
              <w:pStyle w:val="53"/>
              <w:adjustRightInd w:val="0"/>
              <w:snapToGrid w:val="0"/>
              <w:contextualSpacing w:val="0"/>
              <w:rPr>
                <w:rFonts w:eastAsiaTheme="minorEastAsia"/>
                <w:b/>
                <w:bCs/>
                <w:color w:val="auto"/>
                <w:sz w:val="15"/>
                <w:szCs w:val="15"/>
              </w:rPr>
            </w:pPr>
            <w:r>
              <w:rPr>
                <w:rFonts w:eastAsiaTheme="minorEastAsia"/>
                <w:b/>
                <w:bCs/>
                <w:color w:val="auto"/>
                <w:sz w:val="15"/>
                <w:szCs w:val="15"/>
              </w:rPr>
              <w:t>验收时间</w:t>
            </w:r>
          </w:p>
        </w:tc>
        <w:tc>
          <w:tcPr>
            <w:tcW w:w="2159" w:type="dxa"/>
            <w:gridSpan w:val="5"/>
            <w:tcMar>
              <w:top w:w="0" w:type="dxa"/>
              <w:left w:w="57" w:type="dxa"/>
              <w:bottom w:w="0" w:type="dxa"/>
              <w:right w:w="57" w:type="dxa"/>
            </w:tcMar>
            <w:vAlign w:val="center"/>
          </w:tcPr>
          <w:p w14:paraId="5EF29B38">
            <w:pPr>
              <w:pStyle w:val="53"/>
              <w:adjustRightInd w:val="0"/>
              <w:snapToGrid w:val="0"/>
              <w:contextualSpacing w:val="0"/>
              <w:rPr>
                <w:rFonts w:hint="default" w:eastAsiaTheme="minorEastAsia"/>
                <w:color w:val="auto"/>
                <w:sz w:val="15"/>
                <w:szCs w:val="15"/>
                <w:lang w:val="en-US" w:eastAsia="zh-CN"/>
              </w:rPr>
            </w:pPr>
            <w:r>
              <w:rPr>
                <w:rFonts w:eastAsiaTheme="minorEastAsia"/>
                <w:color w:val="auto"/>
                <w:sz w:val="15"/>
                <w:szCs w:val="15"/>
              </w:rPr>
              <w:t>202</w:t>
            </w:r>
            <w:r>
              <w:rPr>
                <w:rFonts w:hint="eastAsia" w:eastAsiaTheme="minorEastAsia"/>
                <w:color w:val="auto"/>
                <w:sz w:val="15"/>
                <w:szCs w:val="15"/>
                <w:lang w:val="en-US" w:eastAsia="zh-CN"/>
              </w:rPr>
              <w:t>6</w:t>
            </w:r>
            <w:r>
              <w:rPr>
                <w:rFonts w:eastAsiaTheme="minorEastAsia"/>
                <w:color w:val="auto"/>
                <w:sz w:val="15"/>
                <w:szCs w:val="15"/>
              </w:rPr>
              <w:t>年</w:t>
            </w:r>
            <w:r>
              <w:rPr>
                <w:rFonts w:hint="eastAsia" w:eastAsiaTheme="minorEastAsia"/>
                <w:color w:val="auto"/>
                <w:sz w:val="15"/>
                <w:szCs w:val="15"/>
                <w:lang w:val="en-US" w:eastAsia="zh-CN"/>
              </w:rPr>
              <w:t>2</w:t>
            </w:r>
            <w:r>
              <w:rPr>
                <w:rFonts w:eastAsiaTheme="minorEastAsia"/>
                <w:color w:val="auto"/>
                <w:sz w:val="15"/>
                <w:szCs w:val="15"/>
              </w:rPr>
              <w:t>月</w:t>
            </w:r>
            <w:r>
              <w:rPr>
                <w:rFonts w:hint="eastAsia" w:eastAsiaTheme="minorEastAsia"/>
                <w:color w:val="auto"/>
                <w:sz w:val="15"/>
                <w:szCs w:val="15"/>
                <w:lang w:val="en-US" w:eastAsia="zh-CN"/>
              </w:rPr>
              <w:t>-8月</w:t>
            </w:r>
          </w:p>
        </w:tc>
      </w:tr>
      <w:tr w14:paraId="15CE43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49" w:hRule="atLeast"/>
          <w:jc w:val="center"/>
        </w:trPr>
        <w:tc>
          <w:tcPr>
            <w:tcW w:w="601" w:type="dxa"/>
            <w:vMerge w:val="restart"/>
            <w:vAlign w:val="center"/>
          </w:tcPr>
          <w:p w14:paraId="68FAFDF3">
            <w:pPr>
              <w:pStyle w:val="53"/>
              <w:adjustRightInd w:val="0"/>
              <w:snapToGrid w:val="0"/>
              <w:contextualSpacing w:val="0"/>
              <w:rPr>
                <w:rFonts w:eastAsiaTheme="minorEastAsia"/>
                <w:b/>
                <w:bCs/>
                <w:color w:val="auto"/>
                <w:spacing w:val="20"/>
                <w:sz w:val="15"/>
                <w:szCs w:val="15"/>
              </w:rPr>
            </w:pPr>
            <w:r>
              <w:rPr>
                <w:rFonts w:eastAsiaTheme="minorEastAsia"/>
                <w:b/>
                <w:bCs/>
                <w:color w:val="auto"/>
                <w:spacing w:val="20"/>
                <w:sz w:val="15"/>
                <w:szCs w:val="15"/>
              </w:rPr>
              <w:t>污染</w:t>
            </w:r>
          </w:p>
          <w:p w14:paraId="7FED35A8">
            <w:pPr>
              <w:pStyle w:val="53"/>
              <w:adjustRightInd w:val="0"/>
              <w:snapToGrid w:val="0"/>
              <w:contextualSpacing w:val="0"/>
              <w:rPr>
                <w:rFonts w:eastAsiaTheme="minorEastAsia"/>
                <w:b/>
                <w:bCs/>
                <w:color w:val="auto"/>
                <w:spacing w:val="20"/>
                <w:sz w:val="15"/>
                <w:szCs w:val="15"/>
              </w:rPr>
            </w:pPr>
            <w:r>
              <w:rPr>
                <w:rFonts w:eastAsiaTheme="minorEastAsia"/>
                <w:b/>
                <w:bCs/>
                <w:color w:val="auto"/>
                <w:spacing w:val="20"/>
                <w:sz w:val="15"/>
                <w:szCs w:val="15"/>
              </w:rPr>
              <w:t>物排</w:t>
            </w:r>
          </w:p>
          <w:p w14:paraId="4A305AD4">
            <w:pPr>
              <w:pStyle w:val="53"/>
              <w:adjustRightInd w:val="0"/>
              <w:snapToGrid w:val="0"/>
              <w:contextualSpacing w:val="0"/>
              <w:rPr>
                <w:rFonts w:eastAsiaTheme="minorEastAsia"/>
                <w:b/>
                <w:bCs/>
                <w:color w:val="auto"/>
                <w:spacing w:val="20"/>
                <w:sz w:val="15"/>
                <w:szCs w:val="15"/>
              </w:rPr>
            </w:pPr>
            <w:r>
              <w:rPr>
                <w:rFonts w:eastAsiaTheme="minorEastAsia"/>
                <w:b/>
                <w:bCs/>
                <w:color w:val="auto"/>
                <w:spacing w:val="20"/>
                <w:sz w:val="15"/>
                <w:szCs w:val="15"/>
              </w:rPr>
              <w:t>放达</w:t>
            </w:r>
          </w:p>
          <w:p w14:paraId="3C1946F7">
            <w:pPr>
              <w:pStyle w:val="53"/>
              <w:adjustRightInd w:val="0"/>
              <w:snapToGrid w:val="0"/>
              <w:contextualSpacing w:val="0"/>
              <w:rPr>
                <w:rFonts w:eastAsiaTheme="minorEastAsia"/>
                <w:b/>
                <w:bCs/>
                <w:color w:val="auto"/>
                <w:spacing w:val="20"/>
                <w:sz w:val="15"/>
                <w:szCs w:val="15"/>
              </w:rPr>
            </w:pPr>
            <w:r>
              <w:rPr>
                <w:rFonts w:eastAsiaTheme="minorEastAsia"/>
                <w:b/>
                <w:bCs/>
                <w:color w:val="auto"/>
                <w:spacing w:val="20"/>
                <w:sz w:val="15"/>
                <w:szCs w:val="15"/>
              </w:rPr>
              <w:t>标与</w:t>
            </w:r>
          </w:p>
          <w:p w14:paraId="30C4444D">
            <w:pPr>
              <w:pStyle w:val="53"/>
              <w:adjustRightInd w:val="0"/>
              <w:snapToGrid w:val="0"/>
              <w:contextualSpacing w:val="0"/>
              <w:rPr>
                <w:rFonts w:eastAsiaTheme="minorEastAsia"/>
                <w:b/>
                <w:bCs/>
                <w:color w:val="auto"/>
                <w:spacing w:val="20"/>
                <w:sz w:val="15"/>
                <w:szCs w:val="15"/>
              </w:rPr>
            </w:pPr>
            <w:r>
              <w:rPr>
                <w:rFonts w:eastAsiaTheme="minorEastAsia"/>
                <w:b/>
                <w:bCs/>
                <w:color w:val="auto"/>
                <w:spacing w:val="20"/>
                <w:sz w:val="15"/>
                <w:szCs w:val="15"/>
              </w:rPr>
              <w:t>总量</w:t>
            </w:r>
          </w:p>
          <w:p w14:paraId="747D1E41">
            <w:pPr>
              <w:pStyle w:val="53"/>
              <w:adjustRightInd w:val="0"/>
              <w:snapToGrid w:val="0"/>
              <w:contextualSpacing w:val="0"/>
              <w:rPr>
                <w:rFonts w:eastAsiaTheme="minorEastAsia"/>
                <w:b/>
                <w:bCs/>
                <w:color w:val="auto"/>
                <w:spacing w:val="20"/>
                <w:sz w:val="15"/>
                <w:szCs w:val="15"/>
              </w:rPr>
            </w:pPr>
            <w:r>
              <w:rPr>
                <w:rFonts w:eastAsiaTheme="minorEastAsia"/>
                <w:b/>
                <w:bCs/>
                <w:color w:val="auto"/>
                <w:spacing w:val="20"/>
                <w:sz w:val="15"/>
                <w:szCs w:val="15"/>
              </w:rPr>
              <w:t>控制（工</w:t>
            </w:r>
          </w:p>
          <w:p w14:paraId="7EFE8D1C">
            <w:pPr>
              <w:pStyle w:val="53"/>
              <w:adjustRightInd w:val="0"/>
              <w:snapToGrid w:val="0"/>
              <w:contextualSpacing w:val="0"/>
              <w:rPr>
                <w:rFonts w:eastAsiaTheme="minorEastAsia"/>
                <w:b/>
                <w:bCs/>
                <w:color w:val="auto"/>
                <w:spacing w:val="20"/>
                <w:sz w:val="15"/>
                <w:szCs w:val="15"/>
              </w:rPr>
            </w:pPr>
            <w:r>
              <w:rPr>
                <w:rFonts w:eastAsiaTheme="minorEastAsia"/>
                <w:b/>
                <w:bCs/>
                <w:color w:val="auto"/>
                <w:spacing w:val="20"/>
                <w:sz w:val="15"/>
                <w:szCs w:val="15"/>
              </w:rPr>
              <w:t>业建</w:t>
            </w:r>
          </w:p>
          <w:p w14:paraId="067861CA">
            <w:pPr>
              <w:pStyle w:val="53"/>
              <w:adjustRightInd w:val="0"/>
              <w:snapToGrid w:val="0"/>
              <w:contextualSpacing w:val="0"/>
              <w:rPr>
                <w:rFonts w:eastAsiaTheme="minorEastAsia"/>
                <w:b/>
                <w:bCs/>
                <w:color w:val="auto"/>
                <w:spacing w:val="20"/>
                <w:sz w:val="15"/>
                <w:szCs w:val="15"/>
              </w:rPr>
            </w:pPr>
            <w:r>
              <w:rPr>
                <w:rFonts w:eastAsiaTheme="minorEastAsia"/>
                <w:b/>
                <w:bCs/>
                <w:color w:val="auto"/>
                <w:spacing w:val="20"/>
                <w:sz w:val="15"/>
                <w:szCs w:val="15"/>
              </w:rPr>
              <w:t>设项</w:t>
            </w:r>
          </w:p>
          <w:p w14:paraId="534C242D">
            <w:pPr>
              <w:pStyle w:val="53"/>
              <w:adjustRightInd w:val="0"/>
              <w:snapToGrid w:val="0"/>
              <w:contextualSpacing w:val="0"/>
              <w:rPr>
                <w:rFonts w:eastAsiaTheme="minorEastAsia"/>
                <w:b/>
                <w:bCs/>
                <w:color w:val="auto"/>
                <w:spacing w:val="20"/>
                <w:sz w:val="15"/>
                <w:szCs w:val="15"/>
              </w:rPr>
            </w:pPr>
            <w:r>
              <w:rPr>
                <w:rFonts w:eastAsiaTheme="minorEastAsia"/>
                <w:b/>
                <w:bCs/>
                <w:color w:val="auto"/>
                <w:spacing w:val="20"/>
                <w:sz w:val="15"/>
                <w:szCs w:val="15"/>
              </w:rPr>
              <w:t>目详填）</w:t>
            </w:r>
          </w:p>
        </w:tc>
        <w:tc>
          <w:tcPr>
            <w:tcW w:w="2083" w:type="dxa"/>
            <w:gridSpan w:val="2"/>
            <w:vAlign w:val="center"/>
          </w:tcPr>
          <w:p w14:paraId="2B14A91E">
            <w:pPr>
              <w:pStyle w:val="53"/>
              <w:adjustRightInd w:val="0"/>
              <w:snapToGrid w:val="0"/>
              <w:contextualSpacing w:val="0"/>
              <w:rPr>
                <w:rFonts w:eastAsiaTheme="minorEastAsia"/>
                <w:b/>
                <w:bCs/>
                <w:color w:val="auto"/>
                <w:sz w:val="15"/>
                <w:szCs w:val="15"/>
              </w:rPr>
            </w:pPr>
            <w:r>
              <w:rPr>
                <w:rFonts w:eastAsiaTheme="minorEastAsia"/>
                <w:b/>
                <w:bCs/>
                <w:color w:val="auto"/>
                <w:sz w:val="15"/>
                <w:szCs w:val="15"/>
              </w:rPr>
              <w:t>污染物</w:t>
            </w:r>
          </w:p>
        </w:tc>
        <w:tc>
          <w:tcPr>
            <w:tcW w:w="850" w:type="dxa"/>
            <w:vAlign w:val="center"/>
          </w:tcPr>
          <w:p w14:paraId="52A8A469">
            <w:pPr>
              <w:pStyle w:val="53"/>
              <w:adjustRightInd w:val="0"/>
              <w:snapToGrid w:val="0"/>
              <w:contextualSpacing w:val="0"/>
              <w:rPr>
                <w:rFonts w:eastAsiaTheme="minorEastAsia"/>
                <w:b/>
                <w:bCs/>
                <w:color w:val="auto"/>
                <w:sz w:val="15"/>
                <w:szCs w:val="15"/>
              </w:rPr>
            </w:pPr>
            <w:r>
              <w:rPr>
                <w:rFonts w:eastAsiaTheme="minorEastAsia"/>
                <w:b/>
                <w:bCs/>
                <w:color w:val="auto"/>
                <w:sz w:val="15"/>
                <w:szCs w:val="15"/>
              </w:rPr>
              <w:t>原有排</w:t>
            </w:r>
          </w:p>
          <w:p w14:paraId="2AB8390C">
            <w:pPr>
              <w:pStyle w:val="53"/>
              <w:adjustRightInd w:val="0"/>
              <w:snapToGrid w:val="0"/>
              <w:contextualSpacing w:val="0"/>
              <w:rPr>
                <w:rFonts w:eastAsiaTheme="minorEastAsia"/>
                <w:b/>
                <w:bCs/>
                <w:color w:val="auto"/>
                <w:sz w:val="15"/>
                <w:szCs w:val="15"/>
              </w:rPr>
            </w:pPr>
            <w:r>
              <w:rPr>
                <w:rFonts w:eastAsiaTheme="minorEastAsia"/>
                <w:b/>
                <w:bCs/>
                <w:color w:val="auto"/>
                <w:sz w:val="15"/>
                <w:szCs w:val="15"/>
              </w:rPr>
              <w:t>放量(1)</w:t>
            </w:r>
          </w:p>
        </w:tc>
        <w:tc>
          <w:tcPr>
            <w:tcW w:w="894" w:type="dxa"/>
            <w:vAlign w:val="center"/>
          </w:tcPr>
          <w:p w14:paraId="78714039">
            <w:pPr>
              <w:pStyle w:val="53"/>
              <w:adjustRightInd w:val="0"/>
              <w:snapToGrid w:val="0"/>
              <w:contextualSpacing w:val="0"/>
              <w:rPr>
                <w:rFonts w:eastAsiaTheme="minorEastAsia"/>
                <w:b/>
                <w:bCs/>
                <w:color w:val="auto"/>
                <w:sz w:val="15"/>
                <w:szCs w:val="15"/>
              </w:rPr>
            </w:pPr>
            <w:r>
              <w:rPr>
                <w:rFonts w:eastAsiaTheme="minorEastAsia"/>
                <w:b/>
                <w:bCs/>
                <w:color w:val="auto"/>
                <w:sz w:val="15"/>
                <w:szCs w:val="15"/>
              </w:rPr>
              <w:t>本期工程实际排放浓度(2)</w:t>
            </w:r>
          </w:p>
        </w:tc>
        <w:tc>
          <w:tcPr>
            <w:tcW w:w="1134" w:type="dxa"/>
            <w:gridSpan w:val="2"/>
            <w:vAlign w:val="center"/>
          </w:tcPr>
          <w:p w14:paraId="2BB9B3C2">
            <w:pPr>
              <w:pStyle w:val="53"/>
              <w:adjustRightInd w:val="0"/>
              <w:snapToGrid w:val="0"/>
              <w:contextualSpacing w:val="0"/>
              <w:rPr>
                <w:rFonts w:eastAsiaTheme="minorEastAsia"/>
                <w:b/>
                <w:bCs/>
                <w:color w:val="auto"/>
                <w:sz w:val="15"/>
                <w:szCs w:val="15"/>
              </w:rPr>
            </w:pPr>
            <w:r>
              <w:rPr>
                <w:rFonts w:eastAsiaTheme="minorEastAsia"/>
                <w:b/>
                <w:bCs/>
                <w:color w:val="auto"/>
                <w:sz w:val="15"/>
                <w:szCs w:val="15"/>
              </w:rPr>
              <w:t>本期工程允许排放浓度(3)</w:t>
            </w:r>
          </w:p>
        </w:tc>
        <w:tc>
          <w:tcPr>
            <w:tcW w:w="1276" w:type="dxa"/>
            <w:gridSpan w:val="2"/>
            <w:vAlign w:val="center"/>
          </w:tcPr>
          <w:p w14:paraId="0E31E66E">
            <w:pPr>
              <w:pStyle w:val="53"/>
              <w:adjustRightInd w:val="0"/>
              <w:snapToGrid w:val="0"/>
              <w:contextualSpacing w:val="0"/>
              <w:rPr>
                <w:rFonts w:eastAsiaTheme="minorEastAsia"/>
                <w:b/>
                <w:bCs/>
                <w:color w:val="auto"/>
                <w:sz w:val="15"/>
                <w:szCs w:val="15"/>
              </w:rPr>
            </w:pPr>
            <w:r>
              <w:rPr>
                <w:rFonts w:eastAsiaTheme="minorEastAsia"/>
                <w:b/>
                <w:bCs/>
                <w:color w:val="auto"/>
                <w:sz w:val="15"/>
                <w:szCs w:val="15"/>
              </w:rPr>
              <w:t>本期工程产生量(4)</w:t>
            </w:r>
          </w:p>
        </w:tc>
        <w:tc>
          <w:tcPr>
            <w:tcW w:w="992" w:type="dxa"/>
            <w:vAlign w:val="center"/>
          </w:tcPr>
          <w:p w14:paraId="2B61D258">
            <w:pPr>
              <w:pStyle w:val="53"/>
              <w:adjustRightInd w:val="0"/>
              <w:snapToGrid w:val="0"/>
              <w:contextualSpacing w:val="0"/>
              <w:rPr>
                <w:rFonts w:eastAsiaTheme="minorEastAsia"/>
                <w:b/>
                <w:bCs/>
                <w:color w:val="auto"/>
                <w:sz w:val="15"/>
                <w:szCs w:val="15"/>
              </w:rPr>
            </w:pPr>
            <w:r>
              <w:rPr>
                <w:rFonts w:eastAsiaTheme="minorEastAsia"/>
                <w:b/>
                <w:bCs/>
                <w:color w:val="auto"/>
                <w:sz w:val="15"/>
                <w:szCs w:val="15"/>
              </w:rPr>
              <w:t>本期工程自身削减量(5)</w:t>
            </w:r>
          </w:p>
        </w:tc>
        <w:tc>
          <w:tcPr>
            <w:tcW w:w="949" w:type="dxa"/>
            <w:vAlign w:val="center"/>
          </w:tcPr>
          <w:p w14:paraId="62CF3F47">
            <w:pPr>
              <w:pStyle w:val="53"/>
              <w:adjustRightInd w:val="0"/>
              <w:snapToGrid w:val="0"/>
              <w:contextualSpacing w:val="0"/>
              <w:rPr>
                <w:rFonts w:eastAsiaTheme="minorEastAsia"/>
                <w:b/>
                <w:bCs/>
                <w:color w:val="auto"/>
                <w:sz w:val="15"/>
                <w:szCs w:val="15"/>
              </w:rPr>
            </w:pPr>
            <w:r>
              <w:rPr>
                <w:rFonts w:eastAsiaTheme="minorEastAsia"/>
                <w:b/>
                <w:bCs/>
                <w:color w:val="auto"/>
                <w:sz w:val="15"/>
                <w:szCs w:val="15"/>
              </w:rPr>
              <w:t>本期工程实际排放量(6)</w:t>
            </w:r>
          </w:p>
        </w:tc>
        <w:tc>
          <w:tcPr>
            <w:tcW w:w="894" w:type="dxa"/>
            <w:vAlign w:val="center"/>
          </w:tcPr>
          <w:p w14:paraId="43BB614E">
            <w:pPr>
              <w:pStyle w:val="53"/>
              <w:adjustRightInd w:val="0"/>
              <w:snapToGrid w:val="0"/>
              <w:contextualSpacing w:val="0"/>
              <w:rPr>
                <w:rFonts w:eastAsiaTheme="minorEastAsia"/>
                <w:b/>
                <w:bCs/>
                <w:color w:val="auto"/>
                <w:sz w:val="15"/>
                <w:szCs w:val="15"/>
              </w:rPr>
            </w:pPr>
            <w:r>
              <w:rPr>
                <w:rFonts w:eastAsiaTheme="minorEastAsia"/>
                <w:b/>
                <w:bCs/>
                <w:color w:val="auto"/>
                <w:sz w:val="15"/>
                <w:szCs w:val="15"/>
              </w:rPr>
              <w:t>本期工程核定排放总量(7)</w:t>
            </w:r>
          </w:p>
        </w:tc>
        <w:tc>
          <w:tcPr>
            <w:tcW w:w="1232" w:type="dxa"/>
            <w:vAlign w:val="center"/>
          </w:tcPr>
          <w:p w14:paraId="0690D75D">
            <w:pPr>
              <w:pStyle w:val="53"/>
              <w:adjustRightInd w:val="0"/>
              <w:snapToGrid w:val="0"/>
              <w:contextualSpacing w:val="0"/>
              <w:rPr>
                <w:rFonts w:eastAsiaTheme="minorEastAsia"/>
                <w:b/>
                <w:bCs/>
                <w:color w:val="auto"/>
                <w:sz w:val="15"/>
                <w:szCs w:val="15"/>
              </w:rPr>
            </w:pPr>
            <w:r>
              <w:rPr>
                <w:rFonts w:eastAsiaTheme="minorEastAsia"/>
                <w:b/>
                <w:bCs/>
                <w:color w:val="auto"/>
                <w:sz w:val="15"/>
                <w:szCs w:val="15"/>
              </w:rPr>
              <w:t>本期工程“以新带老”削减量(8)</w:t>
            </w:r>
          </w:p>
        </w:tc>
        <w:tc>
          <w:tcPr>
            <w:tcW w:w="894" w:type="dxa"/>
            <w:vAlign w:val="center"/>
          </w:tcPr>
          <w:p w14:paraId="7DA2BF15">
            <w:pPr>
              <w:pStyle w:val="53"/>
              <w:adjustRightInd w:val="0"/>
              <w:snapToGrid w:val="0"/>
              <w:contextualSpacing w:val="0"/>
              <w:rPr>
                <w:rFonts w:eastAsiaTheme="minorEastAsia"/>
                <w:b/>
                <w:bCs/>
                <w:color w:val="auto"/>
                <w:sz w:val="15"/>
                <w:szCs w:val="15"/>
              </w:rPr>
            </w:pPr>
            <w:r>
              <w:rPr>
                <w:rFonts w:eastAsiaTheme="minorEastAsia"/>
                <w:b/>
                <w:bCs/>
                <w:color w:val="auto"/>
                <w:sz w:val="15"/>
                <w:szCs w:val="15"/>
              </w:rPr>
              <w:t>全厂实际排放总量(9)</w:t>
            </w:r>
          </w:p>
        </w:tc>
        <w:tc>
          <w:tcPr>
            <w:tcW w:w="851" w:type="dxa"/>
            <w:vAlign w:val="center"/>
          </w:tcPr>
          <w:p w14:paraId="67898096">
            <w:pPr>
              <w:pStyle w:val="53"/>
              <w:adjustRightInd w:val="0"/>
              <w:snapToGrid w:val="0"/>
              <w:contextualSpacing w:val="0"/>
              <w:rPr>
                <w:rFonts w:eastAsiaTheme="minorEastAsia"/>
                <w:b/>
                <w:bCs/>
                <w:color w:val="auto"/>
                <w:sz w:val="15"/>
                <w:szCs w:val="15"/>
              </w:rPr>
            </w:pPr>
            <w:r>
              <w:rPr>
                <w:rFonts w:eastAsiaTheme="minorEastAsia"/>
                <w:b/>
                <w:bCs/>
                <w:color w:val="auto"/>
                <w:sz w:val="15"/>
                <w:szCs w:val="15"/>
              </w:rPr>
              <w:t>全厂核定排放总量(10)</w:t>
            </w:r>
          </w:p>
        </w:tc>
        <w:tc>
          <w:tcPr>
            <w:tcW w:w="1276" w:type="dxa"/>
            <w:gridSpan w:val="3"/>
            <w:tcMar>
              <w:top w:w="0" w:type="dxa"/>
              <w:left w:w="57" w:type="dxa"/>
              <w:bottom w:w="0" w:type="dxa"/>
              <w:right w:w="57" w:type="dxa"/>
            </w:tcMar>
            <w:vAlign w:val="center"/>
          </w:tcPr>
          <w:p w14:paraId="2116F35B">
            <w:pPr>
              <w:pStyle w:val="53"/>
              <w:adjustRightInd w:val="0"/>
              <w:snapToGrid w:val="0"/>
              <w:contextualSpacing w:val="0"/>
              <w:rPr>
                <w:rFonts w:eastAsiaTheme="minorEastAsia"/>
                <w:b/>
                <w:bCs/>
                <w:color w:val="auto"/>
                <w:sz w:val="15"/>
                <w:szCs w:val="15"/>
              </w:rPr>
            </w:pPr>
            <w:r>
              <w:rPr>
                <w:rFonts w:eastAsiaTheme="minorEastAsia"/>
                <w:b/>
                <w:bCs/>
                <w:color w:val="auto"/>
                <w:sz w:val="15"/>
                <w:szCs w:val="15"/>
              </w:rPr>
              <w:t>区域平衡替代削减量(11)</w:t>
            </w:r>
          </w:p>
        </w:tc>
        <w:tc>
          <w:tcPr>
            <w:tcW w:w="883" w:type="dxa"/>
            <w:gridSpan w:val="2"/>
            <w:tcMar>
              <w:top w:w="0" w:type="dxa"/>
              <w:left w:w="57" w:type="dxa"/>
              <w:bottom w:w="0" w:type="dxa"/>
              <w:right w:w="57" w:type="dxa"/>
            </w:tcMar>
            <w:vAlign w:val="center"/>
          </w:tcPr>
          <w:p w14:paraId="08829D03">
            <w:pPr>
              <w:pStyle w:val="53"/>
              <w:adjustRightInd w:val="0"/>
              <w:snapToGrid w:val="0"/>
              <w:contextualSpacing w:val="0"/>
              <w:rPr>
                <w:rFonts w:eastAsiaTheme="minorEastAsia"/>
                <w:b/>
                <w:bCs/>
                <w:color w:val="auto"/>
                <w:sz w:val="15"/>
                <w:szCs w:val="15"/>
              </w:rPr>
            </w:pPr>
            <w:r>
              <w:rPr>
                <w:rFonts w:eastAsiaTheme="minorEastAsia"/>
                <w:b/>
                <w:bCs/>
                <w:color w:val="auto"/>
                <w:sz w:val="15"/>
                <w:szCs w:val="15"/>
              </w:rPr>
              <w:t>排放增减量(12)</w:t>
            </w:r>
          </w:p>
        </w:tc>
      </w:tr>
      <w:tr w14:paraId="3E397F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49" w:hRule="atLeast"/>
          <w:jc w:val="center"/>
        </w:trPr>
        <w:tc>
          <w:tcPr>
            <w:tcW w:w="601" w:type="dxa"/>
            <w:vMerge w:val="continue"/>
            <w:vAlign w:val="center"/>
          </w:tcPr>
          <w:p w14:paraId="24FA7D35">
            <w:pPr>
              <w:pStyle w:val="53"/>
              <w:adjustRightInd w:val="0"/>
              <w:snapToGrid w:val="0"/>
              <w:contextualSpacing w:val="0"/>
              <w:rPr>
                <w:rFonts w:eastAsiaTheme="minorEastAsia"/>
                <w:b/>
                <w:bCs/>
                <w:color w:val="auto"/>
                <w:spacing w:val="20"/>
                <w:sz w:val="15"/>
                <w:szCs w:val="15"/>
              </w:rPr>
            </w:pPr>
          </w:p>
        </w:tc>
        <w:tc>
          <w:tcPr>
            <w:tcW w:w="2083" w:type="dxa"/>
            <w:gridSpan w:val="2"/>
            <w:vAlign w:val="center"/>
          </w:tcPr>
          <w:p w14:paraId="38A225DB">
            <w:pPr>
              <w:pStyle w:val="53"/>
              <w:adjustRightInd w:val="0"/>
              <w:snapToGrid w:val="0"/>
              <w:contextualSpacing w:val="0"/>
              <w:rPr>
                <w:rFonts w:eastAsiaTheme="minorEastAsia"/>
                <w:b/>
                <w:bCs/>
                <w:color w:val="auto"/>
                <w:sz w:val="15"/>
                <w:szCs w:val="15"/>
              </w:rPr>
            </w:pPr>
            <w:r>
              <w:rPr>
                <w:rFonts w:eastAsiaTheme="minorEastAsia"/>
                <w:b/>
                <w:bCs/>
                <w:color w:val="auto"/>
                <w:kern w:val="2"/>
                <w:sz w:val="15"/>
                <w:szCs w:val="15"/>
              </w:rPr>
              <w:t>废水（万吨）</w:t>
            </w:r>
          </w:p>
        </w:tc>
        <w:tc>
          <w:tcPr>
            <w:tcW w:w="850" w:type="dxa"/>
            <w:vAlign w:val="center"/>
          </w:tcPr>
          <w:p w14:paraId="3F9326F6">
            <w:pPr>
              <w:pStyle w:val="53"/>
              <w:adjustRightInd w:val="0"/>
              <w:snapToGrid w:val="0"/>
              <w:contextualSpacing w:val="0"/>
              <w:rPr>
                <w:rFonts w:eastAsiaTheme="minorEastAsia"/>
                <w:color w:val="auto"/>
                <w:sz w:val="15"/>
                <w:szCs w:val="15"/>
              </w:rPr>
            </w:pPr>
            <w:r>
              <w:rPr>
                <w:rFonts w:hint="eastAsia" w:eastAsiaTheme="minorEastAsia"/>
                <w:color w:val="auto"/>
                <w:sz w:val="15"/>
                <w:szCs w:val="15"/>
              </w:rPr>
              <w:t>/</w:t>
            </w:r>
          </w:p>
        </w:tc>
        <w:tc>
          <w:tcPr>
            <w:tcW w:w="894" w:type="dxa"/>
            <w:vAlign w:val="center"/>
          </w:tcPr>
          <w:p w14:paraId="0B4A947F">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1134" w:type="dxa"/>
            <w:gridSpan w:val="2"/>
            <w:vAlign w:val="center"/>
          </w:tcPr>
          <w:p w14:paraId="472F798B">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1276" w:type="dxa"/>
            <w:gridSpan w:val="2"/>
            <w:vAlign w:val="center"/>
          </w:tcPr>
          <w:p w14:paraId="0356A630">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992" w:type="dxa"/>
            <w:vAlign w:val="center"/>
          </w:tcPr>
          <w:p w14:paraId="2E322700">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949" w:type="dxa"/>
            <w:vAlign w:val="center"/>
          </w:tcPr>
          <w:p w14:paraId="550F013E">
            <w:pPr>
              <w:pStyle w:val="53"/>
              <w:adjustRightInd w:val="0"/>
              <w:snapToGrid w:val="0"/>
              <w:contextualSpacing w:val="0"/>
              <w:rPr>
                <w:rFonts w:hint="default" w:eastAsiaTheme="minorEastAsia"/>
                <w:color w:val="auto"/>
                <w:sz w:val="15"/>
                <w:szCs w:val="15"/>
                <w:lang w:val="en-US" w:eastAsia="zh-CN"/>
              </w:rPr>
            </w:pPr>
            <w:r>
              <w:rPr>
                <w:rFonts w:hint="eastAsia" w:eastAsiaTheme="minorEastAsia"/>
                <w:color w:val="auto"/>
                <w:sz w:val="15"/>
                <w:szCs w:val="15"/>
                <w:lang w:val="en-US" w:eastAsia="zh-CN"/>
              </w:rPr>
              <w:t>2.6100</w:t>
            </w:r>
          </w:p>
        </w:tc>
        <w:tc>
          <w:tcPr>
            <w:tcW w:w="894" w:type="dxa"/>
            <w:vAlign w:val="center"/>
          </w:tcPr>
          <w:p w14:paraId="3BAF83FC">
            <w:pPr>
              <w:pStyle w:val="53"/>
              <w:adjustRightInd w:val="0"/>
              <w:snapToGrid w:val="0"/>
              <w:contextualSpacing w:val="0"/>
              <w:rPr>
                <w:rFonts w:eastAsiaTheme="minorEastAsia"/>
                <w:color w:val="auto"/>
                <w:sz w:val="15"/>
                <w:szCs w:val="15"/>
              </w:rPr>
            </w:pPr>
            <w:r>
              <w:rPr>
                <w:rFonts w:hint="eastAsia" w:eastAsiaTheme="minorEastAsia"/>
                <w:color w:val="auto"/>
                <w:sz w:val="15"/>
                <w:szCs w:val="15"/>
                <w:lang w:val="en-US" w:eastAsia="zh-CN"/>
              </w:rPr>
              <w:t>2.6100</w:t>
            </w:r>
          </w:p>
        </w:tc>
        <w:tc>
          <w:tcPr>
            <w:tcW w:w="1232" w:type="dxa"/>
            <w:vAlign w:val="center"/>
          </w:tcPr>
          <w:p w14:paraId="576739EE">
            <w:pPr>
              <w:pStyle w:val="53"/>
              <w:adjustRightInd w:val="0"/>
              <w:snapToGrid w:val="0"/>
              <w:contextualSpacing w:val="0"/>
              <w:rPr>
                <w:rFonts w:eastAsiaTheme="minorEastAsia"/>
                <w:color w:val="auto"/>
                <w:sz w:val="15"/>
                <w:szCs w:val="15"/>
              </w:rPr>
            </w:pPr>
            <w:r>
              <w:rPr>
                <w:rFonts w:hint="eastAsia" w:eastAsiaTheme="minorEastAsia"/>
                <w:color w:val="auto"/>
                <w:kern w:val="2"/>
                <w:sz w:val="15"/>
                <w:szCs w:val="15"/>
              </w:rPr>
              <w:t>/</w:t>
            </w:r>
          </w:p>
        </w:tc>
        <w:tc>
          <w:tcPr>
            <w:tcW w:w="894" w:type="dxa"/>
            <w:vAlign w:val="center"/>
          </w:tcPr>
          <w:p w14:paraId="2E264211">
            <w:pPr>
              <w:pStyle w:val="53"/>
              <w:adjustRightInd w:val="0"/>
              <w:snapToGrid w:val="0"/>
              <w:contextualSpacing w:val="0"/>
              <w:rPr>
                <w:rFonts w:hint="default" w:eastAsiaTheme="minorEastAsia"/>
                <w:color w:val="auto"/>
                <w:sz w:val="15"/>
                <w:szCs w:val="15"/>
                <w:lang w:val="en-US" w:eastAsia="zh-CN"/>
              </w:rPr>
            </w:pPr>
            <w:r>
              <w:rPr>
                <w:rFonts w:hint="eastAsia" w:eastAsiaTheme="minorEastAsia"/>
                <w:color w:val="auto"/>
                <w:sz w:val="15"/>
                <w:szCs w:val="15"/>
                <w:lang w:val="en-US" w:eastAsia="zh-CN"/>
              </w:rPr>
              <w:t>3.6369</w:t>
            </w:r>
          </w:p>
        </w:tc>
        <w:tc>
          <w:tcPr>
            <w:tcW w:w="851" w:type="dxa"/>
            <w:shd w:val="clear" w:color="auto" w:fill="auto"/>
            <w:vAlign w:val="center"/>
          </w:tcPr>
          <w:p w14:paraId="0CC16184">
            <w:pPr>
              <w:pStyle w:val="53"/>
              <w:adjustRightInd w:val="0"/>
              <w:snapToGrid w:val="0"/>
              <w:ind w:firstLine="0" w:firstLineChars="0"/>
              <w:contextualSpacing w:val="0"/>
              <w:rPr>
                <w:rFonts w:hint="default" w:ascii="Times New Roman" w:hAnsi="Times New Roman" w:cs="Times New Roman" w:eastAsiaTheme="minorEastAsia"/>
                <w:color w:val="auto"/>
                <w:sz w:val="15"/>
                <w:szCs w:val="15"/>
                <w:lang w:val="en-US" w:eastAsia="zh-CN" w:bidi="ar-SA"/>
              </w:rPr>
            </w:pPr>
            <w:r>
              <w:rPr>
                <w:rFonts w:hint="eastAsia" w:eastAsiaTheme="minorEastAsia"/>
                <w:color w:val="auto"/>
                <w:sz w:val="15"/>
                <w:szCs w:val="15"/>
                <w:lang w:val="en-US" w:eastAsia="zh-CN"/>
              </w:rPr>
              <w:t>3.6369</w:t>
            </w:r>
          </w:p>
        </w:tc>
        <w:tc>
          <w:tcPr>
            <w:tcW w:w="1276" w:type="dxa"/>
            <w:gridSpan w:val="3"/>
            <w:tcMar>
              <w:top w:w="0" w:type="dxa"/>
              <w:left w:w="57" w:type="dxa"/>
              <w:bottom w:w="0" w:type="dxa"/>
              <w:right w:w="57" w:type="dxa"/>
            </w:tcMar>
            <w:vAlign w:val="center"/>
          </w:tcPr>
          <w:p w14:paraId="71C6C889">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883" w:type="dxa"/>
            <w:gridSpan w:val="2"/>
            <w:tcMar>
              <w:top w:w="0" w:type="dxa"/>
              <w:left w:w="57" w:type="dxa"/>
              <w:bottom w:w="0" w:type="dxa"/>
              <w:right w:w="57" w:type="dxa"/>
            </w:tcMar>
            <w:vAlign w:val="center"/>
          </w:tcPr>
          <w:p w14:paraId="720829D3">
            <w:pPr>
              <w:pStyle w:val="53"/>
              <w:adjustRightInd w:val="0"/>
              <w:snapToGrid w:val="0"/>
              <w:ind w:firstLine="0" w:firstLineChars="0"/>
              <w:contextualSpacing w:val="0"/>
              <w:rPr>
                <w:rFonts w:eastAsiaTheme="minorEastAsia"/>
                <w:color w:val="auto"/>
                <w:sz w:val="15"/>
                <w:szCs w:val="15"/>
              </w:rPr>
            </w:pPr>
            <w:r>
              <w:rPr>
                <w:rFonts w:hint="eastAsia" w:eastAsiaTheme="minorEastAsia"/>
                <w:color w:val="auto"/>
                <w:sz w:val="15"/>
                <w:szCs w:val="15"/>
                <w:lang w:val="en-US" w:eastAsia="zh-CN"/>
              </w:rPr>
              <w:t>+2.6100</w:t>
            </w:r>
          </w:p>
        </w:tc>
      </w:tr>
      <w:tr w14:paraId="44924C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49" w:hRule="atLeast"/>
          <w:jc w:val="center"/>
        </w:trPr>
        <w:tc>
          <w:tcPr>
            <w:tcW w:w="601" w:type="dxa"/>
            <w:vMerge w:val="continue"/>
            <w:vAlign w:val="center"/>
          </w:tcPr>
          <w:p w14:paraId="3EE9014A">
            <w:pPr>
              <w:pStyle w:val="53"/>
              <w:adjustRightInd w:val="0"/>
              <w:snapToGrid w:val="0"/>
              <w:contextualSpacing w:val="0"/>
              <w:rPr>
                <w:rFonts w:eastAsiaTheme="minorEastAsia"/>
                <w:b/>
                <w:bCs/>
                <w:color w:val="auto"/>
                <w:spacing w:val="20"/>
                <w:sz w:val="15"/>
                <w:szCs w:val="15"/>
              </w:rPr>
            </w:pPr>
          </w:p>
        </w:tc>
        <w:tc>
          <w:tcPr>
            <w:tcW w:w="2083" w:type="dxa"/>
            <w:gridSpan w:val="2"/>
            <w:vAlign w:val="center"/>
          </w:tcPr>
          <w:p w14:paraId="0BE34C9A">
            <w:pPr>
              <w:pStyle w:val="53"/>
              <w:adjustRightInd w:val="0"/>
              <w:snapToGrid w:val="0"/>
              <w:contextualSpacing w:val="0"/>
              <w:rPr>
                <w:rFonts w:eastAsiaTheme="minorEastAsia"/>
                <w:b/>
                <w:bCs/>
                <w:color w:val="auto"/>
                <w:sz w:val="15"/>
                <w:szCs w:val="15"/>
              </w:rPr>
            </w:pPr>
            <w:r>
              <w:rPr>
                <w:rFonts w:eastAsiaTheme="minorEastAsia"/>
                <w:b/>
                <w:bCs/>
                <w:color w:val="auto"/>
                <w:kern w:val="2"/>
                <w:sz w:val="15"/>
                <w:szCs w:val="15"/>
              </w:rPr>
              <w:t>化学需氧量</w:t>
            </w:r>
          </w:p>
        </w:tc>
        <w:tc>
          <w:tcPr>
            <w:tcW w:w="850" w:type="dxa"/>
            <w:vAlign w:val="center"/>
          </w:tcPr>
          <w:p w14:paraId="29FE65D2">
            <w:pPr>
              <w:pStyle w:val="53"/>
              <w:adjustRightInd w:val="0"/>
              <w:snapToGrid w:val="0"/>
              <w:contextualSpacing w:val="0"/>
              <w:rPr>
                <w:rFonts w:eastAsiaTheme="minorEastAsia"/>
                <w:color w:val="auto"/>
                <w:sz w:val="15"/>
                <w:szCs w:val="15"/>
              </w:rPr>
            </w:pPr>
            <w:r>
              <w:rPr>
                <w:rFonts w:hint="eastAsia" w:eastAsiaTheme="minorEastAsia"/>
                <w:color w:val="auto"/>
                <w:sz w:val="15"/>
                <w:szCs w:val="15"/>
              </w:rPr>
              <w:t>/</w:t>
            </w:r>
          </w:p>
        </w:tc>
        <w:tc>
          <w:tcPr>
            <w:tcW w:w="894" w:type="dxa"/>
            <w:vAlign w:val="center"/>
          </w:tcPr>
          <w:p w14:paraId="1F94F3C5">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1134" w:type="dxa"/>
            <w:gridSpan w:val="2"/>
            <w:vAlign w:val="center"/>
          </w:tcPr>
          <w:p w14:paraId="3058952C">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1276" w:type="dxa"/>
            <w:gridSpan w:val="2"/>
            <w:vAlign w:val="center"/>
          </w:tcPr>
          <w:p w14:paraId="515F9333">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992" w:type="dxa"/>
            <w:vAlign w:val="center"/>
          </w:tcPr>
          <w:p w14:paraId="5A9ED9AD">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949" w:type="dxa"/>
            <w:vAlign w:val="center"/>
          </w:tcPr>
          <w:p w14:paraId="1B11ACFF">
            <w:pPr>
              <w:pStyle w:val="53"/>
              <w:adjustRightInd w:val="0"/>
              <w:snapToGrid w:val="0"/>
              <w:contextualSpacing w:val="0"/>
              <w:rPr>
                <w:rFonts w:hint="eastAsia" w:eastAsiaTheme="minorEastAsia"/>
                <w:color w:val="auto"/>
                <w:sz w:val="15"/>
                <w:szCs w:val="15"/>
                <w:lang w:val="en-US" w:eastAsia="zh-CN"/>
              </w:rPr>
            </w:pPr>
            <w:r>
              <w:rPr>
                <w:rFonts w:hint="eastAsia" w:eastAsiaTheme="minorEastAsia"/>
                <w:color w:val="auto"/>
                <w:sz w:val="15"/>
                <w:szCs w:val="15"/>
                <w:lang w:val="en-US" w:eastAsia="zh-CN"/>
              </w:rPr>
              <w:t>1.0440</w:t>
            </w:r>
          </w:p>
        </w:tc>
        <w:tc>
          <w:tcPr>
            <w:tcW w:w="894" w:type="dxa"/>
            <w:vAlign w:val="center"/>
          </w:tcPr>
          <w:p w14:paraId="102682BD">
            <w:pPr>
              <w:pStyle w:val="53"/>
              <w:adjustRightInd w:val="0"/>
              <w:snapToGrid w:val="0"/>
              <w:ind w:firstLine="0" w:firstLineChars="0"/>
              <w:contextualSpacing w:val="0"/>
              <w:rPr>
                <w:rFonts w:eastAsiaTheme="minorEastAsia"/>
                <w:color w:val="auto"/>
                <w:sz w:val="15"/>
                <w:szCs w:val="15"/>
              </w:rPr>
            </w:pPr>
            <w:r>
              <w:rPr>
                <w:rFonts w:hint="eastAsia" w:eastAsiaTheme="minorEastAsia"/>
                <w:color w:val="auto"/>
                <w:sz w:val="15"/>
                <w:szCs w:val="15"/>
                <w:lang w:val="en-US" w:eastAsia="zh-CN"/>
              </w:rPr>
              <w:t>1.0440</w:t>
            </w:r>
          </w:p>
        </w:tc>
        <w:tc>
          <w:tcPr>
            <w:tcW w:w="1232" w:type="dxa"/>
            <w:vAlign w:val="center"/>
          </w:tcPr>
          <w:p w14:paraId="307246CE">
            <w:pPr>
              <w:pStyle w:val="53"/>
              <w:adjustRightInd w:val="0"/>
              <w:snapToGrid w:val="0"/>
              <w:contextualSpacing w:val="0"/>
              <w:rPr>
                <w:rFonts w:eastAsiaTheme="minorEastAsia"/>
                <w:color w:val="auto"/>
                <w:sz w:val="15"/>
                <w:szCs w:val="15"/>
              </w:rPr>
            </w:pPr>
            <w:r>
              <w:rPr>
                <w:rFonts w:hint="eastAsia" w:eastAsiaTheme="minorEastAsia"/>
                <w:color w:val="auto"/>
                <w:kern w:val="2"/>
                <w:sz w:val="15"/>
                <w:szCs w:val="15"/>
              </w:rPr>
              <w:t>/</w:t>
            </w:r>
          </w:p>
        </w:tc>
        <w:tc>
          <w:tcPr>
            <w:tcW w:w="894" w:type="dxa"/>
            <w:vAlign w:val="center"/>
          </w:tcPr>
          <w:p w14:paraId="2B1324E1">
            <w:pPr>
              <w:pStyle w:val="53"/>
              <w:adjustRightInd w:val="0"/>
              <w:snapToGrid w:val="0"/>
              <w:contextualSpacing w:val="0"/>
              <w:rPr>
                <w:rFonts w:hint="default" w:eastAsiaTheme="minorEastAsia"/>
                <w:color w:val="auto"/>
                <w:sz w:val="15"/>
                <w:szCs w:val="15"/>
                <w:lang w:val="en-US" w:eastAsia="zh-CN"/>
              </w:rPr>
            </w:pPr>
            <w:r>
              <w:rPr>
                <w:rFonts w:hint="eastAsia" w:eastAsiaTheme="minorEastAsia"/>
                <w:color w:val="auto"/>
                <w:sz w:val="15"/>
                <w:szCs w:val="15"/>
                <w:lang w:val="en-US" w:eastAsia="zh-CN"/>
              </w:rPr>
              <w:t>1.6396</w:t>
            </w:r>
          </w:p>
        </w:tc>
        <w:tc>
          <w:tcPr>
            <w:tcW w:w="851" w:type="dxa"/>
            <w:shd w:val="clear" w:color="auto" w:fill="auto"/>
            <w:vAlign w:val="center"/>
          </w:tcPr>
          <w:p w14:paraId="187A8FA0">
            <w:pPr>
              <w:pStyle w:val="53"/>
              <w:adjustRightInd w:val="0"/>
              <w:snapToGrid w:val="0"/>
              <w:ind w:firstLine="0" w:firstLineChars="0"/>
              <w:contextualSpacing w:val="0"/>
              <w:rPr>
                <w:rFonts w:hint="default" w:ascii="Times New Roman" w:hAnsi="Times New Roman" w:cs="Times New Roman" w:eastAsiaTheme="minorEastAsia"/>
                <w:color w:val="auto"/>
                <w:sz w:val="15"/>
                <w:szCs w:val="15"/>
                <w:lang w:val="en-US" w:eastAsia="zh-CN" w:bidi="ar-SA"/>
              </w:rPr>
            </w:pPr>
            <w:r>
              <w:rPr>
                <w:rFonts w:hint="eastAsia" w:eastAsiaTheme="minorEastAsia"/>
                <w:color w:val="auto"/>
                <w:sz w:val="15"/>
                <w:szCs w:val="15"/>
                <w:lang w:val="en-US" w:eastAsia="zh-CN"/>
              </w:rPr>
              <w:t>1.6396</w:t>
            </w:r>
          </w:p>
        </w:tc>
        <w:tc>
          <w:tcPr>
            <w:tcW w:w="1276" w:type="dxa"/>
            <w:gridSpan w:val="3"/>
            <w:tcMar>
              <w:top w:w="0" w:type="dxa"/>
              <w:left w:w="57" w:type="dxa"/>
              <w:bottom w:w="0" w:type="dxa"/>
              <w:right w:w="57" w:type="dxa"/>
            </w:tcMar>
            <w:vAlign w:val="center"/>
          </w:tcPr>
          <w:p w14:paraId="30E4B655">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883" w:type="dxa"/>
            <w:gridSpan w:val="2"/>
            <w:tcMar>
              <w:top w:w="0" w:type="dxa"/>
              <w:left w:w="57" w:type="dxa"/>
              <w:bottom w:w="0" w:type="dxa"/>
              <w:right w:w="57" w:type="dxa"/>
            </w:tcMar>
            <w:vAlign w:val="center"/>
          </w:tcPr>
          <w:p w14:paraId="5133A01D">
            <w:pPr>
              <w:pStyle w:val="53"/>
              <w:adjustRightInd w:val="0"/>
              <w:snapToGrid w:val="0"/>
              <w:ind w:firstLine="0" w:firstLineChars="0"/>
              <w:contextualSpacing w:val="0"/>
              <w:rPr>
                <w:rFonts w:eastAsiaTheme="minorEastAsia"/>
                <w:color w:val="auto"/>
                <w:sz w:val="15"/>
                <w:szCs w:val="15"/>
              </w:rPr>
            </w:pPr>
            <w:r>
              <w:rPr>
                <w:rFonts w:hint="eastAsia" w:eastAsiaTheme="minorEastAsia"/>
                <w:color w:val="auto"/>
                <w:sz w:val="15"/>
                <w:szCs w:val="15"/>
                <w:lang w:val="en-US" w:eastAsia="zh-CN"/>
              </w:rPr>
              <w:t>+1.0440</w:t>
            </w:r>
          </w:p>
        </w:tc>
      </w:tr>
      <w:tr w14:paraId="0F106D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49" w:hRule="atLeast"/>
          <w:jc w:val="center"/>
        </w:trPr>
        <w:tc>
          <w:tcPr>
            <w:tcW w:w="601" w:type="dxa"/>
            <w:vMerge w:val="continue"/>
            <w:vAlign w:val="center"/>
          </w:tcPr>
          <w:p w14:paraId="3B7D8969">
            <w:pPr>
              <w:pStyle w:val="53"/>
              <w:adjustRightInd w:val="0"/>
              <w:snapToGrid w:val="0"/>
              <w:contextualSpacing w:val="0"/>
              <w:rPr>
                <w:rFonts w:eastAsiaTheme="minorEastAsia"/>
                <w:b/>
                <w:bCs/>
                <w:color w:val="auto"/>
                <w:spacing w:val="20"/>
                <w:sz w:val="15"/>
                <w:szCs w:val="15"/>
              </w:rPr>
            </w:pPr>
          </w:p>
        </w:tc>
        <w:tc>
          <w:tcPr>
            <w:tcW w:w="2083" w:type="dxa"/>
            <w:gridSpan w:val="2"/>
            <w:vAlign w:val="center"/>
          </w:tcPr>
          <w:p w14:paraId="5A0D5B6F">
            <w:pPr>
              <w:pStyle w:val="53"/>
              <w:adjustRightInd w:val="0"/>
              <w:snapToGrid w:val="0"/>
              <w:contextualSpacing w:val="0"/>
              <w:rPr>
                <w:rFonts w:eastAsiaTheme="minorEastAsia"/>
                <w:b/>
                <w:bCs/>
                <w:color w:val="auto"/>
                <w:sz w:val="15"/>
                <w:szCs w:val="15"/>
              </w:rPr>
            </w:pPr>
            <w:r>
              <w:rPr>
                <w:rFonts w:eastAsiaTheme="minorEastAsia"/>
                <w:b/>
                <w:bCs/>
                <w:color w:val="auto"/>
                <w:kern w:val="2"/>
                <w:sz w:val="15"/>
                <w:szCs w:val="15"/>
              </w:rPr>
              <w:t>氨      氮</w:t>
            </w:r>
          </w:p>
        </w:tc>
        <w:tc>
          <w:tcPr>
            <w:tcW w:w="850" w:type="dxa"/>
            <w:vAlign w:val="center"/>
          </w:tcPr>
          <w:p w14:paraId="4D798671">
            <w:pPr>
              <w:pStyle w:val="53"/>
              <w:adjustRightInd w:val="0"/>
              <w:snapToGrid w:val="0"/>
              <w:contextualSpacing w:val="0"/>
              <w:rPr>
                <w:rFonts w:eastAsiaTheme="minorEastAsia"/>
                <w:color w:val="auto"/>
                <w:sz w:val="15"/>
                <w:szCs w:val="15"/>
              </w:rPr>
            </w:pPr>
            <w:r>
              <w:rPr>
                <w:rFonts w:hint="eastAsia" w:eastAsiaTheme="minorEastAsia"/>
                <w:color w:val="auto"/>
                <w:sz w:val="15"/>
                <w:szCs w:val="15"/>
              </w:rPr>
              <w:t>/</w:t>
            </w:r>
          </w:p>
        </w:tc>
        <w:tc>
          <w:tcPr>
            <w:tcW w:w="894" w:type="dxa"/>
            <w:vAlign w:val="center"/>
          </w:tcPr>
          <w:p w14:paraId="4A278414">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1134" w:type="dxa"/>
            <w:gridSpan w:val="2"/>
            <w:vAlign w:val="center"/>
          </w:tcPr>
          <w:p w14:paraId="6902C3BD">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1276" w:type="dxa"/>
            <w:gridSpan w:val="2"/>
            <w:vAlign w:val="center"/>
          </w:tcPr>
          <w:p w14:paraId="2A1C06A6">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992" w:type="dxa"/>
            <w:vAlign w:val="center"/>
          </w:tcPr>
          <w:p w14:paraId="1037D1BE">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949" w:type="dxa"/>
            <w:vAlign w:val="center"/>
          </w:tcPr>
          <w:p w14:paraId="48762BC8">
            <w:pPr>
              <w:pStyle w:val="53"/>
              <w:adjustRightInd w:val="0"/>
              <w:snapToGrid w:val="0"/>
              <w:contextualSpacing w:val="0"/>
              <w:rPr>
                <w:rFonts w:hint="eastAsia" w:eastAsiaTheme="minorEastAsia"/>
                <w:color w:val="auto"/>
                <w:sz w:val="15"/>
                <w:szCs w:val="15"/>
                <w:lang w:val="en-US" w:eastAsia="zh-CN"/>
              </w:rPr>
            </w:pPr>
            <w:r>
              <w:rPr>
                <w:rFonts w:hint="eastAsia" w:eastAsiaTheme="minorEastAsia"/>
                <w:color w:val="auto"/>
                <w:sz w:val="15"/>
                <w:szCs w:val="15"/>
                <w:lang w:val="en-US" w:eastAsia="zh-CN"/>
              </w:rPr>
              <w:t>0.0522</w:t>
            </w:r>
          </w:p>
        </w:tc>
        <w:tc>
          <w:tcPr>
            <w:tcW w:w="894" w:type="dxa"/>
            <w:vAlign w:val="center"/>
          </w:tcPr>
          <w:p w14:paraId="787A759D">
            <w:pPr>
              <w:pStyle w:val="53"/>
              <w:adjustRightInd w:val="0"/>
              <w:snapToGrid w:val="0"/>
              <w:ind w:firstLine="0" w:firstLineChars="0"/>
              <w:contextualSpacing w:val="0"/>
              <w:rPr>
                <w:rFonts w:eastAsiaTheme="minorEastAsia"/>
                <w:color w:val="auto"/>
                <w:sz w:val="15"/>
                <w:szCs w:val="15"/>
              </w:rPr>
            </w:pPr>
            <w:r>
              <w:rPr>
                <w:rFonts w:hint="eastAsia" w:eastAsiaTheme="minorEastAsia"/>
                <w:color w:val="auto"/>
                <w:sz w:val="15"/>
                <w:szCs w:val="15"/>
                <w:lang w:val="en-US" w:eastAsia="zh-CN"/>
              </w:rPr>
              <w:t>0.0522</w:t>
            </w:r>
          </w:p>
        </w:tc>
        <w:tc>
          <w:tcPr>
            <w:tcW w:w="1232" w:type="dxa"/>
            <w:vAlign w:val="center"/>
          </w:tcPr>
          <w:p w14:paraId="0CFEFFB3">
            <w:pPr>
              <w:pStyle w:val="53"/>
              <w:adjustRightInd w:val="0"/>
              <w:snapToGrid w:val="0"/>
              <w:contextualSpacing w:val="0"/>
              <w:rPr>
                <w:rFonts w:eastAsiaTheme="minorEastAsia"/>
                <w:color w:val="auto"/>
                <w:sz w:val="15"/>
                <w:szCs w:val="15"/>
              </w:rPr>
            </w:pPr>
            <w:r>
              <w:rPr>
                <w:rFonts w:hint="eastAsia" w:eastAsiaTheme="minorEastAsia"/>
                <w:color w:val="auto"/>
                <w:kern w:val="2"/>
                <w:sz w:val="15"/>
                <w:szCs w:val="15"/>
              </w:rPr>
              <w:t>/</w:t>
            </w:r>
          </w:p>
        </w:tc>
        <w:tc>
          <w:tcPr>
            <w:tcW w:w="894" w:type="dxa"/>
            <w:vAlign w:val="center"/>
          </w:tcPr>
          <w:p w14:paraId="2DA42CA7">
            <w:pPr>
              <w:pStyle w:val="53"/>
              <w:adjustRightInd w:val="0"/>
              <w:snapToGrid w:val="0"/>
              <w:contextualSpacing w:val="0"/>
              <w:rPr>
                <w:rFonts w:hint="default" w:eastAsiaTheme="minorEastAsia"/>
                <w:color w:val="auto"/>
                <w:sz w:val="15"/>
                <w:szCs w:val="15"/>
                <w:lang w:val="en-US" w:eastAsia="zh-CN"/>
              </w:rPr>
            </w:pPr>
            <w:r>
              <w:rPr>
                <w:rFonts w:hint="eastAsia" w:eastAsiaTheme="minorEastAsia"/>
                <w:color w:val="auto"/>
                <w:sz w:val="15"/>
                <w:szCs w:val="15"/>
                <w:lang w:val="en-US" w:eastAsia="zh-CN"/>
              </w:rPr>
              <w:t>0.1284</w:t>
            </w:r>
          </w:p>
        </w:tc>
        <w:tc>
          <w:tcPr>
            <w:tcW w:w="851" w:type="dxa"/>
            <w:shd w:val="clear" w:color="auto" w:fill="auto"/>
            <w:vAlign w:val="center"/>
          </w:tcPr>
          <w:p w14:paraId="0E51C61B">
            <w:pPr>
              <w:pStyle w:val="53"/>
              <w:adjustRightInd w:val="0"/>
              <w:snapToGrid w:val="0"/>
              <w:ind w:firstLine="0" w:firstLineChars="0"/>
              <w:contextualSpacing w:val="0"/>
              <w:rPr>
                <w:rFonts w:hint="default" w:ascii="Times New Roman" w:hAnsi="Times New Roman" w:cs="Times New Roman" w:eastAsiaTheme="minorEastAsia"/>
                <w:color w:val="auto"/>
                <w:sz w:val="15"/>
                <w:szCs w:val="15"/>
                <w:lang w:val="en-US" w:eastAsia="zh-CN" w:bidi="ar-SA"/>
              </w:rPr>
            </w:pPr>
            <w:r>
              <w:rPr>
                <w:rFonts w:hint="eastAsia" w:eastAsiaTheme="minorEastAsia"/>
                <w:color w:val="auto"/>
                <w:sz w:val="15"/>
                <w:szCs w:val="15"/>
                <w:lang w:val="en-US" w:eastAsia="zh-CN"/>
              </w:rPr>
              <w:t>0.1284</w:t>
            </w:r>
          </w:p>
        </w:tc>
        <w:tc>
          <w:tcPr>
            <w:tcW w:w="1276" w:type="dxa"/>
            <w:gridSpan w:val="3"/>
            <w:tcMar>
              <w:top w:w="0" w:type="dxa"/>
              <w:left w:w="57" w:type="dxa"/>
              <w:bottom w:w="0" w:type="dxa"/>
              <w:right w:w="57" w:type="dxa"/>
            </w:tcMar>
            <w:vAlign w:val="center"/>
          </w:tcPr>
          <w:p w14:paraId="7229BF90">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883" w:type="dxa"/>
            <w:gridSpan w:val="2"/>
            <w:tcMar>
              <w:top w:w="0" w:type="dxa"/>
              <w:left w:w="57" w:type="dxa"/>
              <w:bottom w:w="0" w:type="dxa"/>
              <w:right w:w="57" w:type="dxa"/>
            </w:tcMar>
            <w:vAlign w:val="center"/>
          </w:tcPr>
          <w:p w14:paraId="46A6FBA3">
            <w:pPr>
              <w:pStyle w:val="53"/>
              <w:adjustRightInd w:val="0"/>
              <w:snapToGrid w:val="0"/>
              <w:ind w:firstLine="0" w:firstLineChars="0"/>
              <w:contextualSpacing w:val="0"/>
              <w:rPr>
                <w:rFonts w:eastAsiaTheme="minorEastAsia"/>
                <w:color w:val="auto"/>
                <w:sz w:val="15"/>
                <w:szCs w:val="15"/>
              </w:rPr>
            </w:pPr>
            <w:r>
              <w:rPr>
                <w:rFonts w:hint="eastAsia" w:eastAsiaTheme="minorEastAsia"/>
                <w:color w:val="auto"/>
                <w:sz w:val="15"/>
                <w:szCs w:val="15"/>
                <w:lang w:val="en-US" w:eastAsia="zh-CN"/>
              </w:rPr>
              <w:t>+0.0522</w:t>
            </w:r>
          </w:p>
        </w:tc>
      </w:tr>
      <w:tr w14:paraId="09B469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49" w:hRule="atLeast"/>
          <w:jc w:val="center"/>
        </w:trPr>
        <w:tc>
          <w:tcPr>
            <w:tcW w:w="601" w:type="dxa"/>
            <w:vMerge w:val="continue"/>
            <w:vAlign w:val="center"/>
          </w:tcPr>
          <w:p w14:paraId="044BD73F">
            <w:pPr>
              <w:pStyle w:val="53"/>
              <w:adjustRightInd w:val="0"/>
              <w:snapToGrid w:val="0"/>
              <w:contextualSpacing w:val="0"/>
              <w:rPr>
                <w:rFonts w:eastAsiaTheme="minorEastAsia"/>
                <w:b/>
                <w:bCs/>
                <w:color w:val="auto"/>
                <w:spacing w:val="20"/>
                <w:sz w:val="15"/>
                <w:szCs w:val="15"/>
              </w:rPr>
            </w:pPr>
          </w:p>
        </w:tc>
        <w:tc>
          <w:tcPr>
            <w:tcW w:w="2083" w:type="dxa"/>
            <w:gridSpan w:val="2"/>
            <w:vAlign w:val="center"/>
          </w:tcPr>
          <w:p w14:paraId="6C8D401C">
            <w:pPr>
              <w:pStyle w:val="53"/>
              <w:adjustRightInd w:val="0"/>
              <w:snapToGrid w:val="0"/>
              <w:contextualSpacing w:val="0"/>
              <w:rPr>
                <w:rFonts w:eastAsiaTheme="minorEastAsia"/>
                <w:b/>
                <w:bCs/>
                <w:color w:val="auto"/>
                <w:sz w:val="15"/>
                <w:szCs w:val="15"/>
              </w:rPr>
            </w:pPr>
            <w:r>
              <w:rPr>
                <w:rFonts w:eastAsiaTheme="minorEastAsia"/>
                <w:b/>
                <w:bCs/>
                <w:color w:val="auto"/>
                <w:kern w:val="2"/>
                <w:sz w:val="15"/>
                <w:szCs w:val="15"/>
              </w:rPr>
              <w:t>石油类</w:t>
            </w:r>
          </w:p>
        </w:tc>
        <w:tc>
          <w:tcPr>
            <w:tcW w:w="850" w:type="dxa"/>
            <w:vAlign w:val="center"/>
          </w:tcPr>
          <w:p w14:paraId="01E1632B">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894" w:type="dxa"/>
            <w:vAlign w:val="center"/>
          </w:tcPr>
          <w:p w14:paraId="3EA618CD">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1134" w:type="dxa"/>
            <w:gridSpan w:val="2"/>
            <w:vAlign w:val="center"/>
          </w:tcPr>
          <w:p w14:paraId="05124273">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1276" w:type="dxa"/>
            <w:gridSpan w:val="2"/>
            <w:vAlign w:val="center"/>
          </w:tcPr>
          <w:p w14:paraId="288BF551">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992" w:type="dxa"/>
            <w:vAlign w:val="center"/>
          </w:tcPr>
          <w:p w14:paraId="1C4EFF77">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949" w:type="dxa"/>
            <w:vAlign w:val="center"/>
          </w:tcPr>
          <w:p w14:paraId="1DAB464F">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894" w:type="dxa"/>
            <w:vAlign w:val="center"/>
          </w:tcPr>
          <w:p w14:paraId="4EB50284">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1232" w:type="dxa"/>
            <w:vAlign w:val="center"/>
          </w:tcPr>
          <w:p w14:paraId="112E562D">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894" w:type="dxa"/>
            <w:vAlign w:val="center"/>
          </w:tcPr>
          <w:p w14:paraId="39ACB61E">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851" w:type="dxa"/>
            <w:vAlign w:val="center"/>
          </w:tcPr>
          <w:p w14:paraId="31D37876">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1276" w:type="dxa"/>
            <w:gridSpan w:val="3"/>
            <w:tcMar>
              <w:top w:w="0" w:type="dxa"/>
              <w:left w:w="57" w:type="dxa"/>
              <w:bottom w:w="0" w:type="dxa"/>
              <w:right w:w="57" w:type="dxa"/>
            </w:tcMar>
            <w:vAlign w:val="center"/>
          </w:tcPr>
          <w:p w14:paraId="18C11F5C">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883" w:type="dxa"/>
            <w:gridSpan w:val="2"/>
            <w:tcMar>
              <w:top w:w="0" w:type="dxa"/>
              <w:left w:w="57" w:type="dxa"/>
              <w:bottom w:w="0" w:type="dxa"/>
              <w:right w:w="57" w:type="dxa"/>
            </w:tcMar>
            <w:vAlign w:val="center"/>
          </w:tcPr>
          <w:p w14:paraId="43DCD3C1">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r>
      <w:tr w14:paraId="72843E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49" w:hRule="atLeast"/>
          <w:jc w:val="center"/>
        </w:trPr>
        <w:tc>
          <w:tcPr>
            <w:tcW w:w="601" w:type="dxa"/>
            <w:vMerge w:val="continue"/>
            <w:vAlign w:val="center"/>
          </w:tcPr>
          <w:p w14:paraId="6951A37C">
            <w:pPr>
              <w:pStyle w:val="53"/>
              <w:adjustRightInd w:val="0"/>
              <w:snapToGrid w:val="0"/>
              <w:contextualSpacing w:val="0"/>
              <w:rPr>
                <w:rFonts w:eastAsiaTheme="minorEastAsia"/>
                <w:b/>
                <w:bCs/>
                <w:color w:val="auto"/>
                <w:spacing w:val="20"/>
                <w:sz w:val="15"/>
                <w:szCs w:val="15"/>
              </w:rPr>
            </w:pPr>
          </w:p>
        </w:tc>
        <w:tc>
          <w:tcPr>
            <w:tcW w:w="2083" w:type="dxa"/>
            <w:gridSpan w:val="2"/>
            <w:vAlign w:val="center"/>
          </w:tcPr>
          <w:p w14:paraId="7BF9B0D2">
            <w:pPr>
              <w:pStyle w:val="53"/>
              <w:adjustRightInd w:val="0"/>
              <w:snapToGrid w:val="0"/>
              <w:contextualSpacing w:val="0"/>
              <w:rPr>
                <w:rFonts w:eastAsiaTheme="minorEastAsia"/>
                <w:b/>
                <w:bCs/>
                <w:color w:val="auto"/>
                <w:sz w:val="15"/>
                <w:szCs w:val="15"/>
              </w:rPr>
            </w:pPr>
            <w:r>
              <w:rPr>
                <w:rFonts w:eastAsiaTheme="minorEastAsia"/>
                <w:b/>
                <w:bCs/>
                <w:color w:val="auto"/>
                <w:kern w:val="2"/>
                <w:sz w:val="15"/>
                <w:szCs w:val="15"/>
              </w:rPr>
              <w:t>废气</w:t>
            </w:r>
          </w:p>
        </w:tc>
        <w:tc>
          <w:tcPr>
            <w:tcW w:w="850" w:type="dxa"/>
            <w:vAlign w:val="center"/>
          </w:tcPr>
          <w:p w14:paraId="35017442">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894" w:type="dxa"/>
            <w:vAlign w:val="center"/>
          </w:tcPr>
          <w:p w14:paraId="13D5C725">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1134" w:type="dxa"/>
            <w:gridSpan w:val="2"/>
            <w:vAlign w:val="center"/>
          </w:tcPr>
          <w:p w14:paraId="0B458EA4">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1276" w:type="dxa"/>
            <w:gridSpan w:val="2"/>
            <w:vAlign w:val="center"/>
          </w:tcPr>
          <w:p w14:paraId="067DE5E6">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992" w:type="dxa"/>
            <w:vAlign w:val="center"/>
          </w:tcPr>
          <w:p w14:paraId="26E96480">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949" w:type="dxa"/>
            <w:vAlign w:val="center"/>
          </w:tcPr>
          <w:p w14:paraId="62C141F6">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894" w:type="dxa"/>
            <w:vAlign w:val="center"/>
          </w:tcPr>
          <w:p w14:paraId="2B0C74CD">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1232" w:type="dxa"/>
            <w:vAlign w:val="center"/>
          </w:tcPr>
          <w:p w14:paraId="17E9AEAC">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894" w:type="dxa"/>
            <w:vAlign w:val="center"/>
          </w:tcPr>
          <w:p w14:paraId="7ADEB9EC">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851" w:type="dxa"/>
            <w:vAlign w:val="center"/>
          </w:tcPr>
          <w:p w14:paraId="4D8F90D7">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1276" w:type="dxa"/>
            <w:gridSpan w:val="3"/>
            <w:tcMar>
              <w:top w:w="0" w:type="dxa"/>
              <w:left w:w="57" w:type="dxa"/>
              <w:bottom w:w="0" w:type="dxa"/>
              <w:right w:w="57" w:type="dxa"/>
            </w:tcMar>
            <w:vAlign w:val="center"/>
          </w:tcPr>
          <w:p w14:paraId="17B4568F">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883" w:type="dxa"/>
            <w:gridSpan w:val="2"/>
            <w:tcMar>
              <w:top w:w="0" w:type="dxa"/>
              <w:left w:w="57" w:type="dxa"/>
              <w:bottom w:w="0" w:type="dxa"/>
              <w:right w:w="57" w:type="dxa"/>
            </w:tcMar>
            <w:vAlign w:val="center"/>
          </w:tcPr>
          <w:p w14:paraId="7C69663D">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r>
      <w:tr w14:paraId="7F4372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49" w:hRule="atLeast"/>
          <w:jc w:val="center"/>
        </w:trPr>
        <w:tc>
          <w:tcPr>
            <w:tcW w:w="601" w:type="dxa"/>
            <w:vMerge w:val="continue"/>
            <w:vAlign w:val="center"/>
          </w:tcPr>
          <w:p w14:paraId="565E9695">
            <w:pPr>
              <w:pStyle w:val="53"/>
              <w:adjustRightInd w:val="0"/>
              <w:snapToGrid w:val="0"/>
              <w:contextualSpacing w:val="0"/>
              <w:rPr>
                <w:rFonts w:eastAsiaTheme="minorEastAsia"/>
                <w:b/>
                <w:bCs/>
                <w:color w:val="auto"/>
                <w:spacing w:val="20"/>
                <w:sz w:val="15"/>
                <w:szCs w:val="15"/>
              </w:rPr>
            </w:pPr>
          </w:p>
        </w:tc>
        <w:tc>
          <w:tcPr>
            <w:tcW w:w="2083" w:type="dxa"/>
            <w:gridSpan w:val="2"/>
            <w:vAlign w:val="center"/>
          </w:tcPr>
          <w:p w14:paraId="05C3A321">
            <w:pPr>
              <w:pStyle w:val="53"/>
              <w:adjustRightInd w:val="0"/>
              <w:snapToGrid w:val="0"/>
              <w:contextualSpacing w:val="0"/>
              <w:rPr>
                <w:rFonts w:eastAsiaTheme="minorEastAsia"/>
                <w:b/>
                <w:bCs/>
                <w:color w:val="auto"/>
                <w:sz w:val="15"/>
                <w:szCs w:val="15"/>
              </w:rPr>
            </w:pPr>
            <w:r>
              <w:rPr>
                <w:rFonts w:eastAsiaTheme="minorEastAsia"/>
                <w:b/>
                <w:bCs/>
                <w:color w:val="auto"/>
                <w:kern w:val="2"/>
                <w:sz w:val="15"/>
                <w:szCs w:val="15"/>
              </w:rPr>
              <w:t>二氧化硫</w:t>
            </w:r>
          </w:p>
        </w:tc>
        <w:tc>
          <w:tcPr>
            <w:tcW w:w="850" w:type="dxa"/>
            <w:vAlign w:val="center"/>
          </w:tcPr>
          <w:p w14:paraId="3D55EA07">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894" w:type="dxa"/>
            <w:vAlign w:val="center"/>
          </w:tcPr>
          <w:p w14:paraId="23FFDB7F">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1134" w:type="dxa"/>
            <w:gridSpan w:val="2"/>
            <w:vAlign w:val="center"/>
          </w:tcPr>
          <w:p w14:paraId="29945F85">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1276" w:type="dxa"/>
            <w:gridSpan w:val="2"/>
            <w:vAlign w:val="center"/>
          </w:tcPr>
          <w:p w14:paraId="3C2136A0">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992" w:type="dxa"/>
            <w:vAlign w:val="center"/>
          </w:tcPr>
          <w:p w14:paraId="613972A3">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949" w:type="dxa"/>
            <w:vAlign w:val="center"/>
          </w:tcPr>
          <w:p w14:paraId="73EFC13C">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894" w:type="dxa"/>
            <w:vAlign w:val="center"/>
          </w:tcPr>
          <w:p w14:paraId="4FD51BD3">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1232" w:type="dxa"/>
            <w:vAlign w:val="center"/>
          </w:tcPr>
          <w:p w14:paraId="3D993F66">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894" w:type="dxa"/>
            <w:vAlign w:val="center"/>
          </w:tcPr>
          <w:p w14:paraId="3B220C6A">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851" w:type="dxa"/>
            <w:vAlign w:val="center"/>
          </w:tcPr>
          <w:p w14:paraId="2443089D">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1276" w:type="dxa"/>
            <w:gridSpan w:val="3"/>
            <w:tcMar>
              <w:top w:w="0" w:type="dxa"/>
              <w:left w:w="57" w:type="dxa"/>
              <w:bottom w:w="0" w:type="dxa"/>
              <w:right w:w="57" w:type="dxa"/>
            </w:tcMar>
            <w:vAlign w:val="center"/>
          </w:tcPr>
          <w:p w14:paraId="3AAE3B2A">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883" w:type="dxa"/>
            <w:gridSpan w:val="2"/>
            <w:tcMar>
              <w:top w:w="0" w:type="dxa"/>
              <w:left w:w="57" w:type="dxa"/>
              <w:bottom w:w="0" w:type="dxa"/>
              <w:right w:w="57" w:type="dxa"/>
            </w:tcMar>
            <w:vAlign w:val="center"/>
          </w:tcPr>
          <w:p w14:paraId="492082B7">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r>
      <w:tr w14:paraId="023232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49" w:hRule="atLeast"/>
          <w:jc w:val="center"/>
        </w:trPr>
        <w:tc>
          <w:tcPr>
            <w:tcW w:w="601" w:type="dxa"/>
            <w:vMerge w:val="continue"/>
            <w:vAlign w:val="center"/>
          </w:tcPr>
          <w:p w14:paraId="599652DE">
            <w:pPr>
              <w:pStyle w:val="53"/>
              <w:adjustRightInd w:val="0"/>
              <w:snapToGrid w:val="0"/>
              <w:contextualSpacing w:val="0"/>
              <w:rPr>
                <w:rFonts w:eastAsiaTheme="minorEastAsia"/>
                <w:b/>
                <w:bCs/>
                <w:color w:val="auto"/>
                <w:spacing w:val="20"/>
                <w:sz w:val="15"/>
                <w:szCs w:val="15"/>
              </w:rPr>
            </w:pPr>
          </w:p>
        </w:tc>
        <w:tc>
          <w:tcPr>
            <w:tcW w:w="2083" w:type="dxa"/>
            <w:gridSpan w:val="2"/>
            <w:vAlign w:val="center"/>
          </w:tcPr>
          <w:p w14:paraId="76F5F91E">
            <w:pPr>
              <w:pStyle w:val="53"/>
              <w:adjustRightInd w:val="0"/>
              <w:snapToGrid w:val="0"/>
              <w:contextualSpacing w:val="0"/>
              <w:rPr>
                <w:rFonts w:eastAsiaTheme="minorEastAsia"/>
                <w:b/>
                <w:bCs/>
                <w:color w:val="auto"/>
                <w:sz w:val="15"/>
                <w:szCs w:val="15"/>
              </w:rPr>
            </w:pPr>
            <w:r>
              <w:rPr>
                <w:rFonts w:eastAsiaTheme="minorEastAsia"/>
                <w:b/>
                <w:bCs/>
                <w:color w:val="auto"/>
                <w:kern w:val="2"/>
                <w:sz w:val="15"/>
                <w:szCs w:val="15"/>
              </w:rPr>
              <w:t>烟    尘</w:t>
            </w:r>
          </w:p>
        </w:tc>
        <w:tc>
          <w:tcPr>
            <w:tcW w:w="850" w:type="dxa"/>
            <w:vAlign w:val="center"/>
          </w:tcPr>
          <w:p w14:paraId="5562F85F">
            <w:pPr>
              <w:pStyle w:val="53"/>
              <w:adjustRightInd w:val="0"/>
              <w:snapToGrid w:val="0"/>
              <w:contextualSpacing w:val="0"/>
              <w:rPr>
                <w:rFonts w:eastAsiaTheme="minorEastAsia"/>
                <w:color w:val="auto"/>
                <w:sz w:val="15"/>
                <w:szCs w:val="15"/>
              </w:rPr>
            </w:pPr>
            <w:r>
              <w:rPr>
                <w:rFonts w:eastAsiaTheme="minorEastAsia"/>
                <w:color w:val="auto"/>
                <w:sz w:val="15"/>
                <w:szCs w:val="15"/>
              </w:rPr>
              <w:t>/</w:t>
            </w:r>
          </w:p>
        </w:tc>
        <w:tc>
          <w:tcPr>
            <w:tcW w:w="894" w:type="dxa"/>
            <w:vAlign w:val="center"/>
          </w:tcPr>
          <w:p w14:paraId="50DF33BF">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1134" w:type="dxa"/>
            <w:gridSpan w:val="2"/>
            <w:vAlign w:val="center"/>
          </w:tcPr>
          <w:p w14:paraId="1DD0FB0F">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1276" w:type="dxa"/>
            <w:gridSpan w:val="2"/>
            <w:vAlign w:val="center"/>
          </w:tcPr>
          <w:p w14:paraId="753C2BAA">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992" w:type="dxa"/>
            <w:vAlign w:val="center"/>
          </w:tcPr>
          <w:p w14:paraId="206401F6">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949" w:type="dxa"/>
            <w:vAlign w:val="center"/>
          </w:tcPr>
          <w:p w14:paraId="37ABEEBE">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894" w:type="dxa"/>
            <w:vAlign w:val="center"/>
          </w:tcPr>
          <w:p w14:paraId="59F2C796">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1232" w:type="dxa"/>
            <w:vAlign w:val="center"/>
          </w:tcPr>
          <w:p w14:paraId="51DFBA28">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894" w:type="dxa"/>
            <w:vAlign w:val="center"/>
          </w:tcPr>
          <w:p w14:paraId="0EF56341">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851" w:type="dxa"/>
            <w:vAlign w:val="center"/>
          </w:tcPr>
          <w:p w14:paraId="76ED7C77">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1276" w:type="dxa"/>
            <w:gridSpan w:val="3"/>
            <w:tcMar>
              <w:top w:w="0" w:type="dxa"/>
              <w:left w:w="57" w:type="dxa"/>
              <w:bottom w:w="0" w:type="dxa"/>
              <w:right w:w="57" w:type="dxa"/>
            </w:tcMar>
            <w:vAlign w:val="center"/>
          </w:tcPr>
          <w:p w14:paraId="0FCCE8DB">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883" w:type="dxa"/>
            <w:gridSpan w:val="2"/>
            <w:tcMar>
              <w:top w:w="0" w:type="dxa"/>
              <w:left w:w="57" w:type="dxa"/>
              <w:bottom w:w="0" w:type="dxa"/>
              <w:right w:w="57" w:type="dxa"/>
            </w:tcMar>
            <w:vAlign w:val="center"/>
          </w:tcPr>
          <w:p w14:paraId="430DC458">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r>
      <w:tr w14:paraId="2D41D7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49" w:hRule="atLeast"/>
          <w:jc w:val="center"/>
        </w:trPr>
        <w:tc>
          <w:tcPr>
            <w:tcW w:w="601" w:type="dxa"/>
            <w:vMerge w:val="continue"/>
            <w:vAlign w:val="center"/>
          </w:tcPr>
          <w:p w14:paraId="5AD9329F">
            <w:pPr>
              <w:pStyle w:val="53"/>
              <w:adjustRightInd w:val="0"/>
              <w:snapToGrid w:val="0"/>
              <w:contextualSpacing w:val="0"/>
              <w:rPr>
                <w:rFonts w:eastAsiaTheme="minorEastAsia"/>
                <w:b/>
                <w:bCs/>
                <w:color w:val="auto"/>
                <w:spacing w:val="20"/>
                <w:sz w:val="15"/>
                <w:szCs w:val="15"/>
              </w:rPr>
            </w:pPr>
          </w:p>
        </w:tc>
        <w:tc>
          <w:tcPr>
            <w:tcW w:w="2083" w:type="dxa"/>
            <w:gridSpan w:val="2"/>
            <w:vAlign w:val="center"/>
          </w:tcPr>
          <w:p w14:paraId="5977ED42">
            <w:pPr>
              <w:pStyle w:val="53"/>
              <w:adjustRightInd w:val="0"/>
              <w:snapToGrid w:val="0"/>
              <w:contextualSpacing w:val="0"/>
              <w:rPr>
                <w:rFonts w:eastAsiaTheme="minorEastAsia"/>
                <w:b/>
                <w:bCs/>
                <w:color w:val="auto"/>
                <w:sz w:val="15"/>
                <w:szCs w:val="15"/>
              </w:rPr>
            </w:pPr>
            <w:r>
              <w:rPr>
                <w:rFonts w:eastAsiaTheme="minorEastAsia"/>
                <w:b/>
                <w:bCs/>
                <w:color w:val="auto"/>
                <w:kern w:val="2"/>
                <w:sz w:val="15"/>
                <w:szCs w:val="15"/>
              </w:rPr>
              <w:t>工业粉尘</w:t>
            </w:r>
          </w:p>
        </w:tc>
        <w:tc>
          <w:tcPr>
            <w:tcW w:w="850" w:type="dxa"/>
            <w:vAlign w:val="center"/>
          </w:tcPr>
          <w:p w14:paraId="68D5D23E">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894" w:type="dxa"/>
            <w:vAlign w:val="center"/>
          </w:tcPr>
          <w:p w14:paraId="6DEF897C">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1134" w:type="dxa"/>
            <w:gridSpan w:val="2"/>
            <w:vAlign w:val="center"/>
          </w:tcPr>
          <w:p w14:paraId="197A48A5">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1276" w:type="dxa"/>
            <w:gridSpan w:val="2"/>
            <w:vAlign w:val="center"/>
          </w:tcPr>
          <w:p w14:paraId="03419951">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992" w:type="dxa"/>
            <w:vAlign w:val="center"/>
          </w:tcPr>
          <w:p w14:paraId="06A374D2">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949" w:type="dxa"/>
            <w:vAlign w:val="center"/>
          </w:tcPr>
          <w:p w14:paraId="47C55F34">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894" w:type="dxa"/>
            <w:vAlign w:val="center"/>
          </w:tcPr>
          <w:p w14:paraId="79E22039">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1232" w:type="dxa"/>
            <w:vAlign w:val="center"/>
          </w:tcPr>
          <w:p w14:paraId="72FB3386">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894" w:type="dxa"/>
            <w:vAlign w:val="center"/>
          </w:tcPr>
          <w:p w14:paraId="29F48F98">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851" w:type="dxa"/>
            <w:vAlign w:val="center"/>
          </w:tcPr>
          <w:p w14:paraId="2635940F">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1276" w:type="dxa"/>
            <w:gridSpan w:val="3"/>
            <w:tcMar>
              <w:top w:w="0" w:type="dxa"/>
              <w:left w:w="57" w:type="dxa"/>
              <w:bottom w:w="0" w:type="dxa"/>
              <w:right w:w="57" w:type="dxa"/>
            </w:tcMar>
            <w:vAlign w:val="center"/>
          </w:tcPr>
          <w:p w14:paraId="707DD51E">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883" w:type="dxa"/>
            <w:gridSpan w:val="2"/>
            <w:tcMar>
              <w:top w:w="0" w:type="dxa"/>
              <w:left w:w="57" w:type="dxa"/>
              <w:bottom w:w="0" w:type="dxa"/>
              <w:right w:w="57" w:type="dxa"/>
            </w:tcMar>
            <w:vAlign w:val="center"/>
          </w:tcPr>
          <w:p w14:paraId="2665DFA7">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r>
      <w:tr w14:paraId="11C6BC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49" w:hRule="atLeast"/>
          <w:jc w:val="center"/>
        </w:trPr>
        <w:tc>
          <w:tcPr>
            <w:tcW w:w="601" w:type="dxa"/>
            <w:vMerge w:val="continue"/>
            <w:vAlign w:val="center"/>
          </w:tcPr>
          <w:p w14:paraId="520717D0">
            <w:pPr>
              <w:pStyle w:val="53"/>
              <w:adjustRightInd w:val="0"/>
              <w:snapToGrid w:val="0"/>
              <w:contextualSpacing w:val="0"/>
              <w:rPr>
                <w:rFonts w:eastAsiaTheme="minorEastAsia"/>
                <w:b/>
                <w:bCs/>
                <w:color w:val="auto"/>
                <w:spacing w:val="20"/>
                <w:sz w:val="15"/>
                <w:szCs w:val="15"/>
              </w:rPr>
            </w:pPr>
          </w:p>
        </w:tc>
        <w:tc>
          <w:tcPr>
            <w:tcW w:w="2083" w:type="dxa"/>
            <w:gridSpan w:val="2"/>
            <w:vAlign w:val="center"/>
          </w:tcPr>
          <w:p w14:paraId="752974C7">
            <w:pPr>
              <w:pStyle w:val="53"/>
              <w:adjustRightInd w:val="0"/>
              <w:snapToGrid w:val="0"/>
              <w:contextualSpacing w:val="0"/>
              <w:rPr>
                <w:rFonts w:eastAsiaTheme="minorEastAsia"/>
                <w:b/>
                <w:bCs/>
                <w:color w:val="auto"/>
                <w:kern w:val="2"/>
                <w:sz w:val="15"/>
                <w:szCs w:val="15"/>
              </w:rPr>
            </w:pPr>
            <w:r>
              <w:rPr>
                <w:rFonts w:eastAsiaTheme="minorEastAsia"/>
                <w:b/>
                <w:bCs/>
                <w:color w:val="auto"/>
                <w:kern w:val="2"/>
                <w:sz w:val="15"/>
                <w:szCs w:val="15"/>
              </w:rPr>
              <w:t>氮氧化物</w:t>
            </w:r>
          </w:p>
        </w:tc>
        <w:tc>
          <w:tcPr>
            <w:tcW w:w="850" w:type="dxa"/>
            <w:vAlign w:val="center"/>
          </w:tcPr>
          <w:p w14:paraId="5271FDEA">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894" w:type="dxa"/>
            <w:vAlign w:val="center"/>
          </w:tcPr>
          <w:p w14:paraId="7A26CB27">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1134" w:type="dxa"/>
            <w:gridSpan w:val="2"/>
            <w:vAlign w:val="center"/>
          </w:tcPr>
          <w:p w14:paraId="3D4C8C82">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1276" w:type="dxa"/>
            <w:gridSpan w:val="2"/>
            <w:vAlign w:val="center"/>
          </w:tcPr>
          <w:p w14:paraId="3CB71C16">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992" w:type="dxa"/>
            <w:vAlign w:val="center"/>
          </w:tcPr>
          <w:p w14:paraId="57BD4F0F">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949" w:type="dxa"/>
            <w:vAlign w:val="center"/>
          </w:tcPr>
          <w:p w14:paraId="148ECED7">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894" w:type="dxa"/>
            <w:vAlign w:val="center"/>
          </w:tcPr>
          <w:p w14:paraId="45A1C028">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1232" w:type="dxa"/>
            <w:vAlign w:val="center"/>
          </w:tcPr>
          <w:p w14:paraId="6955A541">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894" w:type="dxa"/>
            <w:vAlign w:val="center"/>
          </w:tcPr>
          <w:p w14:paraId="15B1AFF1">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851" w:type="dxa"/>
            <w:vAlign w:val="center"/>
          </w:tcPr>
          <w:p w14:paraId="5CB777A8">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1276" w:type="dxa"/>
            <w:gridSpan w:val="3"/>
            <w:tcMar>
              <w:top w:w="0" w:type="dxa"/>
              <w:left w:w="57" w:type="dxa"/>
              <w:bottom w:w="0" w:type="dxa"/>
              <w:right w:w="57" w:type="dxa"/>
            </w:tcMar>
            <w:vAlign w:val="center"/>
          </w:tcPr>
          <w:p w14:paraId="05765056">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883" w:type="dxa"/>
            <w:gridSpan w:val="2"/>
            <w:tcMar>
              <w:top w:w="0" w:type="dxa"/>
              <w:left w:w="57" w:type="dxa"/>
              <w:bottom w:w="0" w:type="dxa"/>
              <w:right w:w="57" w:type="dxa"/>
            </w:tcMar>
            <w:vAlign w:val="center"/>
          </w:tcPr>
          <w:p w14:paraId="26F4A0BA">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r>
      <w:tr w14:paraId="506F04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49" w:hRule="atLeast"/>
          <w:jc w:val="center"/>
        </w:trPr>
        <w:tc>
          <w:tcPr>
            <w:tcW w:w="601" w:type="dxa"/>
            <w:vMerge w:val="continue"/>
            <w:vAlign w:val="center"/>
          </w:tcPr>
          <w:p w14:paraId="10483418">
            <w:pPr>
              <w:pStyle w:val="53"/>
              <w:adjustRightInd w:val="0"/>
              <w:snapToGrid w:val="0"/>
              <w:contextualSpacing w:val="0"/>
              <w:rPr>
                <w:rFonts w:eastAsiaTheme="minorEastAsia"/>
                <w:b/>
                <w:bCs/>
                <w:color w:val="auto"/>
                <w:spacing w:val="20"/>
                <w:sz w:val="15"/>
                <w:szCs w:val="15"/>
              </w:rPr>
            </w:pPr>
          </w:p>
        </w:tc>
        <w:tc>
          <w:tcPr>
            <w:tcW w:w="2083" w:type="dxa"/>
            <w:gridSpan w:val="2"/>
            <w:vAlign w:val="center"/>
          </w:tcPr>
          <w:p w14:paraId="3D032CF9">
            <w:pPr>
              <w:pStyle w:val="53"/>
              <w:adjustRightInd w:val="0"/>
              <w:snapToGrid w:val="0"/>
              <w:contextualSpacing w:val="0"/>
              <w:rPr>
                <w:rFonts w:eastAsiaTheme="minorEastAsia"/>
                <w:b/>
                <w:bCs/>
                <w:color w:val="auto"/>
                <w:kern w:val="2"/>
                <w:sz w:val="15"/>
                <w:szCs w:val="15"/>
              </w:rPr>
            </w:pPr>
            <w:r>
              <w:rPr>
                <w:rFonts w:eastAsiaTheme="minorEastAsia"/>
                <w:b/>
                <w:bCs/>
                <w:color w:val="auto"/>
                <w:kern w:val="2"/>
                <w:sz w:val="15"/>
                <w:szCs w:val="15"/>
              </w:rPr>
              <w:t>工业固体废物</w:t>
            </w:r>
          </w:p>
        </w:tc>
        <w:tc>
          <w:tcPr>
            <w:tcW w:w="850" w:type="dxa"/>
            <w:vAlign w:val="center"/>
          </w:tcPr>
          <w:p w14:paraId="3DE12566">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894" w:type="dxa"/>
            <w:vAlign w:val="center"/>
          </w:tcPr>
          <w:p w14:paraId="016484D6">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1134" w:type="dxa"/>
            <w:gridSpan w:val="2"/>
            <w:vAlign w:val="center"/>
          </w:tcPr>
          <w:p w14:paraId="0848C3DD">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1276" w:type="dxa"/>
            <w:gridSpan w:val="2"/>
            <w:vAlign w:val="center"/>
          </w:tcPr>
          <w:p w14:paraId="6A8E98A6">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992" w:type="dxa"/>
            <w:vAlign w:val="center"/>
          </w:tcPr>
          <w:p w14:paraId="7B8319D1">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949" w:type="dxa"/>
            <w:vAlign w:val="center"/>
          </w:tcPr>
          <w:p w14:paraId="6F8252AC">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894" w:type="dxa"/>
            <w:vAlign w:val="center"/>
          </w:tcPr>
          <w:p w14:paraId="75AA721D">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1232" w:type="dxa"/>
            <w:vAlign w:val="center"/>
          </w:tcPr>
          <w:p w14:paraId="26E8B673">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894" w:type="dxa"/>
            <w:vAlign w:val="center"/>
          </w:tcPr>
          <w:p w14:paraId="48AC339E">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851" w:type="dxa"/>
            <w:vAlign w:val="center"/>
          </w:tcPr>
          <w:p w14:paraId="11450613">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1276" w:type="dxa"/>
            <w:gridSpan w:val="3"/>
            <w:tcMar>
              <w:top w:w="0" w:type="dxa"/>
              <w:left w:w="57" w:type="dxa"/>
              <w:bottom w:w="0" w:type="dxa"/>
              <w:right w:w="57" w:type="dxa"/>
            </w:tcMar>
            <w:vAlign w:val="center"/>
          </w:tcPr>
          <w:p w14:paraId="2006B9EE">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883" w:type="dxa"/>
            <w:gridSpan w:val="2"/>
            <w:tcMar>
              <w:top w:w="0" w:type="dxa"/>
              <w:left w:w="57" w:type="dxa"/>
              <w:bottom w:w="0" w:type="dxa"/>
              <w:right w:w="57" w:type="dxa"/>
            </w:tcMar>
            <w:vAlign w:val="center"/>
          </w:tcPr>
          <w:p w14:paraId="3D17ADB0">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r>
      <w:tr w14:paraId="1B45DB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49" w:hRule="atLeast"/>
          <w:jc w:val="center"/>
        </w:trPr>
        <w:tc>
          <w:tcPr>
            <w:tcW w:w="601" w:type="dxa"/>
            <w:vMerge w:val="continue"/>
            <w:vAlign w:val="center"/>
          </w:tcPr>
          <w:p w14:paraId="4E13C647">
            <w:pPr>
              <w:pStyle w:val="53"/>
              <w:adjustRightInd w:val="0"/>
              <w:snapToGrid w:val="0"/>
              <w:contextualSpacing w:val="0"/>
              <w:rPr>
                <w:rFonts w:eastAsiaTheme="minorEastAsia"/>
                <w:b/>
                <w:bCs/>
                <w:color w:val="auto"/>
                <w:spacing w:val="20"/>
                <w:sz w:val="15"/>
                <w:szCs w:val="15"/>
              </w:rPr>
            </w:pPr>
          </w:p>
        </w:tc>
        <w:tc>
          <w:tcPr>
            <w:tcW w:w="1385" w:type="dxa"/>
            <w:vAlign w:val="center"/>
          </w:tcPr>
          <w:p w14:paraId="40A14D73">
            <w:pPr>
              <w:pStyle w:val="53"/>
              <w:adjustRightInd w:val="0"/>
              <w:snapToGrid w:val="0"/>
              <w:contextualSpacing w:val="0"/>
              <w:rPr>
                <w:rFonts w:eastAsiaTheme="minorEastAsia"/>
                <w:b/>
                <w:bCs/>
                <w:color w:val="auto"/>
                <w:kern w:val="2"/>
                <w:sz w:val="15"/>
                <w:szCs w:val="15"/>
              </w:rPr>
            </w:pPr>
            <w:r>
              <w:rPr>
                <w:rFonts w:eastAsiaTheme="minorEastAsia"/>
                <w:b/>
                <w:bCs/>
                <w:color w:val="auto"/>
                <w:kern w:val="2"/>
                <w:sz w:val="15"/>
                <w:szCs w:val="15"/>
              </w:rPr>
              <w:t>与项目有关的其他特征污染物</w:t>
            </w:r>
          </w:p>
        </w:tc>
        <w:tc>
          <w:tcPr>
            <w:tcW w:w="698" w:type="dxa"/>
            <w:vAlign w:val="center"/>
          </w:tcPr>
          <w:p w14:paraId="67AA72AC">
            <w:pPr>
              <w:pStyle w:val="53"/>
              <w:adjustRightInd w:val="0"/>
              <w:snapToGrid w:val="0"/>
              <w:contextualSpacing w:val="0"/>
              <w:rPr>
                <w:rFonts w:hint="eastAsia" w:eastAsiaTheme="minorEastAsia"/>
                <w:b/>
                <w:bCs/>
                <w:color w:val="auto"/>
                <w:kern w:val="2"/>
                <w:sz w:val="15"/>
                <w:szCs w:val="15"/>
                <w:lang w:eastAsia="zh-CN"/>
              </w:rPr>
            </w:pPr>
            <w:r>
              <w:rPr>
                <w:rFonts w:hint="eastAsia" w:eastAsiaTheme="minorEastAsia"/>
                <w:b/>
                <w:bCs/>
                <w:color w:val="auto"/>
                <w:kern w:val="2"/>
                <w:sz w:val="15"/>
                <w:szCs w:val="15"/>
                <w:lang w:val="en-US" w:eastAsia="zh-CN"/>
              </w:rPr>
              <w:t>/</w:t>
            </w:r>
          </w:p>
        </w:tc>
        <w:tc>
          <w:tcPr>
            <w:tcW w:w="850" w:type="dxa"/>
            <w:vAlign w:val="center"/>
          </w:tcPr>
          <w:p w14:paraId="10FE2B5F">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894" w:type="dxa"/>
            <w:vAlign w:val="center"/>
          </w:tcPr>
          <w:p w14:paraId="01D28ACC">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1134" w:type="dxa"/>
            <w:gridSpan w:val="2"/>
            <w:vAlign w:val="center"/>
          </w:tcPr>
          <w:p w14:paraId="052358D4">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1276" w:type="dxa"/>
            <w:gridSpan w:val="2"/>
            <w:vAlign w:val="center"/>
          </w:tcPr>
          <w:p w14:paraId="381370A5">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992" w:type="dxa"/>
            <w:vAlign w:val="center"/>
          </w:tcPr>
          <w:p w14:paraId="5CD53A2E">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949" w:type="dxa"/>
            <w:vAlign w:val="center"/>
          </w:tcPr>
          <w:p w14:paraId="7B25D5DE">
            <w:pPr>
              <w:pStyle w:val="53"/>
              <w:adjustRightInd w:val="0"/>
              <w:snapToGrid w:val="0"/>
              <w:contextualSpacing w:val="0"/>
              <w:rPr>
                <w:rFonts w:hint="eastAsia" w:eastAsiaTheme="minorEastAsia"/>
                <w:color w:val="auto"/>
                <w:sz w:val="15"/>
                <w:szCs w:val="15"/>
                <w:lang w:eastAsia="zh-CN"/>
              </w:rPr>
            </w:pPr>
            <w:r>
              <w:rPr>
                <w:rFonts w:hint="eastAsia" w:eastAsiaTheme="minorEastAsia"/>
                <w:color w:val="auto"/>
                <w:kern w:val="2"/>
                <w:sz w:val="15"/>
                <w:szCs w:val="15"/>
                <w:lang w:val="en-US" w:eastAsia="zh-CN"/>
              </w:rPr>
              <w:t>/</w:t>
            </w:r>
          </w:p>
        </w:tc>
        <w:tc>
          <w:tcPr>
            <w:tcW w:w="894" w:type="dxa"/>
            <w:vAlign w:val="center"/>
          </w:tcPr>
          <w:p w14:paraId="758A99B6">
            <w:pPr>
              <w:pStyle w:val="53"/>
              <w:adjustRightInd w:val="0"/>
              <w:snapToGrid w:val="0"/>
              <w:contextualSpacing w:val="0"/>
              <w:rPr>
                <w:rFonts w:hint="eastAsia" w:eastAsiaTheme="minorEastAsia"/>
                <w:color w:val="auto"/>
                <w:kern w:val="2"/>
                <w:sz w:val="15"/>
                <w:szCs w:val="15"/>
                <w:lang w:eastAsia="zh-CN"/>
              </w:rPr>
            </w:pPr>
            <w:r>
              <w:rPr>
                <w:rFonts w:hint="eastAsia" w:eastAsiaTheme="minorEastAsia"/>
                <w:color w:val="auto"/>
                <w:kern w:val="2"/>
                <w:sz w:val="15"/>
                <w:szCs w:val="15"/>
                <w:lang w:val="en-US" w:eastAsia="zh-CN"/>
              </w:rPr>
              <w:t>/</w:t>
            </w:r>
          </w:p>
        </w:tc>
        <w:tc>
          <w:tcPr>
            <w:tcW w:w="1232" w:type="dxa"/>
            <w:vAlign w:val="center"/>
          </w:tcPr>
          <w:p w14:paraId="6137C2E4">
            <w:pPr>
              <w:pStyle w:val="53"/>
              <w:adjustRightInd w:val="0"/>
              <w:snapToGrid w:val="0"/>
              <w:contextualSpacing w:val="0"/>
              <w:rPr>
                <w:rFonts w:eastAsiaTheme="minorEastAsia"/>
                <w:color w:val="auto"/>
                <w:sz w:val="15"/>
                <w:szCs w:val="15"/>
              </w:rPr>
            </w:pPr>
            <w:r>
              <w:rPr>
                <w:rFonts w:eastAsiaTheme="minorEastAsia"/>
                <w:color w:val="auto"/>
                <w:kern w:val="2"/>
                <w:sz w:val="15"/>
                <w:szCs w:val="15"/>
              </w:rPr>
              <w:t>/</w:t>
            </w:r>
          </w:p>
        </w:tc>
        <w:tc>
          <w:tcPr>
            <w:tcW w:w="894" w:type="dxa"/>
            <w:vAlign w:val="center"/>
          </w:tcPr>
          <w:p w14:paraId="333C94B2">
            <w:pPr>
              <w:pStyle w:val="53"/>
              <w:adjustRightInd w:val="0"/>
              <w:snapToGrid w:val="0"/>
              <w:contextualSpacing w:val="0"/>
              <w:rPr>
                <w:rFonts w:hint="eastAsia" w:eastAsiaTheme="minorEastAsia"/>
                <w:color w:val="auto"/>
                <w:sz w:val="15"/>
                <w:szCs w:val="15"/>
                <w:lang w:eastAsia="zh-CN"/>
              </w:rPr>
            </w:pPr>
            <w:r>
              <w:rPr>
                <w:rFonts w:hint="eastAsia" w:eastAsiaTheme="minorEastAsia"/>
                <w:color w:val="auto"/>
                <w:kern w:val="2"/>
                <w:sz w:val="15"/>
                <w:szCs w:val="15"/>
                <w:lang w:val="en-US" w:eastAsia="zh-CN"/>
              </w:rPr>
              <w:t>/</w:t>
            </w:r>
          </w:p>
        </w:tc>
        <w:tc>
          <w:tcPr>
            <w:tcW w:w="851" w:type="dxa"/>
            <w:vAlign w:val="center"/>
          </w:tcPr>
          <w:p w14:paraId="362151C6">
            <w:pPr>
              <w:pStyle w:val="53"/>
              <w:adjustRightInd w:val="0"/>
              <w:snapToGrid w:val="0"/>
              <w:contextualSpacing w:val="0"/>
              <w:rPr>
                <w:rFonts w:hint="eastAsia" w:eastAsiaTheme="minorEastAsia"/>
                <w:color w:val="auto"/>
                <w:sz w:val="15"/>
                <w:szCs w:val="15"/>
                <w:lang w:val="en-US" w:eastAsia="zh-CN"/>
              </w:rPr>
            </w:pPr>
            <w:r>
              <w:rPr>
                <w:rFonts w:hint="eastAsia" w:eastAsiaTheme="minorEastAsia"/>
                <w:color w:val="auto"/>
                <w:kern w:val="2"/>
                <w:sz w:val="15"/>
                <w:szCs w:val="15"/>
                <w:lang w:val="en-US" w:eastAsia="zh-CN"/>
              </w:rPr>
              <w:t>/</w:t>
            </w:r>
          </w:p>
        </w:tc>
        <w:tc>
          <w:tcPr>
            <w:tcW w:w="1276" w:type="dxa"/>
            <w:gridSpan w:val="3"/>
            <w:tcMar>
              <w:top w:w="0" w:type="dxa"/>
              <w:left w:w="57" w:type="dxa"/>
              <w:bottom w:w="0" w:type="dxa"/>
              <w:right w:w="57" w:type="dxa"/>
            </w:tcMar>
            <w:vAlign w:val="center"/>
          </w:tcPr>
          <w:p w14:paraId="374ADBFE">
            <w:pPr>
              <w:pStyle w:val="53"/>
              <w:adjustRightInd w:val="0"/>
              <w:snapToGrid w:val="0"/>
              <w:contextualSpacing w:val="0"/>
              <w:rPr>
                <w:rFonts w:eastAsiaTheme="minorEastAsia"/>
                <w:color w:val="auto"/>
                <w:sz w:val="15"/>
                <w:szCs w:val="15"/>
              </w:rPr>
            </w:pPr>
          </w:p>
        </w:tc>
        <w:tc>
          <w:tcPr>
            <w:tcW w:w="883" w:type="dxa"/>
            <w:gridSpan w:val="2"/>
            <w:tcMar>
              <w:top w:w="0" w:type="dxa"/>
              <w:left w:w="57" w:type="dxa"/>
              <w:bottom w:w="0" w:type="dxa"/>
              <w:right w:w="57" w:type="dxa"/>
            </w:tcMar>
            <w:vAlign w:val="center"/>
          </w:tcPr>
          <w:p w14:paraId="4DE6688E">
            <w:pPr>
              <w:pStyle w:val="53"/>
              <w:adjustRightInd w:val="0"/>
              <w:snapToGrid w:val="0"/>
              <w:contextualSpacing w:val="0"/>
              <w:rPr>
                <w:rFonts w:hint="eastAsia" w:eastAsiaTheme="minorEastAsia"/>
                <w:color w:val="auto"/>
                <w:sz w:val="15"/>
                <w:szCs w:val="15"/>
                <w:lang w:eastAsia="zh-CN"/>
              </w:rPr>
            </w:pPr>
            <w:r>
              <w:rPr>
                <w:rFonts w:hint="eastAsia" w:eastAsiaTheme="minorEastAsia"/>
                <w:color w:val="auto"/>
                <w:kern w:val="2"/>
                <w:sz w:val="15"/>
                <w:szCs w:val="15"/>
                <w:lang w:val="en-US" w:eastAsia="zh-CN"/>
              </w:rPr>
              <w:t>/</w:t>
            </w:r>
          </w:p>
        </w:tc>
      </w:tr>
    </w:tbl>
    <w:p w14:paraId="31A5B19C">
      <w:pPr>
        <w:spacing w:line="20" w:lineRule="exact"/>
        <w:ind w:firstLine="0" w:firstLineChars="0"/>
        <w:rPr>
          <w:rFonts w:cs="Times New Roman"/>
          <w:color w:val="auto"/>
          <w:sz w:val="15"/>
          <w:szCs w:val="15"/>
        </w:rPr>
      </w:pPr>
    </w:p>
    <w:sectPr>
      <w:pgSz w:w="16838" w:h="11906" w:orient="landscape"/>
      <w:pgMar w:top="1361" w:right="1440" w:bottom="1361" w:left="1440"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新魏">
    <w:panose1 w:val="02010800040101010101"/>
    <w:charset w:val="86"/>
    <w:family w:val="auto"/>
    <w:pitch w:val="default"/>
    <w:sig w:usb0="00000001" w:usb1="080F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FAF78F">
    <w:pPr>
      <w:pStyle w:val="18"/>
      <w:ind w:firstLine="360"/>
      <w:jc w:val="center"/>
      <w:rPr>
        <w:rFonts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880CF">
    <w:pPr>
      <w:pStyle w:val="18"/>
      <w:framePr w:wrap="around" w:vAnchor="text" w:hAnchor="margin" w:xAlign="outside" w:y="1"/>
      <w:ind w:firstLine="360"/>
      <w:rPr>
        <w:rStyle w:val="35"/>
      </w:rPr>
    </w:pPr>
    <w:r>
      <w:fldChar w:fldCharType="begin"/>
    </w:r>
    <w:r>
      <w:rPr>
        <w:rStyle w:val="35"/>
      </w:rPr>
      <w:instrText xml:space="preserve">PAGE  </w:instrText>
    </w:r>
    <w:r>
      <w:fldChar w:fldCharType="separate"/>
    </w:r>
    <w:r>
      <w:rPr>
        <w:rStyle w:val="35"/>
      </w:rPr>
      <w:t>2</w:t>
    </w:r>
    <w:r>
      <w:fldChar w:fldCharType="end"/>
    </w:r>
  </w:p>
  <w:p w14:paraId="46E26F99">
    <w:pPr>
      <w:pStyle w:val="18"/>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215CA8">
    <w:pPr>
      <w:pStyle w:val="18"/>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D8780D">
    <w:pPr>
      <w:pStyle w:val="18"/>
      <w:ind w:firstLine="36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25262524"/>
    </w:sdtPr>
    <w:sdtContent>
      <w:p w14:paraId="20C611BB">
        <w:pPr>
          <w:pStyle w:val="18"/>
          <w:ind w:firstLine="360"/>
          <w:jc w:val="center"/>
        </w:pPr>
        <w:r>
          <w:fldChar w:fldCharType="begin"/>
        </w:r>
        <w:r>
          <w:instrText xml:space="preserve">PAGE   \* MERGEFORMAT</w:instrText>
        </w:r>
        <w:r>
          <w:fldChar w:fldCharType="separate"/>
        </w:r>
        <w:r>
          <w:rPr>
            <w:lang w:val="zh-CN"/>
          </w:rPr>
          <w:t>9</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75732"/>
    </w:sdtPr>
    <w:sdtContent>
      <w:p w14:paraId="78BD4A73">
        <w:pPr>
          <w:pStyle w:val="18"/>
          <w:ind w:firstLine="360"/>
          <w:jc w:val="center"/>
        </w:pPr>
        <w:r>
          <w:fldChar w:fldCharType="begin"/>
        </w:r>
        <w:r>
          <w:instrText xml:space="preserve">PAGE   \* MERGEFORMAT</w:instrText>
        </w:r>
        <w:r>
          <w:fldChar w:fldCharType="separate"/>
        </w:r>
        <w:r>
          <w:rPr>
            <w:lang w:val="zh-CN"/>
          </w:rPr>
          <w:t>9</w:t>
        </w:r>
        <w: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39233790"/>
      <w:docPartObj>
        <w:docPartGallery w:val="autotext"/>
      </w:docPartObj>
    </w:sdtPr>
    <w:sdtContent>
      <w:p w14:paraId="2C26531D">
        <w:pPr>
          <w:pStyle w:val="18"/>
          <w:ind w:firstLine="360"/>
          <w:jc w:val="cente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64</w:t>
        </w:r>
        <w:r>
          <w:rPr>
            <w:sz w:val="21"/>
            <w:szCs w:val="21"/>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E274B0">
    <w:pPr>
      <w:ind w:left="480"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ABF3DC">
    <w:pPr>
      <w:pStyle w:val="1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80983A">
    <w:pPr>
      <w:pStyle w:val="19"/>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B2B837">
    <w:pPr>
      <w:ind w:left="480" w:firstLine="0" w:firstLineChars="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FD9F88"/>
    <w:multiLevelType w:val="singleLevel"/>
    <w:tmpl w:val="B9FD9F88"/>
    <w:lvl w:ilvl="0" w:tentative="0">
      <w:start w:val="2"/>
      <w:numFmt w:val="decimal"/>
      <w:suff w:val="nothing"/>
      <w:lvlText w:val="（%1）"/>
      <w:lvlJc w:val="left"/>
    </w:lvl>
  </w:abstractNum>
  <w:abstractNum w:abstractNumId="1">
    <w:nsid w:val="EBE4FF25"/>
    <w:multiLevelType w:val="singleLevel"/>
    <w:tmpl w:val="EBE4FF25"/>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documentProtection w:enforcement="0"/>
  <w:defaultTabStop w:val="720"/>
  <w:drawingGridHorizontalSpacing w:val="120"/>
  <w:drawingGridVerticalSpacing w:val="163"/>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000C67"/>
    <w:rsid w:val="00000D85"/>
    <w:rsid w:val="00000EA6"/>
    <w:rsid w:val="00001AE0"/>
    <w:rsid w:val="00002A4A"/>
    <w:rsid w:val="00003373"/>
    <w:rsid w:val="00003567"/>
    <w:rsid w:val="00003EA4"/>
    <w:rsid w:val="000041A2"/>
    <w:rsid w:val="000043A2"/>
    <w:rsid w:val="00004A8B"/>
    <w:rsid w:val="00005AE5"/>
    <w:rsid w:val="00005D2B"/>
    <w:rsid w:val="000061DF"/>
    <w:rsid w:val="000065E8"/>
    <w:rsid w:val="00006D79"/>
    <w:rsid w:val="00006E24"/>
    <w:rsid w:val="00007EB6"/>
    <w:rsid w:val="000102AD"/>
    <w:rsid w:val="0001046B"/>
    <w:rsid w:val="0001063F"/>
    <w:rsid w:val="00010A2C"/>
    <w:rsid w:val="00010EEF"/>
    <w:rsid w:val="000112E4"/>
    <w:rsid w:val="0001166C"/>
    <w:rsid w:val="000118D7"/>
    <w:rsid w:val="00012C5B"/>
    <w:rsid w:val="00013B3F"/>
    <w:rsid w:val="00013C63"/>
    <w:rsid w:val="00014AB6"/>
    <w:rsid w:val="000153DB"/>
    <w:rsid w:val="00015CE8"/>
    <w:rsid w:val="00015ED8"/>
    <w:rsid w:val="000160F2"/>
    <w:rsid w:val="000169AC"/>
    <w:rsid w:val="000172A0"/>
    <w:rsid w:val="0001755A"/>
    <w:rsid w:val="00017B18"/>
    <w:rsid w:val="00017ED1"/>
    <w:rsid w:val="000201C2"/>
    <w:rsid w:val="000204A4"/>
    <w:rsid w:val="00020B6D"/>
    <w:rsid w:val="00021640"/>
    <w:rsid w:val="00021652"/>
    <w:rsid w:val="00021A06"/>
    <w:rsid w:val="00021BB4"/>
    <w:rsid w:val="00022BFB"/>
    <w:rsid w:val="00023406"/>
    <w:rsid w:val="00023B37"/>
    <w:rsid w:val="00024170"/>
    <w:rsid w:val="0002423D"/>
    <w:rsid w:val="00024C72"/>
    <w:rsid w:val="00025094"/>
    <w:rsid w:val="00025130"/>
    <w:rsid w:val="00025640"/>
    <w:rsid w:val="0002566A"/>
    <w:rsid w:val="000273CC"/>
    <w:rsid w:val="000279E4"/>
    <w:rsid w:val="0003021D"/>
    <w:rsid w:val="00030896"/>
    <w:rsid w:val="000314A8"/>
    <w:rsid w:val="000316E6"/>
    <w:rsid w:val="000319B8"/>
    <w:rsid w:val="00032880"/>
    <w:rsid w:val="000329A1"/>
    <w:rsid w:val="00033018"/>
    <w:rsid w:val="00033C6F"/>
    <w:rsid w:val="00033F11"/>
    <w:rsid w:val="00033F4F"/>
    <w:rsid w:val="00034218"/>
    <w:rsid w:val="000343E5"/>
    <w:rsid w:val="000347F8"/>
    <w:rsid w:val="0003592C"/>
    <w:rsid w:val="00035B84"/>
    <w:rsid w:val="00035BD9"/>
    <w:rsid w:val="00035E0D"/>
    <w:rsid w:val="00036396"/>
    <w:rsid w:val="00036510"/>
    <w:rsid w:val="0003655B"/>
    <w:rsid w:val="00036A72"/>
    <w:rsid w:val="00036CAA"/>
    <w:rsid w:val="000375EB"/>
    <w:rsid w:val="00037806"/>
    <w:rsid w:val="00037A79"/>
    <w:rsid w:val="00037AFF"/>
    <w:rsid w:val="00037CBA"/>
    <w:rsid w:val="000402D4"/>
    <w:rsid w:val="0004047E"/>
    <w:rsid w:val="000408BD"/>
    <w:rsid w:val="00040F87"/>
    <w:rsid w:val="00041296"/>
    <w:rsid w:val="000412B0"/>
    <w:rsid w:val="00041979"/>
    <w:rsid w:val="000424C5"/>
    <w:rsid w:val="00043204"/>
    <w:rsid w:val="000433DE"/>
    <w:rsid w:val="000435E7"/>
    <w:rsid w:val="00043FAA"/>
    <w:rsid w:val="0004464A"/>
    <w:rsid w:val="00044FD2"/>
    <w:rsid w:val="00045345"/>
    <w:rsid w:val="0004568C"/>
    <w:rsid w:val="00045C15"/>
    <w:rsid w:val="000464AF"/>
    <w:rsid w:val="00046DFD"/>
    <w:rsid w:val="00046EF1"/>
    <w:rsid w:val="0004757B"/>
    <w:rsid w:val="00050872"/>
    <w:rsid w:val="00051EEB"/>
    <w:rsid w:val="00052483"/>
    <w:rsid w:val="0005257B"/>
    <w:rsid w:val="000527E7"/>
    <w:rsid w:val="00053215"/>
    <w:rsid w:val="0005342F"/>
    <w:rsid w:val="00053592"/>
    <w:rsid w:val="000546ED"/>
    <w:rsid w:val="00054BF9"/>
    <w:rsid w:val="000557CF"/>
    <w:rsid w:val="00055912"/>
    <w:rsid w:val="00055F9C"/>
    <w:rsid w:val="0005663F"/>
    <w:rsid w:val="00057793"/>
    <w:rsid w:val="00060F18"/>
    <w:rsid w:val="00061659"/>
    <w:rsid w:val="00061C5C"/>
    <w:rsid w:val="00061FBA"/>
    <w:rsid w:val="000633C9"/>
    <w:rsid w:val="00063566"/>
    <w:rsid w:val="000639BC"/>
    <w:rsid w:val="00063C84"/>
    <w:rsid w:val="000640A8"/>
    <w:rsid w:val="0006500A"/>
    <w:rsid w:val="0006517B"/>
    <w:rsid w:val="00065D09"/>
    <w:rsid w:val="000661B4"/>
    <w:rsid w:val="00066556"/>
    <w:rsid w:val="0006670B"/>
    <w:rsid w:val="0006680E"/>
    <w:rsid w:val="000673D0"/>
    <w:rsid w:val="000679DD"/>
    <w:rsid w:val="00067E35"/>
    <w:rsid w:val="0007088E"/>
    <w:rsid w:val="00070D5C"/>
    <w:rsid w:val="000719BE"/>
    <w:rsid w:val="000728DA"/>
    <w:rsid w:val="000731B1"/>
    <w:rsid w:val="000732EC"/>
    <w:rsid w:val="00073A72"/>
    <w:rsid w:val="00073F2F"/>
    <w:rsid w:val="00073F80"/>
    <w:rsid w:val="00074306"/>
    <w:rsid w:val="00074711"/>
    <w:rsid w:val="000759A1"/>
    <w:rsid w:val="00075CA7"/>
    <w:rsid w:val="00075E4A"/>
    <w:rsid w:val="00076422"/>
    <w:rsid w:val="000769C0"/>
    <w:rsid w:val="0007720D"/>
    <w:rsid w:val="00077337"/>
    <w:rsid w:val="0007737A"/>
    <w:rsid w:val="000777B6"/>
    <w:rsid w:val="000778B9"/>
    <w:rsid w:val="00077B14"/>
    <w:rsid w:val="00077BF1"/>
    <w:rsid w:val="00080626"/>
    <w:rsid w:val="00080F4F"/>
    <w:rsid w:val="00081365"/>
    <w:rsid w:val="000820C3"/>
    <w:rsid w:val="00082490"/>
    <w:rsid w:val="000825A9"/>
    <w:rsid w:val="00082651"/>
    <w:rsid w:val="000829ED"/>
    <w:rsid w:val="0008340B"/>
    <w:rsid w:val="00083673"/>
    <w:rsid w:val="00083C71"/>
    <w:rsid w:val="0008438C"/>
    <w:rsid w:val="00084442"/>
    <w:rsid w:val="00084581"/>
    <w:rsid w:val="000847B9"/>
    <w:rsid w:val="00084B09"/>
    <w:rsid w:val="000852FF"/>
    <w:rsid w:val="00086EDC"/>
    <w:rsid w:val="00086F7E"/>
    <w:rsid w:val="000870B5"/>
    <w:rsid w:val="00087197"/>
    <w:rsid w:val="000878FE"/>
    <w:rsid w:val="00087B67"/>
    <w:rsid w:val="00090156"/>
    <w:rsid w:val="00090430"/>
    <w:rsid w:val="000906C9"/>
    <w:rsid w:val="00090970"/>
    <w:rsid w:val="00091A83"/>
    <w:rsid w:val="00091BBC"/>
    <w:rsid w:val="00091D48"/>
    <w:rsid w:val="00091E84"/>
    <w:rsid w:val="0009224D"/>
    <w:rsid w:val="0009269A"/>
    <w:rsid w:val="0009292A"/>
    <w:rsid w:val="00092E5D"/>
    <w:rsid w:val="000932F7"/>
    <w:rsid w:val="00093587"/>
    <w:rsid w:val="00093647"/>
    <w:rsid w:val="00093655"/>
    <w:rsid w:val="000942D7"/>
    <w:rsid w:val="00094795"/>
    <w:rsid w:val="00094E07"/>
    <w:rsid w:val="0009531E"/>
    <w:rsid w:val="000954D3"/>
    <w:rsid w:val="00095807"/>
    <w:rsid w:val="000960AA"/>
    <w:rsid w:val="0009687A"/>
    <w:rsid w:val="00096965"/>
    <w:rsid w:val="0009760D"/>
    <w:rsid w:val="000978AA"/>
    <w:rsid w:val="000A030A"/>
    <w:rsid w:val="000A03AD"/>
    <w:rsid w:val="000A10B0"/>
    <w:rsid w:val="000A120F"/>
    <w:rsid w:val="000A197E"/>
    <w:rsid w:val="000A1E38"/>
    <w:rsid w:val="000A25D5"/>
    <w:rsid w:val="000A2948"/>
    <w:rsid w:val="000A43E5"/>
    <w:rsid w:val="000A4EE7"/>
    <w:rsid w:val="000A5803"/>
    <w:rsid w:val="000A593A"/>
    <w:rsid w:val="000A6479"/>
    <w:rsid w:val="000A65DE"/>
    <w:rsid w:val="000A6858"/>
    <w:rsid w:val="000A761C"/>
    <w:rsid w:val="000B04FF"/>
    <w:rsid w:val="000B07C1"/>
    <w:rsid w:val="000B0C54"/>
    <w:rsid w:val="000B10D0"/>
    <w:rsid w:val="000B14A2"/>
    <w:rsid w:val="000B1FEC"/>
    <w:rsid w:val="000B20B0"/>
    <w:rsid w:val="000B21CF"/>
    <w:rsid w:val="000B27D7"/>
    <w:rsid w:val="000B2E7E"/>
    <w:rsid w:val="000B31AC"/>
    <w:rsid w:val="000B3206"/>
    <w:rsid w:val="000B3259"/>
    <w:rsid w:val="000B3445"/>
    <w:rsid w:val="000B3C2F"/>
    <w:rsid w:val="000B3E86"/>
    <w:rsid w:val="000B4251"/>
    <w:rsid w:val="000B43DF"/>
    <w:rsid w:val="000B45AE"/>
    <w:rsid w:val="000B4675"/>
    <w:rsid w:val="000B489A"/>
    <w:rsid w:val="000B4D96"/>
    <w:rsid w:val="000B4FE0"/>
    <w:rsid w:val="000B5246"/>
    <w:rsid w:val="000B595D"/>
    <w:rsid w:val="000B5BAB"/>
    <w:rsid w:val="000B6432"/>
    <w:rsid w:val="000B69F2"/>
    <w:rsid w:val="000B7BD4"/>
    <w:rsid w:val="000B7DCD"/>
    <w:rsid w:val="000C07B3"/>
    <w:rsid w:val="000C0AA7"/>
    <w:rsid w:val="000C12DF"/>
    <w:rsid w:val="000C137F"/>
    <w:rsid w:val="000C23ED"/>
    <w:rsid w:val="000C2EAF"/>
    <w:rsid w:val="000C3714"/>
    <w:rsid w:val="000C556F"/>
    <w:rsid w:val="000C5DC5"/>
    <w:rsid w:val="000C6593"/>
    <w:rsid w:val="000C668E"/>
    <w:rsid w:val="000C6DF7"/>
    <w:rsid w:val="000C73D1"/>
    <w:rsid w:val="000C7422"/>
    <w:rsid w:val="000C7860"/>
    <w:rsid w:val="000C7A98"/>
    <w:rsid w:val="000D0146"/>
    <w:rsid w:val="000D067E"/>
    <w:rsid w:val="000D19D0"/>
    <w:rsid w:val="000D1A71"/>
    <w:rsid w:val="000D2444"/>
    <w:rsid w:val="000D2FCF"/>
    <w:rsid w:val="000D3237"/>
    <w:rsid w:val="000D3A4E"/>
    <w:rsid w:val="000D3C4B"/>
    <w:rsid w:val="000D40B3"/>
    <w:rsid w:val="000D4579"/>
    <w:rsid w:val="000D4C4D"/>
    <w:rsid w:val="000D54EF"/>
    <w:rsid w:val="000D563A"/>
    <w:rsid w:val="000D58B9"/>
    <w:rsid w:val="000D5B54"/>
    <w:rsid w:val="000D6C61"/>
    <w:rsid w:val="000D6F11"/>
    <w:rsid w:val="000D777F"/>
    <w:rsid w:val="000D7EBC"/>
    <w:rsid w:val="000E016E"/>
    <w:rsid w:val="000E2013"/>
    <w:rsid w:val="000E2173"/>
    <w:rsid w:val="000E2E06"/>
    <w:rsid w:val="000E2E36"/>
    <w:rsid w:val="000E3000"/>
    <w:rsid w:val="000E3182"/>
    <w:rsid w:val="000E3220"/>
    <w:rsid w:val="000E37B4"/>
    <w:rsid w:val="000E42FE"/>
    <w:rsid w:val="000E4A92"/>
    <w:rsid w:val="000E4D41"/>
    <w:rsid w:val="000E5528"/>
    <w:rsid w:val="000E5A78"/>
    <w:rsid w:val="000E5A8E"/>
    <w:rsid w:val="000E6BFB"/>
    <w:rsid w:val="000E6DDD"/>
    <w:rsid w:val="000F0BDF"/>
    <w:rsid w:val="000F0C5D"/>
    <w:rsid w:val="000F14BB"/>
    <w:rsid w:val="000F168C"/>
    <w:rsid w:val="000F2155"/>
    <w:rsid w:val="000F2161"/>
    <w:rsid w:val="000F240B"/>
    <w:rsid w:val="000F27FA"/>
    <w:rsid w:val="000F2BDE"/>
    <w:rsid w:val="000F2C8F"/>
    <w:rsid w:val="000F2D98"/>
    <w:rsid w:val="000F2DD2"/>
    <w:rsid w:val="000F2E80"/>
    <w:rsid w:val="000F31E1"/>
    <w:rsid w:val="000F3295"/>
    <w:rsid w:val="000F36C4"/>
    <w:rsid w:val="000F5573"/>
    <w:rsid w:val="000F5670"/>
    <w:rsid w:val="000F58D1"/>
    <w:rsid w:val="000F6EBD"/>
    <w:rsid w:val="000F7089"/>
    <w:rsid w:val="00100B12"/>
    <w:rsid w:val="00100D18"/>
    <w:rsid w:val="00101B5F"/>
    <w:rsid w:val="00101E7B"/>
    <w:rsid w:val="00102089"/>
    <w:rsid w:val="001026E7"/>
    <w:rsid w:val="00103185"/>
    <w:rsid w:val="001032DF"/>
    <w:rsid w:val="00103E6B"/>
    <w:rsid w:val="00104B00"/>
    <w:rsid w:val="00104E9B"/>
    <w:rsid w:val="00105106"/>
    <w:rsid w:val="001052BD"/>
    <w:rsid w:val="00106302"/>
    <w:rsid w:val="001064B7"/>
    <w:rsid w:val="0010699B"/>
    <w:rsid w:val="0010798B"/>
    <w:rsid w:val="001079D3"/>
    <w:rsid w:val="00107BC0"/>
    <w:rsid w:val="00107C6A"/>
    <w:rsid w:val="001109AF"/>
    <w:rsid w:val="00110CAC"/>
    <w:rsid w:val="00110E76"/>
    <w:rsid w:val="00110EF7"/>
    <w:rsid w:val="00110FCD"/>
    <w:rsid w:val="0011132A"/>
    <w:rsid w:val="00112006"/>
    <w:rsid w:val="00112F36"/>
    <w:rsid w:val="001132C0"/>
    <w:rsid w:val="00113FE3"/>
    <w:rsid w:val="00114228"/>
    <w:rsid w:val="001143A4"/>
    <w:rsid w:val="00114A2B"/>
    <w:rsid w:val="001155E8"/>
    <w:rsid w:val="00115F71"/>
    <w:rsid w:val="001160DA"/>
    <w:rsid w:val="001161EA"/>
    <w:rsid w:val="001173C7"/>
    <w:rsid w:val="001177A6"/>
    <w:rsid w:val="00117B6A"/>
    <w:rsid w:val="00117CF7"/>
    <w:rsid w:val="0012074F"/>
    <w:rsid w:val="00120D7D"/>
    <w:rsid w:val="00121393"/>
    <w:rsid w:val="00121448"/>
    <w:rsid w:val="00121AD6"/>
    <w:rsid w:val="00122204"/>
    <w:rsid w:val="0012243B"/>
    <w:rsid w:val="00122DB9"/>
    <w:rsid w:val="001231B9"/>
    <w:rsid w:val="001243D3"/>
    <w:rsid w:val="001247D6"/>
    <w:rsid w:val="001249D9"/>
    <w:rsid w:val="00125620"/>
    <w:rsid w:val="00125CDA"/>
    <w:rsid w:val="00125D76"/>
    <w:rsid w:val="00126063"/>
    <w:rsid w:val="001268E8"/>
    <w:rsid w:val="00127881"/>
    <w:rsid w:val="0012790C"/>
    <w:rsid w:val="00127AFD"/>
    <w:rsid w:val="0013018B"/>
    <w:rsid w:val="001302A7"/>
    <w:rsid w:val="001306DE"/>
    <w:rsid w:val="00131299"/>
    <w:rsid w:val="001315BF"/>
    <w:rsid w:val="001317CE"/>
    <w:rsid w:val="0013208A"/>
    <w:rsid w:val="00132602"/>
    <w:rsid w:val="00132A45"/>
    <w:rsid w:val="00132C92"/>
    <w:rsid w:val="001335F5"/>
    <w:rsid w:val="00133965"/>
    <w:rsid w:val="00133B57"/>
    <w:rsid w:val="00134391"/>
    <w:rsid w:val="00134ACA"/>
    <w:rsid w:val="00134D5B"/>
    <w:rsid w:val="00135182"/>
    <w:rsid w:val="001352AC"/>
    <w:rsid w:val="0013540B"/>
    <w:rsid w:val="0013598A"/>
    <w:rsid w:val="001367F8"/>
    <w:rsid w:val="001368A5"/>
    <w:rsid w:val="00136938"/>
    <w:rsid w:val="001371EA"/>
    <w:rsid w:val="00137573"/>
    <w:rsid w:val="00137F70"/>
    <w:rsid w:val="0014025A"/>
    <w:rsid w:val="00140537"/>
    <w:rsid w:val="001409AF"/>
    <w:rsid w:val="00140FA1"/>
    <w:rsid w:val="00141464"/>
    <w:rsid w:val="00141F4B"/>
    <w:rsid w:val="00141F5A"/>
    <w:rsid w:val="00141FA5"/>
    <w:rsid w:val="0014220D"/>
    <w:rsid w:val="00142CF8"/>
    <w:rsid w:val="00142D93"/>
    <w:rsid w:val="00142EEC"/>
    <w:rsid w:val="0014364C"/>
    <w:rsid w:val="00143B3A"/>
    <w:rsid w:val="00143C36"/>
    <w:rsid w:val="00145042"/>
    <w:rsid w:val="00145273"/>
    <w:rsid w:val="001458D8"/>
    <w:rsid w:val="0014621A"/>
    <w:rsid w:val="001468F1"/>
    <w:rsid w:val="00146A6B"/>
    <w:rsid w:val="00146B5A"/>
    <w:rsid w:val="00146B75"/>
    <w:rsid w:val="00146F68"/>
    <w:rsid w:val="001472EA"/>
    <w:rsid w:val="00147BAA"/>
    <w:rsid w:val="00147C5C"/>
    <w:rsid w:val="0015013C"/>
    <w:rsid w:val="001504CE"/>
    <w:rsid w:val="00150563"/>
    <w:rsid w:val="00150C32"/>
    <w:rsid w:val="00150C5B"/>
    <w:rsid w:val="00151766"/>
    <w:rsid w:val="00151C92"/>
    <w:rsid w:val="00151CB0"/>
    <w:rsid w:val="00151E10"/>
    <w:rsid w:val="00151FB2"/>
    <w:rsid w:val="0015221F"/>
    <w:rsid w:val="00152277"/>
    <w:rsid w:val="00152649"/>
    <w:rsid w:val="001529D9"/>
    <w:rsid w:val="00152F97"/>
    <w:rsid w:val="00153BE3"/>
    <w:rsid w:val="00153D59"/>
    <w:rsid w:val="00154384"/>
    <w:rsid w:val="00154682"/>
    <w:rsid w:val="00154753"/>
    <w:rsid w:val="00154B6A"/>
    <w:rsid w:val="001550EA"/>
    <w:rsid w:val="00155225"/>
    <w:rsid w:val="0015527B"/>
    <w:rsid w:val="00155396"/>
    <w:rsid w:val="0015586A"/>
    <w:rsid w:val="00155B96"/>
    <w:rsid w:val="00156008"/>
    <w:rsid w:val="00156A12"/>
    <w:rsid w:val="00157103"/>
    <w:rsid w:val="00157D72"/>
    <w:rsid w:val="001601A9"/>
    <w:rsid w:val="00160308"/>
    <w:rsid w:val="00160BF7"/>
    <w:rsid w:val="00161305"/>
    <w:rsid w:val="00162311"/>
    <w:rsid w:val="0016282B"/>
    <w:rsid w:val="00162E1C"/>
    <w:rsid w:val="001630A9"/>
    <w:rsid w:val="001633F7"/>
    <w:rsid w:val="00163530"/>
    <w:rsid w:val="00163807"/>
    <w:rsid w:val="00163971"/>
    <w:rsid w:val="00163A93"/>
    <w:rsid w:val="0016495C"/>
    <w:rsid w:val="001651BC"/>
    <w:rsid w:val="00165804"/>
    <w:rsid w:val="001658D4"/>
    <w:rsid w:val="0016600A"/>
    <w:rsid w:val="00166747"/>
    <w:rsid w:val="001669C1"/>
    <w:rsid w:val="00166FE6"/>
    <w:rsid w:val="00167FC9"/>
    <w:rsid w:val="00170A7B"/>
    <w:rsid w:val="00170CE7"/>
    <w:rsid w:val="00170DA3"/>
    <w:rsid w:val="00171399"/>
    <w:rsid w:val="0017151C"/>
    <w:rsid w:val="0017182B"/>
    <w:rsid w:val="00172882"/>
    <w:rsid w:val="00172A4A"/>
    <w:rsid w:val="00172B7A"/>
    <w:rsid w:val="00172BEA"/>
    <w:rsid w:val="00172C6B"/>
    <w:rsid w:val="00172F3B"/>
    <w:rsid w:val="001730BC"/>
    <w:rsid w:val="001738A4"/>
    <w:rsid w:val="001747C3"/>
    <w:rsid w:val="001749B1"/>
    <w:rsid w:val="00175255"/>
    <w:rsid w:val="00175F87"/>
    <w:rsid w:val="00176322"/>
    <w:rsid w:val="001771E9"/>
    <w:rsid w:val="00177822"/>
    <w:rsid w:val="001778C7"/>
    <w:rsid w:val="00177A4A"/>
    <w:rsid w:val="00177A9B"/>
    <w:rsid w:val="00177EFB"/>
    <w:rsid w:val="001807E5"/>
    <w:rsid w:val="0018094D"/>
    <w:rsid w:val="00181090"/>
    <w:rsid w:val="00181696"/>
    <w:rsid w:val="00181CCF"/>
    <w:rsid w:val="0018233E"/>
    <w:rsid w:val="001825B7"/>
    <w:rsid w:val="001825BE"/>
    <w:rsid w:val="00182745"/>
    <w:rsid w:val="00182B60"/>
    <w:rsid w:val="0018314C"/>
    <w:rsid w:val="00183874"/>
    <w:rsid w:val="001838CD"/>
    <w:rsid w:val="00183F6E"/>
    <w:rsid w:val="00184C6D"/>
    <w:rsid w:val="00185490"/>
    <w:rsid w:val="001855BA"/>
    <w:rsid w:val="00185B62"/>
    <w:rsid w:val="00186589"/>
    <w:rsid w:val="001865F2"/>
    <w:rsid w:val="00187201"/>
    <w:rsid w:val="00187421"/>
    <w:rsid w:val="00187BA5"/>
    <w:rsid w:val="001906DF"/>
    <w:rsid w:val="00190787"/>
    <w:rsid w:val="00191C00"/>
    <w:rsid w:val="00191D01"/>
    <w:rsid w:val="00192221"/>
    <w:rsid w:val="001937BB"/>
    <w:rsid w:val="00193A70"/>
    <w:rsid w:val="00193C60"/>
    <w:rsid w:val="00194017"/>
    <w:rsid w:val="00194AA3"/>
    <w:rsid w:val="00196A13"/>
    <w:rsid w:val="00196FB3"/>
    <w:rsid w:val="001972AC"/>
    <w:rsid w:val="00197639"/>
    <w:rsid w:val="00197657"/>
    <w:rsid w:val="001A003C"/>
    <w:rsid w:val="001A0723"/>
    <w:rsid w:val="001A0AB7"/>
    <w:rsid w:val="001A0C6C"/>
    <w:rsid w:val="001A0E6D"/>
    <w:rsid w:val="001A1C33"/>
    <w:rsid w:val="001A1C8E"/>
    <w:rsid w:val="001A1DE3"/>
    <w:rsid w:val="001A200D"/>
    <w:rsid w:val="001A2307"/>
    <w:rsid w:val="001A249E"/>
    <w:rsid w:val="001A2CBC"/>
    <w:rsid w:val="001A2ED9"/>
    <w:rsid w:val="001A31C0"/>
    <w:rsid w:val="001A36AD"/>
    <w:rsid w:val="001A38A7"/>
    <w:rsid w:val="001A5E08"/>
    <w:rsid w:val="001A7229"/>
    <w:rsid w:val="001A7910"/>
    <w:rsid w:val="001B06CF"/>
    <w:rsid w:val="001B08FD"/>
    <w:rsid w:val="001B1306"/>
    <w:rsid w:val="001B185B"/>
    <w:rsid w:val="001B2027"/>
    <w:rsid w:val="001B23F7"/>
    <w:rsid w:val="001B2869"/>
    <w:rsid w:val="001B316F"/>
    <w:rsid w:val="001B3AB0"/>
    <w:rsid w:val="001B3C4D"/>
    <w:rsid w:val="001B3E87"/>
    <w:rsid w:val="001B3EE6"/>
    <w:rsid w:val="001B44F8"/>
    <w:rsid w:val="001B4C16"/>
    <w:rsid w:val="001B4CD0"/>
    <w:rsid w:val="001B4DEF"/>
    <w:rsid w:val="001B5260"/>
    <w:rsid w:val="001B5263"/>
    <w:rsid w:val="001B63C9"/>
    <w:rsid w:val="001B6553"/>
    <w:rsid w:val="001B690C"/>
    <w:rsid w:val="001B745F"/>
    <w:rsid w:val="001B74AC"/>
    <w:rsid w:val="001B78DC"/>
    <w:rsid w:val="001C108B"/>
    <w:rsid w:val="001C1905"/>
    <w:rsid w:val="001C1B57"/>
    <w:rsid w:val="001C23BF"/>
    <w:rsid w:val="001C265A"/>
    <w:rsid w:val="001C31A9"/>
    <w:rsid w:val="001C3AF6"/>
    <w:rsid w:val="001C40CC"/>
    <w:rsid w:val="001C4438"/>
    <w:rsid w:val="001C473A"/>
    <w:rsid w:val="001C4AF9"/>
    <w:rsid w:val="001C5342"/>
    <w:rsid w:val="001C5AEE"/>
    <w:rsid w:val="001C5D4D"/>
    <w:rsid w:val="001C5FAD"/>
    <w:rsid w:val="001C71B3"/>
    <w:rsid w:val="001C7358"/>
    <w:rsid w:val="001C7361"/>
    <w:rsid w:val="001C7859"/>
    <w:rsid w:val="001D04D9"/>
    <w:rsid w:val="001D1146"/>
    <w:rsid w:val="001D1399"/>
    <w:rsid w:val="001D1D60"/>
    <w:rsid w:val="001D205A"/>
    <w:rsid w:val="001D23D2"/>
    <w:rsid w:val="001D2494"/>
    <w:rsid w:val="001D2D9E"/>
    <w:rsid w:val="001D2E58"/>
    <w:rsid w:val="001D3395"/>
    <w:rsid w:val="001D370E"/>
    <w:rsid w:val="001D3F3E"/>
    <w:rsid w:val="001D423B"/>
    <w:rsid w:val="001D575A"/>
    <w:rsid w:val="001D5F0B"/>
    <w:rsid w:val="001D6570"/>
    <w:rsid w:val="001D65E9"/>
    <w:rsid w:val="001D661E"/>
    <w:rsid w:val="001D6BA8"/>
    <w:rsid w:val="001D6E3B"/>
    <w:rsid w:val="001D7357"/>
    <w:rsid w:val="001D741E"/>
    <w:rsid w:val="001D76DB"/>
    <w:rsid w:val="001D78FD"/>
    <w:rsid w:val="001D7D1C"/>
    <w:rsid w:val="001D7FB3"/>
    <w:rsid w:val="001E01D5"/>
    <w:rsid w:val="001E185B"/>
    <w:rsid w:val="001E240B"/>
    <w:rsid w:val="001E24D5"/>
    <w:rsid w:val="001E257B"/>
    <w:rsid w:val="001E27B5"/>
    <w:rsid w:val="001E2A6B"/>
    <w:rsid w:val="001E2DA7"/>
    <w:rsid w:val="001E339E"/>
    <w:rsid w:val="001E421A"/>
    <w:rsid w:val="001E4345"/>
    <w:rsid w:val="001E456B"/>
    <w:rsid w:val="001E46C4"/>
    <w:rsid w:val="001E485A"/>
    <w:rsid w:val="001E5768"/>
    <w:rsid w:val="001E6A2C"/>
    <w:rsid w:val="001E6D14"/>
    <w:rsid w:val="001E6E67"/>
    <w:rsid w:val="001E7E6A"/>
    <w:rsid w:val="001F042A"/>
    <w:rsid w:val="001F0E09"/>
    <w:rsid w:val="001F0F9B"/>
    <w:rsid w:val="001F100E"/>
    <w:rsid w:val="001F1A38"/>
    <w:rsid w:val="001F1D1C"/>
    <w:rsid w:val="001F3022"/>
    <w:rsid w:val="001F3B85"/>
    <w:rsid w:val="001F3C22"/>
    <w:rsid w:val="001F3DDB"/>
    <w:rsid w:val="001F3E1A"/>
    <w:rsid w:val="001F4318"/>
    <w:rsid w:val="001F4A47"/>
    <w:rsid w:val="001F5F97"/>
    <w:rsid w:val="001F62F3"/>
    <w:rsid w:val="001F65E3"/>
    <w:rsid w:val="001F69C6"/>
    <w:rsid w:val="001F6E88"/>
    <w:rsid w:val="001F7161"/>
    <w:rsid w:val="001F75C2"/>
    <w:rsid w:val="00200A42"/>
    <w:rsid w:val="00201063"/>
    <w:rsid w:val="00201A9C"/>
    <w:rsid w:val="00202215"/>
    <w:rsid w:val="00203415"/>
    <w:rsid w:val="0020342B"/>
    <w:rsid w:val="0020362D"/>
    <w:rsid w:val="002037F3"/>
    <w:rsid w:val="00203A2C"/>
    <w:rsid w:val="002040FA"/>
    <w:rsid w:val="00205A6A"/>
    <w:rsid w:val="002061FA"/>
    <w:rsid w:val="0020622D"/>
    <w:rsid w:val="00206450"/>
    <w:rsid w:val="002067B1"/>
    <w:rsid w:val="00206A22"/>
    <w:rsid w:val="00206CC7"/>
    <w:rsid w:val="00206EB8"/>
    <w:rsid w:val="0020752B"/>
    <w:rsid w:val="002077BD"/>
    <w:rsid w:val="002079BF"/>
    <w:rsid w:val="00207C2B"/>
    <w:rsid w:val="00210453"/>
    <w:rsid w:val="00211A3C"/>
    <w:rsid w:val="002137C5"/>
    <w:rsid w:val="0021395D"/>
    <w:rsid w:val="00213AD2"/>
    <w:rsid w:val="002152D1"/>
    <w:rsid w:val="002152E7"/>
    <w:rsid w:val="002153DE"/>
    <w:rsid w:val="00215D3D"/>
    <w:rsid w:val="00216419"/>
    <w:rsid w:val="002169A3"/>
    <w:rsid w:val="00216A99"/>
    <w:rsid w:val="00216C69"/>
    <w:rsid w:val="00216EF3"/>
    <w:rsid w:val="0021720E"/>
    <w:rsid w:val="002178D1"/>
    <w:rsid w:val="00217DCF"/>
    <w:rsid w:val="00217FAF"/>
    <w:rsid w:val="00220C4F"/>
    <w:rsid w:val="00221058"/>
    <w:rsid w:val="00221653"/>
    <w:rsid w:val="00222660"/>
    <w:rsid w:val="00222BA1"/>
    <w:rsid w:val="00222DAD"/>
    <w:rsid w:val="00223317"/>
    <w:rsid w:val="002235CD"/>
    <w:rsid w:val="00223691"/>
    <w:rsid w:val="00223784"/>
    <w:rsid w:val="00223B48"/>
    <w:rsid w:val="002246A1"/>
    <w:rsid w:val="00224B1D"/>
    <w:rsid w:val="002275B5"/>
    <w:rsid w:val="002279EA"/>
    <w:rsid w:val="00227A0F"/>
    <w:rsid w:val="0023077B"/>
    <w:rsid w:val="00230AA9"/>
    <w:rsid w:val="00230E33"/>
    <w:rsid w:val="00230E4B"/>
    <w:rsid w:val="0023103B"/>
    <w:rsid w:val="00231F5B"/>
    <w:rsid w:val="0023241B"/>
    <w:rsid w:val="0023283E"/>
    <w:rsid w:val="00232D27"/>
    <w:rsid w:val="00233812"/>
    <w:rsid w:val="002339E4"/>
    <w:rsid w:val="00233B28"/>
    <w:rsid w:val="00233CCE"/>
    <w:rsid w:val="00234EDD"/>
    <w:rsid w:val="00235221"/>
    <w:rsid w:val="00235888"/>
    <w:rsid w:val="002358AC"/>
    <w:rsid w:val="00235DD0"/>
    <w:rsid w:val="00236A2E"/>
    <w:rsid w:val="00236C79"/>
    <w:rsid w:val="00237068"/>
    <w:rsid w:val="0023708D"/>
    <w:rsid w:val="0023725D"/>
    <w:rsid w:val="00237848"/>
    <w:rsid w:val="00237B1C"/>
    <w:rsid w:val="002402CC"/>
    <w:rsid w:val="0024066A"/>
    <w:rsid w:val="00240919"/>
    <w:rsid w:val="00240CC5"/>
    <w:rsid w:val="002411F9"/>
    <w:rsid w:val="00241289"/>
    <w:rsid w:val="002416A0"/>
    <w:rsid w:val="002416E9"/>
    <w:rsid w:val="00241F55"/>
    <w:rsid w:val="00242351"/>
    <w:rsid w:val="0024253B"/>
    <w:rsid w:val="00242A3C"/>
    <w:rsid w:val="00242E86"/>
    <w:rsid w:val="0024317E"/>
    <w:rsid w:val="002431EB"/>
    <w:rsid w:val="00243934"/>
    <w:rsid w:val="00244D43"/>
    <w:rsid w:val="002456C7"/>
    <w:rsid w:val="002466EA"/>
    <w:rsid w:val="00246945"/>
    <w:rsid w:val="00246C40"/>
    <w:rsid w:val="00246EAF"/>
    <w:rsid w:val="00246F1B"/>
    <w:rsid w:val="00247A56"/>
    <w:rsid w:val="00250175"/>
    <w:rsid w:val="0025280C"/>
    <w:rsid w:val="00252A8B"/>
    <w:rsid w:val="0025332A"/>
    <w:rsid w:val="002536C0"/>
    <w:rsid w:val="00253AA2"/>
    <w:rsid w:val="002544A4"/>
    <w:rsid w:val="002545D6"/>
    <w:rsid w:val="002550C3"/>
    <w:rsid w:val="0025573A"/>
    <w:rsid w:val="00255DE5"/>
    <w:rsid w:val="00256AFD"/>
    <w:rsid w:val="00256BFC"/>
    <w:rsid w:val="00256C0D"/>
    <w:rsid w:val="00257D2E"/>
    <w:rsid w:val="00257D7A"/>
    <w:rsid w:val="00257DC1"/>
    <w:rsid w:val="00257E48"/>
    <w:rsid w:val="00260579"/>
    <w:rsid w:val="002607C9"/>
    <w:rsid w:val="00260CC3"/>
    <w:rsid w:val="00261428"/>
    <w:rsid w:val="0026168F"/>
    <w:rsid w:val="00261876"/>
    <w:rsid w:val="00261AFA"/>
    <w:rsid w:val="002620BA"/>
    <w:rsid w:val="00263219"/>
    <w:rsid w:val="00263958"/>
    <w:rsid w:val="00263C24"/>
    <w:rsid w:val="00263E72"/>
    <w:rsid w:val="00263E81"/>
    <w:rsid w:val="0026418E"/>
    <w:rsid w:val="0026459F"/>
    <w:rsid w:val="0026518E"/>
    <w:rsid w:val="00265F99"/>
    <w:rsid w:val="00266021"/>
    <w:rsid w:val="002661AE"/>
    <w:rsid w:val="002666FA"/>
    <w:rsid w:val="0026672D"/>
    <w:rsid w:val="00266855"/>
    <w:rsid w:val="00266896"/>
    <w:rsid w:val="00267AE0"/>
    <w:rsid w:val="00267D7F"/>
    <w:rsid w:val="00267E66"/>
    <w:rsid w:val="00270362"/>
    <w:rsid w:val="00271061"/>
    <w:rsid w:val="002715CD"/>
    <w:rsid w:val="0027253D"/>
    <w:rsid w:val="00272A00"/>
    <w:rsid w:val="00272B09"/>
    <w:rsid w:val="002739BC"/>
    <w:rsid w:val="00273A0C"/>
    <w:rsid w:val="00274E0E"/>
    <w:rsid w:val="00274E2A"/>
    <w:rsid w:val="0027575C"/>
    <w:rsid w:val="00275E52"/>
    <w:rsid w:val="002763F2"/>
    <w:rsid w:val="00276431"/>
    <w:rsid w:val="002775F7"/>
    <w:rsid w:val="002776B8"/>
    <w:rsid w:val="00277E68"/>
    <w:rsid w:val="00280256"/>
    <w:rsid w:val="002807AA"/>
    <w:rsid w:val="00280E61"/>
    <w:rsid w:val="002811DA"/>
    <w:rsid w:val="00281797"/>
    <w:rsid w:val="00281C39"/>
    <w:rsid w:val="0028219D"/>
    <w:rsid w:val="002827E5"/>
    <w:rsid w:val="00282BE5"/>
    <w:rsid w:val="00283986"/>
    <w:rsid w:val="002846D8"/>
    <w:rsid w:val="002846E7"/>
    <w:rsid w:val="0028576B"/>
    <w:rsid w:val="00285953"/>
    <w:rsid w:val="00285BAD"/>
    <w:rsid w:val="0028604F"/>
    <w:rsid w:val="0028694F"/>
    <w:rsid w:val="00286B67"/>
    <w:rsid w:val="00286CDA"/>
    <w:rsid w:val="00286DCB"/>
    <w:rsid w:val="00286E99"/>
    <w:rsid w:val="0028702D"/>
    <w:rsid w:val="002871E8"/>
    <w:rsid w:val="00287243"/>
    <w:rsid w:val="00287481"/>
    <w:rsid w:val="00287519"/>
    <w:rsid w:val="00287919"/>
    <w:rsid w:val="002905E3"/>
    <w:rsid w:val="002905E7"/>
    <w:rsid w:val="002909B1"/>
    <w:rsid w:val="002917D6"/>
    <w:rsid w:val="002921E9"/>
    <w:rsid w:val="00292331"/>
    <w:rsid w:val="002925D5"/>
    <w:rsid w:val="0029262D"/>
    <w:rsid w:val="002933C9"/>
    <w:rsid w:val="00293679"/>
    <w:rsid w:val="00293F17"/>
    <w:rsid w:val="002947EE"/>
    <w:rsid w:val="00294E23"/>
    <w:rsid w:val="00295706"/>
    <w:rsid w:val="002961DA"/>
    <w:rsid w:val="00296CB9"/>
    <w:rsid w:val="00296E07"/>
    <w:rsid w:val="00296F1D"/>
    <w:rsid w:val="00297406"/>
    <w:rsid w:val="0029756F"/>
    <w:rsid w:val="00297DF2"/>
    <w:rsid w:val="00297E05"/>
    <w:rsid w:val="002A024D"/>
    <w:rsid w:val="002A0546"/>
    <w:rsid w:val="002A0D48"/>
    <w:rsid w:val="002A1394"/>
    <w:rsid w:val="002A13B2"/>
    <w:rsid w:val="002A2121"/>
    <w:rsid w:val="002A2B43"/>
    <w:rsid w:val="002A2F4C"/>
    <w:rsid w:val="002A32C9"/>
    <w:rsid w:val="002A3612"/>
    <w:rsid w:val="002A376D"/>
    <w:rsid w:val="002A3A3C"/>
    <w:rsid w:val="002A3DF9"/>
    <w:rsid w:val="002A3FE9"/>
    <w:rsid w:val="002A4427"/>
    <w:rsid w:val="002A4E7A"/>
    <w:rsid w:val="002A5352"/>
    <w:rsid w:val="002A5E0B"/>
    <w:rsid w:val="002A6083"/>
    <w:rsid w:val="002A62B7"/>
    <w:rsid w:val="002A66DA"/>
    <w:rsid w:val="002A74CC"/>
    <w:rsid w:val="002A79FD"/>
    <w:rsid w:val="002B067D"/>
    <w:rsid w:val="002B1826"/>
    <w:rsid w:val="002B1B73"/>
    <w:rsid w:val="002B1FE7"/>
    <w:rsid w:val="002B207F"/>
    <w:rsid w:val="002B2218"/>
    <w:rsid w:val="002B2343"/>
    <w:rsid w:val="002B306B"/>
    <w:rsid w:val="002B33A5"/>
    <w:rsid w:val="002B4756"/>
    <w:rsid w:val="002B4D89"/>
    <w:rsid w:val="002B57B5"/>
    <w:rsid w:val="002B5DD2"/>
    <w:rsid w:val="002B70DA"/>
    <w:rsid w:val="002B7199"/>
    <w:rsid w:val="002B74EA"/>
    <w:rsid w:val="002B78D6"/>
    <w:rsid w:val="002B7F2A"/>
    <w:rsid w:val="002C00BC"/>
    <w:rsid w:val="002C0A49"/>
    <w:rsid w:val="002C0CF4"/>
    <w:rsid w:val="002C233A"/>
    <w:rsid w:val="002C3731"/>
    <w:rsid w:val="002C451A"/>
    <w:rsid w:val="002C5824"/>
    <w:rsid w:val="002C5B0C"/>
    <w:rsid w:val="002C6543"/>
    <w:rsid w:val="002C6B7A"/>
    <w:rsid w:val="002D02E1"/>
    <w:rsid w:val="002D034C"/>
    <w:rsid w:val="002D052E"/>
    <w:rsid w:val="002D0BE7"/>
    <w:rsid w:val="002D2AE7"/>
    <w:rsid w:val="002D30BD"/>
    <w:rsid w:val="002D3CC9"/>
    <w:rsid w:val="002D4601"/>
    <w:rsid w:val="002D500E"/>
    <w:rsid w:val="002D60FD"/>
    <w:rsid w:val="002D632B"/>
    <w:rsid w:val="002D6591"/>
    <w:rsid w:val="002D69EB"/>
    <w:rsid w:val="002D721A"/>
    <w:rsid w:val="002E0618"/>
    <w:rsid w:val="002E0878"/>
    <w:rsid w:val="002E1C78"/>
    <w:rsid w:val="002E241B"/>
    <w:rsid w:val="002E24E1"/>
    <w:rsid w:val="002E2927"/>
    <w:rsid w:val="002E29F0"/>
    <w:rsid w:val="002E2EB8"/>
    <w:rsid w:val="002E4CB1"/>
    <w:rsid w:val="002E5670"/>
    <w:rsid w:val="002E585F"/>
    <w:rsid w:val="002E5D3E"/>
    <w:rsid w:val="002E5F2A"/>
    <w:rsid w:val="002E60C9"/>
    <w:rsid w:val="002E636B"/>
    <w:rsid w:val="002E7157"/>
    <w:rsid w:val="002E79F8"/>
    <w:rsid w:val="002F00E8"/>
    <w:rsid w:val="002F034F"/>
    <w:rsid w:val="002F08FD"/>
    <w:rsid w:val="002F0F76"/>
    <w:rsid w:val="002F1077"/>
    <w:rsid w:val="002F110C"/>
    <w:rsid w:val="002F218E"/>
    <w:rsid w:val="002F2782"/>
    <w:rsid w:val="002F28A0"/>
    <w:rsid w:val="002F33BE"/>
    <w:rsid w:val="002F3533"/>
    <w:rsid w:val="002F36C0"/>
    <w:rsid w:val="002F38EA"/>
    <w:rsid w:val="002F49FC"/>
    <w:rsid w:val="002F56E8"/>
    <w:rsid w:val="002F7399"/>
    <w:rsid w:val="002F751A"/>
    <w:rsid w:val="002F7779"/>
    <w:rsid w:val="00300266"/>
    <w:rsid w:val="00300928"/>
    <w:rsid w:val="003009FA"/>
    <w:rsid w:val="00300BCF"/>
    <w:rsid w:val="003019B1"/>
    <w:rsid w:val="00301CC4"/>
    <w:rsid w:val="003026CE"/>
    <w:rsid w:val="00302BC0"/>
    <w:rsid w:val="0030372A"/>
    <w:rsid w:val="003038E1"/>
    <w:rsid w:val="00303E5A"/>
    <w:rsid w:val="0030476D"/>
    <w:rsid w:val="003048F1"/>
    <w:rsid w:val="00304F63"/>
    <w:rsid w:val="003051A7"/>
    <w:rsid w:val="003057CD"/>
    <w:rsid w:val="00305BF2"/>
    <w:rsid w:val="00305E65"/>
    <w:rsid w:val="00306616"/>
    <w:rsid w:val="00306767"/>
    <w:rsid w:val="0030685D"/>
    <w:rsid w:val="00306C0D"/>
    <w:rsid w:val="00306D55"/>
    <w:rsid w:val="003071A0"/>
    <w:rsid w:val="00310A8D"/>
    <w:rsid w:val="00312200"/>
    <w:rsid w:val="00312237"/>
    <w:rsid w:val="003125AF"/>
    <w:rsid w:val="00312A56"/>
    <w:rsid w:val="00313715"/>
    <w:rsid w:val="00313F14"/>
    <w:rsid w:val="003141B7"/>
    <w:rsid w:val="003143A3"/>
    <w:rsid w:val="00314F98"/>
    <w:rsid w:val="0031543D"/>
    <w:rsid w:val="003156D8"/>
    <w:rsid w:val="00315726"/>
    <w:rsid w:val="00315CC5"/>
    <w:rsid w:val="0031673B"/>
    <w:rsid w:val="003167AB"/>
    <w:rsid w:val="00317112"/>
    <w:rsid w:val="00317305"/>
    <w:rsid w:val="0031787E"/>
    <w:rsid w:val="003178BA"/>
    <w:rsid w:val="003178D3"/>
    <w:rsid w:val="00317DB7"/>
    <w:rsid w:val="00320A7C"/>
    <w:rsid w:val="00320F2B"/>
    <w:rsid w:val="00320F78"/>
    <w:rsid w:val="0032174B"/>
    <w:rsid w:val="00321975"/>
    <w:rsid w:val="00321AB9"/>
    <w:rsid w:val="00322EEE"/>
    <w:rsid w:val="00323037"/>
    <w:rsid w:val="00323222"/>
    <w:rsid w:val="003239A1"/>
    <w:rsid w:val="00323A36"/>
    <w:rsid w:val="00323B43"/>
    <w:rsid w:val="00323C18"/>
    <w:rsid w:val="003245D8"/>
    <w:rsid w:val="00324DA3"/>
    <w:rsid w:val="00325EF2"/>
    <w:rsid w:val="00326843"/>
    <w:rsid w:val="003268B4"/>
    <w:rsid w:val="00326F9F"/>
    <w:rsid w:val="0032735E"/>
    <w:rsid w:val="00327A8B"/>
    <w:rsid w:val="00327E58"/>
    <w:rsid w:val="00330388"/>
    <w:rsid w:val="00331D73"/>
    <w:rsid w:val="00332034"/>
    <w:rsid w:val="003320DA"/>
    <w:rsid w:val="00332827"/>
    <w:rsid w:val="0033290C"/>
    <w:rsid w:val="00332B00"/>
    <w:rsid w:val="00332B01"/>
    <w:rsid w:val="00333BBA"/>
    <w:rsid w:val="00334D20"/>
    <w:rsid w:val="0033525B"/>
    <w:rsid w:val="003357BB"/>
    <w:rsid w:val="0033588B"/>
    <w:rsid w:val="00337B72"/>
    <w:rsid w:val="00337FE0"/>
    <w:rsid w:val="00340755"/>
    <w:rsid w:val="00341020"/>
    <w:rsid w:val="00341EE0"/>
    <w:rsid w:val="00341FCE"/>
    <w:rsid w:val="003430C5"/>
    <w:rsid w:val="003430F7"/>
    <w:rsid w:val="0034387E"/>
    <w:rsid w:val="00343DE6"/>
    <w:rsid w:val="003444AB"/>
    <w:rsid w:val="00345202"/>
    <w:rsid w:val="00346099"/>
    <w:rsid w:val="003462F2"/>
    <w:rsid w:val="00346308"/>
    <w:rsid w:val="00347C3B"/>
    <w:rsid w:val="003500F3"/>
    <w:rsid w:val="003501C4"/>
    <w:rsid w:val="00350539"/>
    <w:rsid w:val="00350864"/>
    <w:rsid w:val="00350CE3"/>
    <w:rsid w:val="00351171"/>
    <w:rsid w:val="00352425"/>
    <w:rsid w:val="003526ED"/>
    <w:rsid w:val="00352BAF"/>
    <w:rsid w:val="0035327A"/>
    <w:rsid w:val="003539D5"/>
    <w:rsid w:val="003556D6"/>
    <w:rsid w:val="003557F8"/>
    <w:rsid w:val="00356284"/>
    <w:rsid w:val="00356782"/>
    <w:rsid w:val="00356873"/>
    <w:rsid w:val="0035757B"/>
    <w:rsid w:val="00357EBD"/>
    <w:rsid w:val="00357F76"/>
    <w:rsid w:val="00360178"/>
    <w:rsid w:val="00360596"/>
    <w:rsid w:val="003608CC"/>
    <w:rsid w:val="0036094B"/>
    <w:rsid w:val="00360CDF"/>
    <w:rsid w:val="00361393"/>
    <w:rsid w:val="00361FBD"/>
    <w:rsid w:val="003626D5"/>
    <w:rsid w:val="00363679"/>
    <w:rsid w:val="00363EC3"/>
    <w:rsid w:val="00364257"/>
    <w:rsid w:val="00365073"/>
    <w:rsid w:val="003652E2"/>
    <w:rsid w:val="00365D2E"/>
    <w:rsid w:val="0036665E"/>
    <w:rsid w:val="00366732"/>
    <w:rsid w:val="003668C7"/>
    <w:rsid w:val="0036697E"/>
    <w:rsid w:val="0036748A"/>
    <w:rsid w:val="003679A2"/>
    <w:rsid w:val="00367BB3"/>
    <w:rsid w:val="003700E3"/>
    <w:rsid w:val="003702A8"/>
    <w:rsid w:val="003704A3"/>
    <w:rsid w:val="0037050B"/>
    <w:rsid w:val="00370927"/>
    <w:rsid w:val="00370C8B"/>
    <w:rsid w:val="003714B6"/>
    <w:rsid w:val="00372911"/>
    <w:rsid w:val="00372C50"/>
    <w:rsid w:val="00372E8B"/>
    <w:rsid w:val="0037307F"/>
    <w:rsid w:val="00373405"/>
    <w:rsid w:val="00373987"/>
    <w:rsid w:val="00373B69"/>
    <w:rsid w:val="00373CBD"/>
    <w:rsid w:val="00374249"/>
    <w:rsid w:val="00374523"/>
    <w:rsid w:val="0037517A"/>
    <w:rsid w:val="00375CEF"/>
    <w:rsid w:val="00376514"/>
    <w:rsid w:val="00377441"/>
    <w:rsid w:val="00377957"/>
    <w:rsid w:val="00377D58"/>
    <w:rsid w:val="00377E43"/>
    <w:rsid w:val="00381AF9"/>
    <w:rsid w:val="00382024"/>
    <w:rsid w:val="00382176"/>
    <w:rsid w:val="003827C6"/>
    <w:rsid w:val="00382BFC"/>
    <w:rsid w:val="00382D9E"/>
    <w:rsid w:val="00383155"/>
    <w:rsid w:val="00383BC6"/>
    <w:rsid w:val="00383CA3"/>
    <w:rsid w:val="00383CB2"/>
    <w:rsid w:val="00383FB4"/>
    <w:rsid w:val="003843E5"/>
    <w:rsid w:val="003844DB"/>
    <w:rsid w:val="0038479F"/>
    <w:rsid w:val="00385395"/>
    <w:rsid w:val="00385E36"/>
    <w:rsid w:val="00385F86"/>
    <w:rsid w:val="0038607D"/>
    <w:rsid w:val="003862DF"/>
    <w:rsid w:val="00386B97"/>
    <w:rsid w:val="00386DF3"/>
    <w:rsid w:val="00387667"/>
    <w:rsid w:val="0038770C"/>
    <w:rsid w:val="00390721"/>
    <w:rsid w:val="003907DC"/>
    <w:rsid w:val="003908AA"/>
    <w:rsid w:val="003909D1"/>
    <w:rsid w:val="00391C0F"/>
    <w:rsid w:val="00391E5E"/>
    <w:rsid w:val="00391E65"/>
    <w:rsid w:val="00392104"/>
    <w:rsid w:val="003926E8"/>
    <w:rsid w:val="003929B2"/>
    <w:rsid w:val="00392C48"/>
    <w:rsid w:val="00392DFD"/>
    <w:rsid w:val="00392F11"/>
    <w:rsid w:val="0039327C"/>
    <w:rsid w:val="00394C13"/>
    <w:rsid w:val="00395320"/>
    <w:rsid w:val="00395AFB"/>
    <w:rsid w:val="003968FC"/>
    <w:rsid w:val="00396AEE"/>
    <w:rsid w:val="00396E64"/>
    <w:rsid w:val="003976AA"/>
    <w:rsid w:val="003979F6"/>
    <w:rsid w:val="00397A97"/>
    <w:rsid w:val="00397FF0"/>
    <w:rsid w:val="003A0263"/>
    <w:rsid w:val="003A0357"/>
    <w:rsid w:val="003A054F"/>
    <w:rsid w:val="003A0E83"/>
    <w:rsid w:val="003A19EF"/>
    <w:rsid w:val="003A1F6D"/>
    <w:rsid w:val="003A2240"/>
    <w:rsid w:val="003A3F27"/>
    <w:rsid w:val="003A4310"/>
    <w:rsid w:val="003A456F"/>
    <w:rsid w:val="003A463A"/>
    <w:rsid w:val="003A47BE"/>
    <w:rsid w:val="003A47C2"/>
    <w:rsid w:val="003A4F91"/>
    <w:rsid w:val="003A517C"/>
    <w:rsid w:val="003A51A4"/>
    <w:rsid w:val="003A5457"/>
    <w:rsid w:val="003A61CF"/>
    <w:rsid w:val="003A635B"/>
    <w:rsid w:val="003A64F8"/>
    <w:rsid w:val="003A7235"/>
    <w:rsid w:val="003A77DA"/>
    <w:rsid w:val="003A7992"/>
    <w:rsid w:val="003B089E"/>
    <w:rsid w:val="003B0D9A"/>
    <w:rsid w:val="003B0DFE"/>
    <w:rsid w:val="003B0EAC"/>
    <w:rsid w:val="003B14DC"/>
    <w:rsid w:val="003B179A"/>
    <w:rsid w:val="003B2588"/>
    <w:rsid w:val="003B3DC7"/>
    <w:rsid w:val="003B4433"/>
    <w:rsid w:val="003B4922"/>
    <w:rsid w:val="003B4E68"/>
    <w:rsid w:val="003B537C"/>
    <w:rsid w:val="003B5444"/>
    <w:rsid w:val="003B5600"/>
    <w:rsid w:val="003B57D5"/>
    <w:rsid w:val="003B5906"/>
    <w:rsid w:val="003B7579"/>
    <w:rsid w:val="003B7D83"/>
    <w:rsid w:val="003C00E7"/>
    <w:rsid w:val="003C0C8D"/>
    <w:rsid w:val="003C14C1"/>
    <w:rsid w:val="003C190F"/>
    <w:rsid w:val="003C220C"/>
    <w:rsid w:val="003C267B"/>
    <w:rsid w:val="003C2F50"/>
    <w:rsid w:val="003C385F"/>
    <w:rsid w:val="003C38D5"/>
    <w:rsid w:val="003C3D32"/>
    <w:rsid w:val="003C3EE1"/>
    <w:rsid w:val="003C3EED"/>
    <w:rsid w:val="003C409B"/>
    <w:rsid w:val="003C42A3"/>
    <w:rsid w:val="003C42C3"/>
    <w:rsid w:val="003C4309"/>
    <w:rsid w:val="003C4DB6"/>
    <w:rsid w:val="003C4DE6"/>
    <w:rsid w:val="003C5017"/>
    <w:rsid w:val="003C517C"/>
    <w:rsid w:val="003C552D"/>
    <w:rsid w:val="003C598A"/>
    <w:rsid w:val="003C5E42"/>
    <w:rsid w:val="003C6695"/>
    <w:rsid w:val="003C6C82"/>
    <w:rsid w:val="003D0118"/>
    <w:rsid w:val="003D1446"/>
    <w:rsid w:val="003D1AE9"/>
    <w:rsid w:val="003D1AF7"/>
    <w:rsid w:val="003D1D52"/>
    <w:rsid w:val="003D2EE9"/>
    <w:rsid w:val="003D37D8"/>
    <w:rsid w:val="003D3C32"/>
    <w:rsid w:val="003D40D5"/>
    <w:rsid w:val="003D4A9C"/>
    <w:rsid w:val="003D4E66"/>
    <w:rsid w:val="003D523E"/>
    <w:rsid w:val="003D5381"/>
    <w:rsid w:val="003D53C2"/>
    <w:rsid w:val="003D564E"/>
    <w:rsid w:val="003D586D"/>
    <w:rsid w:val="003D588F"/>
    <w:rsid w:val="003D5D1D"/>
    <w:rsid w:val="003D6399"/>
    <w:rsid w:val="003D6B23"/>
    <w:rsid w:val="003D734E"/>
    <w:rsid w:val="003E06B5"/>
    <w:rsid w:val="003E148C"/>
    <w:rsid w:val="003E1797"/>
    <w:rsid w:val="003E1EB7"/>
    <w:rsid w:val="003E1EF0"/>
    <w:rsid w:val="003E2157"/>
    <w:rsid w:val="003E238E"/>
    <w:rsid w:val="003E2567"/>
    <w:rsid w:val="003E2973"/>
    <w:rsid w:val="003E29F5"/>
    <w:rsid w:val="003E3369"/>
    <w:rsid w:val="003E348D"/>
    <w:rsid w:val="003E3530"/>
    <w:rsid w:val="003E36CB"/>
    <w:rsid w:val="003E3A04"/>
    <w:rsid w:val="003E4014"/>
    <w:rsid w:val="003E4172"/>
    <w:rsid w:val="003E4A9F"/>
    <w:rsid w:val="003E50C9"/>
    <w:rsid w:val="003E593F"/>
    <w:rsid w:val="003E6A73"/>
    <w:rsid w:val="003E6BE8"/>
    <w:rsid w:val="003E6C80"/>
    <w:rsid w:val="003E6D57"/>
    <w:rsid w:val="003E74CB"/>
    <w:rsid w:val="003E7A41"/>
    <w:rsid w:val="003E7B5F"/>
    <w:rsid w:val="003F019B"/>
    <w:rsid w:val="003F1F3D"/>
    <w:rsid w:val="003F20D9"/>
    <w:rsid w:val="003F22BE"/>
    <w:rsid w:val="003F2820"/>
    <w:rsid w:val="003F3AF5"/>
    <w:rsid w:val="003F3C74"/>
    <w:rsid w:val="003F40E3"/>
    <w:rsid w:val="003F4894"/>
    <w:rsid w:val="003F48CA"/>
    <w:rsid w:val="003F4A1B"/>
    <w:rsid w:val="003F4BD0"/>
    <w:rsid w:val="003F5404"/>
    <w:rsid w:val="003F56D2"/>
    <w:rsid w:val="003F62A6"/>
    <w:rsid w:val="003F6364"/>
    <w:rsid w:val="003F67C3"/>
    <w:rsid w:val="00400132"/>
    <w:rsid w:val="004001AD"/>
    <w:rsid w:val="00400DE3"/>
    <w:rsid w:val="00400EF4"/>
    <w:rsid w:val="00400FF2"/>
    <w:rsid w:val="00401011"/>
    <w:rsid w:val="0040135D"/>
    <w:rsid w:val="00401640"/>
    <w:rsid w:val="00401AC9"/>
    <w:rsid w:val="00401F0F"/>
    <w:rsid w:val="004020C3"/>
    <w:rsid w:val="00402328"/>
    <w:rsid w:val="004026F7"/>
    <w:rsid w:val="00402969"/>
    <w:rsid w:val="00402983"/>
    <w:rsid w:val="00402AD4"/>
    <w:rsid w:val="00402BCA"/>
    <w:rsid w:val="00402E15"/>
    <w:rsid w:val="004035BA"/>
    <w:rsid w:val="0040368A"/>
    <w:rsid w:val="004037E6"/>
    <w:rsid w:val="00403EC5"/>
    <w:rsid w:val="0040428A"/>
    <w:rsid w:val="004043C1"/>
    <w:rsid w:val="0040483F"/>
    <w:rsid w:val="00405007"/>
    <w:rsid w:val="004054D8"/>
    <w:rsid w:val="004059EA"/>
    <w:rsid w:val="004064D4"/>
    <w:rsid w:val="004066D5"/>
    <w:rsid w:val="004074DD"/>
    <w:rsid w:val="00407520"/>
    <w:rsid w:val="00407AD5"/>
    <w:rsid w:val="00407EB0"/>
    <w:rsid w:val="0041008B"/>
    <w:rsid w:val="00410C4B"/>
    <w:rsid w:val="00411671"/>
    <w:rsid w:val="00411A3C"/>
    <w:rsid w:val="00414009"/>
    <w:rsid w:val="00414702"/>
    <w:rsid w:val="0041595F"/>
    <w:rsid w:val="004160A4"/>
    <w:rsid w:val="00416648"/>
    <w:rsid w:val="00416BBA"/>
    <w:rsid w:val="004178D5"/>
    <w:rsid w:val="00417BA5"/>
    <w:rsid w:val="00417F06"/>
    <w:rsid w:val="004200D4"/>
    <w:rsid w:val="004203C8"/>
    <w:rsid w:val="004208A4"/>
    <w:rsid w:val="0042155B"/>
    <w:rsid w:val="00421BC2"/>
    <w:rsid w:val="00421E61"/>
    <w:rsid w:val="00422AE5"/>
    <w:rsid w:val="00423E92"/>
    <w:rsid w:val="004242DE"/>
    <w:rsid w:val="00424AAC"/>
    <w:rsid w:val="00424C9A"/>
    <w:rsid w:val="0042503A"/>
    <w:rsid w:val="00425167"/>
    <w:rsid w:val="00425AE9"/>
    <w:rsid w:val="00425B0D"/>
    <w:rsid w:val="00425D2E"/>
    <w:rsid w:val="004260ED"/>
    <w:rsid w:val="00426133"/>
    <w:rsid w:val="004263ED"/>
    <w:rsid w:val="00426BB6"/>
    <w:rsid w:val="0042722C"/>
    <w:rsid w:val="00427C75"/>
    <w:rsid w:val="00427DAC"/>
    <w:rsid w:val="00427F42"/>
    <w:rsid w:val="00430177"/>
    <w:rsid w:val="004313EE"/>
    <w:rsid w:val="00431739"/>
    <w:rsid w:val="00431794"/>
    <w:rsid w:val="00431E9E"/>
    <w:rsid w:val="00431FBC"/>
    <w:rsid w:val="0043245E"/>
    <w:rsid w:val="00432769"/>
    <w:rsid w:val="00432BBE"/>
    <w:rsid w:val="00432BD0"/>
    <w:rsid w:val="00432D1B"/>
    <w:rsid w:val="00432F06"/>
    <w:rsid w:val="00433847"/>
    <w:rsid w:val="004358AB"/>
    <w:rsid w:val="00435DA3"/>
    <w:rsid w:val="00435F9A"/>
    <w:rsid w:val="004362E4"/>
    <w:rsid w:val="004362F1"/>
    <w:rsid w:val="00436305"/>
    <w:rsid w:val="00436830"/>
    <w:rsid w:val="00436EEA"/>
    <w:rsid w:val="00436FC7"/>
    <w:rsid w:val="00437719"/>
    <w:rsid w:val="00437B7C"/>
    <w:rsid w:val="00437D23"/>
    <w:rsid w:val="00437DF0"/>
    <w:rsid w:val="00440BD3"/>
    <w:rsid w:val="00440C9E"/>
    <w:rsid w:val="0044143D"/>
    <w:rsid w:val="0044153E"/>
    <w:rsid w:val="00441CE1"/>
    <w:rsid w:val="004425C6"/>
    <w:rsid w:val="00442A05"/>
    <w:rsid w:val="00442D33"/>
    <w:rsid w:val="00442E84"/>
    <w:rsid w:val="00443E26"/>
    <w:rsid w:val="004441D3"/>
    <w:rsid w:val="004449ED"/>
    <w:rsid w:val="00445038"/>
    <w:rsid w:val="0044562F"/>
    <w:rsid w:val="004467D2"/>
    <w:rsid w:val="00446937"/>
    <w:rsid w:val="00446939"/>
    <w:rsid w:val="00446D18"/>
    <w:rsid w:val="00446DCE"/>
    <w:rsid w:val="00446E8C"/>
    <w:rsid w:val="00447357"/>
    <w:rsid w:val="00447BD1"/>
    <w:rsid w:val="00447D5B"/>
    <w:rsid w:val="004500B0"/>
    <w:rsid w:val="00450CC7"/>
    <w:rsid w:val="004513D6"/>
    <w:rsid w:val="00451695"/>
    <w:rsid w:val="004518F5"/>
    <w:rsid w:val="004522A7"/>
    <w:rsid w:val="0045281A"/>
    <w:rsid w:val="00452914"/>
    <w:rsid w:val="00453F90"/>
    <w:rsid w:val="0045437B"/>
    <w:rsid w:val="004556B4"/>
    <w:rsid w:val="00455765"/>
    <w:rsid w:val="00455CE0"/>
    <w:rsid w:val="00456873"/>
    <w:rsid w:val="00456BF3"/>
    <w:rsid w:val="00456E8A"/>
    <w:rsid w:val="00457295"/>
    <w:rsid w:val="004573A2"/>
    <w:rsid w:val="00457D9E"/>
    <w:rsid w:val="00460223"/>
    <w:rsid w:val="00460625"/>
    <w:rsid w:val="0046188A"/>
    <w:rsid w:val="00461B2B"/>
    <w:rsid w:val="00461F9E"/>
    <w:rsid w:val="0046274D"/>
    <w:rsid w:val="00462C68"/>
    <w:rsid w:val="0046439F"/>
    <w:rsid w:val="00464678"/>
    <w:rsid w:val="00464721"/>
    <w:rsid w:val="0046493C"/>
    <w:rsid w:val="00464C93"/>
    <w:rsid w:val="00464FFC"/>
    <w:rsid w:val="00465070"/>
    <w:rsid w:val="00465100"/>
    <w:rsid w:val="004652BF"/>
    <w:rsid w:val="00465914"/>
    <w:rsid w:val="00465B95"/>
    <w:rsid w:val="00465C5C"/>
    <w:rsid w:val="00465DEA"/>
    <w:rsid w:val="0046609A"/>
    <w:rsid w:val="00466F9A"/>
    <w:rsid w:val="00467297"/>
    <w:rsid w:val="004674BC"/>
    <w:rsid w:val="00467957"/>
    <w:rsid w:val="00467B4D"/>
    <w:rsid w:val="00467FFC"/>
    <w:rsid w:val="0047008A"/>
    <w:rsid w:val="004710D9"/>
    <w:rsid w:val="0047130D"/>
    <w:rsid w:val="004722E7"/>
    <w:rsid w:val="00472BEF"/>
    <w:rsid w:val="00472DCE"/>
    <w:rsid w:val="00473446"/>
    <w:rsid w:val="00473B9A"/>
    <w:rsid w:val="00474248"/>
    <w:rsid w:val="00474454"/>
    <w:rsid w:val="00474556"/>
    <w:rsid w:val="00474654"/>
    <w:rsid w:val="00474665"/>
    <w:rsid w:val="00474818"/>
    <w:rsid w:val="00474841"/>
    <w:rsid w:val="0047494A"/>
    <w:rsid w:val="00474BD9"/>
    <w:rsid w:val="00475001"/>
    <w:rsid w:val="00475EB7"/>
    <w:rsid w:val="004766A0"/>
    <w:rsid w:val="00476BB5"/>
    <w:rsid w:val="00476ECB"/>
    <w:rsid w:val="004770BB"/>
    <w:rsid w:val="0047775D"/>
    <w:rsid w:val="004778F4"/>
    <w:rsid w:val="00480303"/>
    <w:rsid w:val="00480BA4"/>
    <w:rsid w:val="00480F6E"/>
    <w:rsid w:val="004815B9"/>
    <w:rsid w:val="00481AA0"/>
    <w:rsid w:val="004827B6"/>
    <w:rsid w:val="00482A4B"/>
    <w:rsid w:val="004830DB"/>
    <w:rsid w:val="004831F7"/>
    <w:rsid w:val="00483495"/>
    <w:rsid w:val="0048449A"/>
    <w:rsid w:val="004844F4"/>
    <w:rsid w:val="0048473F"/>
    <w:rsid w:val="004851A5"/>
    <w:rsid w:val="004857BE"/>
    <w:rsid w:val="00485CC8"/>
    <w:rsid w:val="00486116"/>
    <w:rsid w:val="0048652B"/>
    <w:rsid w:val="00487086"/>
    <w:rsid w:val="004872F2"/>
    <w:rsid w:val="00487751"/>
    <w:rsid w:val="004878A6"/>
    <w:rsid w:val="0049071C"/>
    <w:rsid w:val="0049086E"/>
    <w:rsid w:val="00490925"/>
    <w:rsid w:val="004909AF"/>
    <w:rsid w:val="00490B03"/>
    <w:rsid w:val="00490C29"/>
    <w:rsid w:val="00492378"/>
    <w:rsid w:val="004923E6"/>
    <w:rsid w:val="004926EE"/>
    <w:rsid w:val="00492EE0"/>
    <w:rsid w:val="00492F09"/>
    <w:rsid w:val="00493115"/>
    <w:rsid w:val="0049377A"/>
    <w:rsid w:val="00493BA2"/>
    <w:rsid w:val="004948E7"/>
    <w:rsid w:val="004963AE"/>
    <w:rsid w:val="0049676C"/>
    <w:rsid w:val="00496829"/>
    <w:rsid w:val="00496A95"/>
    <w:rsid w:val="00497B16"/>
    <w:rsid w:val="00497F2D"/>
    <w:rsid w:val="004A03F6"/>
    <w:rsid w:val="004A1244"/>
    <w:rsid w:val="004A19E5"/>
    <w:rsid w:val="004A1A67"/>
    <w:rsid w:val="004A1B1A"/>
    <w:rsid w:val="004A1E55"/>
    <w:rsid w:val="004A237C"/>
    <w:rsid w:val="004A23A0"/>
    <w:rsid w:val="004A2740"/>
    <w:rsid w:val="004A29BE"/>
    <w:rsid w:val="004A2B1A"/>
    <w:rsid w:val="004A2F8C"/>
    <w:rsid w:val="004A34A2"/>
    <w:rsid w:val="004A365D"/>
    <w:rsid w:val="004A3D9C"/>
    <w:rsid w:val="004A4417"/>
    <w:rsid w:val="004A47B7"/>
    <w:rsid w:val="004A4808"/>
    <w:rsid w:val="004A4A3B"/>
    <w:rsid w:val="004A57A8"/>
    <w:rsid w:val="004A5970"/>
    <w:rsid w:val="004A5DA3"/>
    <w:rsid w:val="004A5FE9"/>
    <w:rsid w:val="004A6D60"/>
    <w:rsid w:val="004A7112"/>
    <w:rsid w:val="004A7118"/>
    <w:rsid w:val="004A73D1"/>
    <w:rsid w:val="004A7AC2"/>
    <w:rsid w:val="004B0454"/>
    <w:rsid w:val="004B0684"/>
    <w:rsid w:val="004B0738"/>
    <w:rsid w:val="004B0B15"/>
    <w:rsid w:val="004B29D6"/>
    <w:rsid w:val="004B2CC8"/>
    <w:rsid w:val="004B32D0"/>
    <w:rsid w:val="004B3C15"/>
    <w:rsid w:val="004B4024"/>
    <w:rsid w:val="004B4099"/>
    <w:rsid w:val="004B4508"/>
    <w:rsid w:val="004B48BC"/>
    <w:rsid w:val="004B5C06"/>
    <w:rsid w:val="004B6567"/>
    <w:rsid w:val="004B6D30"/>
    <w:rsid w:val="004B730A"/>
    <w:rsid w:val="004C01CA"/>
    <w:rsid w:val="004C0262"/>
    <w:rsid w:val="004C04CA"/>
    <w:rsid w:val="004C0652"/>
    <w:rsid w:val="004C1A54"/>
    <w:rsid w:val="004C1CD4"/>
    <w:rsid w:val="004C23C2"/>
    <w:rsid w:val="004C2EFF"/>
    <w:rsid w:val="004C2F6E"/>
    <w:rsid w:val="004C3554"/>
    <w:rsid w:val="004C4F71"/>
    <w:rsid w:val="004C53F7"/>
    <w:rsid w:val="004C56F1"/>
    <w:rsid w:val="004C5EF1"/>
    <w:rsid w:val="004C6269"/>
    <w:rsid w:val="004C6D20"/>
    <w:rsid w:val="004C7280"/>
    <w:rsid w:val="004C7327"/>
    <w:rsid w:val="004C73F1"/>
    <w:rsid w:val="004C7F7E"/>
    <w:rsid w:val="004D018A"/>
    <w:rsid w:val="004D0D34"/>
    <w:rsid w:val="004D1DDB"/>
    <w:rsid w:val="004D20D7"/>
    <w:rsid w:val="004D21FC"/>
    <w:rsid w:val="004D248A"/>
    <w:rsid w:val="004D26BF"/>
    <w:rsid w:val="004D28FE"/>
    <w:rsid w:val="004D2EB7"/>
    <w:rsid w:val="004D43A6"/>
    <w:rsid w:val="004D4964"/>
    <w:rsid w:val="004D53B7"/>
    <w:rsid w:val="004D56C7"/>
    <w:rsid w:val="004D5EF6"/>
    <w:rsid w:val="004D6150"/>
    <w:rsid w:val="004D6199"/>
    <w:rsid w:val="004D65C8"/>
    <w:rsid w:val="004D7830"/>
    <w:rsid w:val="004D7917"/>
    <w:rsid w:val="004D7C7F"/>
    <w:rsid w:val="004E030B"/>
    <w:rsid w:val="004E0CEB"/>
    <w:rsid w:val="004E0CF9"/>
    <w:rsid w:val="004E1391"/>
    <w:rsid w:val="004E1664"/>
    <w:rsid w:val="004E1E5C"/>
    <w:rsid w:val="004E2CDC"/>
    <w:rsid w:val="004E3149"/>
    <w:rsid w:val="004E39BA"/>
    <w:rsid w:val="004E4A26"/>
    <w:rsid w:val="004E63B2"/>
    <w:rsid w:val="004E63C0"/>
    <w:rsid w:val="004E7666"/>
    <w:rsid w:val="004E7CB5"/>
    <w:rsid w:val="004E7E84"/>
    <w:rsid w:val="004F07EB"/>
    <w:rsid w:val="004F0C03"/>
    <w:rsid w:val="004F1348"/>
    <w:rsid w:val="004F1AE1"/>
    <w:rsid w:val="004F2172"/>
    <w:rsid w:val="004F226C"/>
    <w:rsid w:val="004F267F"/>
    <w:rsid w:val="004F2699"/>
    <w:rsid w:val="004F389B"/>
    <w:rsid w:val="004F3922"/>
    <w:rsid w:val="004F3D7E"/>
    <w:rsid w:val="004F4855"/>
    <w:rsid w:val="004F4FD6"/>
    <w:rsid w:val="004F550F"/>
    <w:rsid w:val="004F6350"/>
    <w:rsid w:val="004F6432"/>
    <w:rsid w:val="004F64B6"/>
    <w:rsid w:val="004F6E21"/>
    <w:rsid w:val="004F6F4A"/>
    <w:rsid w:val="004F71B0"/>
    <w:rsid w:val="004F741D"/>
    <w:rsid w:val="0050042B"/>
    <w:rsid w:val="0050066F"/>
    <w:rsid w:val="00500CF3"/>
    <w:rsid w:val="00500F98"/>
    <w:rsid w:val="005021F6"/>
    <w:rsid w:val="00502753"/>
    <w:rsid w:val="005027BB"/>
    <w:rsid w:val="00503929"/>
    <w:rsid w:val="00503A45"/>
    <w:rsid w:val="00503EBE"/>
    <w:rsid w:val="00503F2C"/>
    <w:rsid w:val="0050439D"/>
    <w:rsid w:val="005046E5"/>
    <w:rsid w:val="00504E8C"/>
    <w:rsid w:val="00506435"/>
    <w:rsid w:val="00506AF2"/>
    <w:rsid w:val="00506B70"/>
    <w:rsid w:val="005072CF"/>
    <w:rsid w:val="00507707"/>
    <w:rsid w:val="00507F0D"/>
    <w:rsid w:val="005104E9"/>
    <w:rsid w:val="00510DBF"/>
    <w:rsid w:val="005113B1"/>
    <w:rsid w:val="0051346A"/>
    <w:rsid w:val="005136CD"/>
    <w:rsid w:val="005137A1"/>
    <w:rsid w:val="00513A38"/>
    <w:rsid w:val="00513CC1"/>
    <w:rsid w:val="005143D6"/>
    <w:rsid w:val="00514D2B"/>
    <w:rsid w:val="00514D6E"/>
    <w:rsid w:val="00515B1F"/>
    <w:rsid w:val="00516150"/>
    <w:rsid w:val="005161F5"/>
    <w:rsid w:val="005162F7"/>
    <w:rsid w:val="00516C9B"/>
    <w:rsid w:val="00517D73"/>
    <w:rsid w:val="005200BD"/>
    <w:rsid w:val="00520BF0"/>
    <w:rsid w:val="00521376"/>
    <w:rsid w:val="0052177B"/>
    <w:rsid w:val="00521852"/>
    <w:rsid w:val="005218F6"/>
    <w:rsid w:val="00521CAB"/>
    <w:rsid w:val="005225FD"/>
    <w:rsid w:val="00522870"/>
    <w:rsid w:val="00522DEF"/>
    <w:rsid w:val="00523167"/>
    <w:rsid w:val="0052330B"/>
    <w:rsid w:val="00523571"/>
    <w:rsid w:val="00523DC8"/>
    <w:rsid w:val="005240DA"/>
    <w:rsid w:val="00524110"/>
    <w:rsid w:val="0052444E"/>
    <w:rsid w:val="00525085"/>
    <w:rsid w:val="00526679"/>
    <w:rsid w:val="00526C62"/>
    <w:rsid w:val="005275C3"/>
    <w:rsid w:val="005275C6"/>
    <w:rsid w:val="005276E7"/>
    <w:rsid w:val="00527BAB"/>
    <w:rsid w:val="0053023E"/>
    <w:rsid w:val="00530654"/>
    <w:rsid w:val="00530B70"/>
    <w:rsid w:val="00530E78"/>
    <w:rsid w:val="0053155C"/>
    <w:rsid w:val="00531C24"/>
    <w:rsid w:val="00531FFC"/>
    <w:rsid w:val="00532BA9"/>
    <w:rsid w:val="00533423"/>
    <w:rsid w:val="00533DF9"/>
    <w:rsid w:val="00534135"/>
    <w:rsid w:val="00534165"/>
    <w:rsid w:val="005342BE"/>
    <w:rsid w:val="00534555"/>
    <w:rsid w:val="0053524B"/>
    <w:rsid w:val="00535330"/>
    <w:rsid w:val="00535F2A"/>
    <w:rsid w:val="00535F9E"/>
    <w:rsid w:val="00536018"/>
    <w:rsid w:val="00536377"/>
    <w:rsid w:val="0053681D"/>
    <w:rsid w:val="005372B4"/>
    <w:rsid w:val="00537C17"/>
    <w:rsid w:val="00537D5D"/>
    <w:rsid w:val="005403B4"/>
    <w:rsid w:val="005409D9"/>
    <w:rsid w:val="005410B9"/>
    <w:rsid w:val="00542324"/>
    <w:rsid w:val="00542537"/>
    <w:rsid w:val="0054290E"/>
    <w:rsid w:val="005440D9"/>
    <w:rsid w:val="005446E9"/>
    <w:rsid w:val="00544D24"/>
    <w:rsid w:val="00544F03"/>
    <w:rsid w:val="005454CE"/>
    <w:rsid w:val="0054652D"/>
    <w:rsid w:val="00546814"/>
    <w:rsid w:val="00546904"/>
    <w:rsid w:val="0054760B"/>
    <w:rsid w:val="00547707"/>
    <w:rsid w:val="00547802"/>
    <w:rsid w:val="005503DF"/>
    <w:rsid w:val="00550496"/>
    <w:rsid w:val="0055129A"/>
    <w:rsid w:val="00551335"/>
    <w:rsid w:val="005513A0"/>
    <w:rsid w:val="005523C1"/>
    <w:rsid w:val="0055292D"/>
    <w:rsid w:val="00552E8F"/>
    <w:rsid w:val="00552EC0"/>
    <w:rsid w:val="005532FC"/>
    <w:rsid w:val="00553835"/>
    <w:rsid w:val="0055383E"/>
    <w:rsid w:val="00553E25"/>
    <w:rsid w:val="00553E4B"/>
    <w:rsid w:val="005541F6"/>
    <w:rsid w:val="0055429C"/>
    <w:rsid w:val="00554E65"/>
    <w:rsid w:val="0055571A"/>
    <w:rsid w:val="00555B89"/>
    <w:rsid w:val="00556766"/>
    <w:rsid w:val="005568D8"/>
    <w:rsid w:val="005573FA"/>
    <w:rsid w:val="005577B8"/>
    <w:rsid w:val="00557C12"/>
    <w:rsid w:val="00557EBB"/>
    <w:rsid w:val="0056026A"/>
    <w:rsid w:val="00560D7B"/>
    <w:rsid w:val="00561A32"/>
    <w:rsid w:val="00561D05"/>
    <w:rsid w:val="005620E4"/>
    <w:rsid w:val="00562DA5"/>
    <w:rsid w:val="005630A2"/>
    <w:rsid w:val="00563F00"/>
    <w:rsid w:val="00563F0F"/>
    <w:rsid w:val="00564F99"/>
    <w:rsid w:val="0056577B"/>
    <w:rsid w:val="00565B9D"/>
    <w:rsid w:val="005667F2"/>
    <w:rsid w:val="005669D5"/>
    <w:rsid w:val="00566E6E"/>
    <w:rsid w:val="00567726"/>
    <w:rsid w:val="0057069F"/>
    <w:rsid w:val="005708E1"/>
    <w:rsid w:val="00570DEA"/>
    <w:rsid w:val="0057176E"/>
    <w:rsid w:val="005717B6"/>
    <w:rsid w:val="00571A51"/>
    <w:rsid w:val="00571B39"/>
    <w:rsid w:val="00571C47"/>
    <w:rsid w:val="00571D63"/>
    <w:rsid w:val="00572B82"/>
    <w:rsid w:val="00572D15"/>
    <w:rsid w:val="005738CE"/>
    <w:rsid w:val="00573E8B"/>
    <w:rsid w:val="00574B51"/>
    <w:rsid w:val="00575263"/>
    <w:rsid w:val="0057582D"/>
    <w:rsid w:val="005771B8"/>
    <w:rsid w:val="00580664"/>
    <w:rsid w:val="00580946"/>
    <w:rsid w:val="0058104C"/>
    <w:rsid w:val="0058140F"/>
    <w:rsid w:val="00582DB0"/>
    <w:rsid w:val="00583455"/>
    <w:rsid w:val="005836A2"/>
    <w:rsid w:val="005843EB"/>
    <w:rsid w:val="00584D0E"/>
    <w:rsid w:val="005850AF"/>
    <w:rsid w:val="005859E2"/>
    <w:rsid w:val="00585AB0"/>
    <w:rsid w:val="00586E05"/>
    <w:rsid w:val="0058717C"/>
    <w:rsid w:val="00587363"/>
    <w:rsid w:val="005873ED"/>
    <w:rsid w:val="00587517"/>
    <w:rsid w:val="00587934"/>
    <w:rsid w:val="00587BDF"/>
    <w:rsid w:val="00587E9F"/>
    <w:rsid w:val="00587F0F"/>
    <w:rsid w:val="00590005"/>
    <w:rsid w:val="005905AB"/>
    <w:rsid w:val="00590618"/>
    <w:rsid w:val="0059075E"/>
    <w:rsid w:val="00590B70"/>
    <w:rsid w:val="0059110C"/>
    <w:rsid w:val="005921E9"/>
    <w:rsid w:val="005923CD"/>
    <w:rsid w:val="005928DE"/>
    <w:rsid w:val="00593FDF"/>
    <w:rsid w:val="00594506"/>
    <w:rsid w:val="00594B41"/>
    <w:rsid w:val="00594BA5"/>
    <w:rsid w:val="0059616C"/>
    <w:rsid w:val="00596733"/>
    <w:rsid w:val="00596B3D"/>
    <w:rsid w:val="00596C80"/>
    <w:rsid w:val="00597118"/>
    <w:rsid w:val="005A0266"/>
    <w:rsid w:val="005A03D4"/>
    <w:rsid w:val="005A1005"/>
    <w:rsid w:val="005A12B2"/>
    <w:rsid w:val="005A1789"/>
    <w:rsid w:val="005A19C3"/>
    <w:rsid w:val="005A23C4"/>
    <w:rsid w:val="005A25E4"/>
    <w:rsid w:val="005A2F32"/>
    <w:rsid w:val="005A3C24"/>
    <w:rsid w:val="005A44F6"/>
    <w:rsid w:val="005A4D14"/>
    <w:rsid w:val="005A50EF"/>
    <w:rsid w:val="005A538A"/>
    <w:rsid w:val="005A5FEF"/>
    <w:rsid w:val="005A62E7"/>
    <w:rsid w:val="005A6AA2"/>
    <w:rsid w:val="005A7459"/>
    <w:rsid w:val="005B03E4"/>
    <w:rsid w:val="005B0C38"/>
    <w:rsid w:val="005B174E"/>
    <w:rsid w:val="005B1D80"/>
    <w:rsid w:val="005B2526"/>
    <w:rsid w:val="005B257C"/>
    <w:rsid w:val="005B2817"/>
    <w:rsid w:val="005B3126"/>
    <w:rsid w:val="005B3467"/>
    <w:rsid w:val="005B364F"/>
    <w:rsid w:val="005B419C"/>
    <w:rsid w:val="005B41D4"/>
    <w:rsid w:val="005B47DD"/>
    <w:rsid w:val="005B4E48"/>
    <w:rsid w:val="005B502D"/>
    <w:rsid w:val="005B5CCF"/>
    <w:rsid w:val="005B627E"/>
    <w:rsid w:val="005B6F13"/>
    <w:rsid w:val="005B6F7F"/>
    <w:rsid w:val="005C0BBB"/>
    <w:rsid w:val="005C0D3E"/>
    <w:rsid w:val="005C10CB"/>
    <w:rsid w:val="005C124F"/>
    <w:rsid w:val="005C1406"/>
    <w:rsid w:val="005C2C0C"/>
    <w:rsid w:val="005C3066"/>
    <w:rsid w:val="005C3443"/>
    <w:rsid w:val="005C3641"/>
    <w:rsid w:val="005C4531"/>
    <w:rsid w:val="005C4D1E"/>
    <w:rsid w:val="005C4E15"/>
    <w:rsid w:val="005C5124"/>
    <w:rsid w:val="005C5221"/>
    <w:rsid w:val="005C57D6"/>
    <w:rsid w:val="005C5962"/>
    <w:rsid w:val="005C693C"/>
    <w:rsid w:val="005C7430"/>
    <w:rsid w:val="005C7FB7"/>
    <w:rsid w:val="005D0412"/>
    <w:rsid w:val="005D059F"/>
    <w:rsid w:val="005D0814"/>
    <w:rsid w:val="005D08D7"/>
    <w:rsid w:val="005D0FC0"/>
    <w:rsid w:val="005D1C66"/>
    <w:rsid w:val="005D1E36"/>
    <w:rsid w:val="005D1FEA"/>
    <w:rsid w:val="005D27C4"/>
    <w:rsid w:val="005D2E63"/>
    <w:rsid w:val="005D2FCF"/>
    <w:rsid w:val="005D3E1D"/>
    <w:rsid w:val="005D4595"/>
    <w:rsid w:val="005D464B"/>
    <w:rsid w:val="005D475B"/>
    <w:rsid w:val="005D48E5"/>
    <w:rsid w:val="005D5752"/>
    <w:rsid w:val="005D60F3"/>
    <w:rsid w:val="005D61AA"/>
    <w:rsid w:val="005D627B"/>
    <w:rsid w:val="005D68DF"/>
    <w:rsid w:val="005D700F"/>
    <w:rsid w:val="005D71B8"/>
    <w:rsid w:val="005D7B93"/>
    <w:rsid w:val="005D7DF6"/>
    <w:rsid w:val="005E055A"/>
    <w:rsid w:val="005E1327"/>
    <w:rsid w:val="005E1779"/>
    <w:rsid w:val="005E1CE0"/>
    <w:rsid w:val="005E2325"/>
    <w:rsid w:val="005E2B18"/>
    <w:rsid w:val="005E2CBF"/>
    <w:rsid w:val="005E33D0"/>
    <w:rsid w:val="005E34A0"/>
    <w:rsid w:val="005E38AA"/>
    <w:rsid w:val="005E3AA8"/>
    <w:rsid w:val="005E4766"/>
    <w:rsid w:val="005E4894"/>
    <w:rsid w:val="005E4A62"/>
    <w:rsid w:val="005E4B20"/>
    <w:rsid w:val="005E5897"/>
    <w:rsid w:val="005E59C2"/>
    <w:rsid w:val="005E65CA"/>
    <w:rsid w:val="005E763F"/>
    <w:rsid w:val="005E7DED"/>
    <w:rsid w:val="005F08B6"/>
    <w:rsid w:val="005F2374"/>
    <w:rsid w:val="005F308E"/>
    <w:rsid w:val="005F3F3D"/>
    <w:rsid w:val="005F4906"/>
    <w:rsid w:val="005F52B4"/>
    <w:rsid w:val="005F54B1"/>
    <w:rsid w:val="005F55F2"/>
    <w:rsid w:val="005F5926"/>
    <w:rsid w:val="005F67A0"/>
    <w:rsid w:val="005F6DBA"/>
    <w:rsid w:val="005F6FE0"/>
    <w:rsid w:val="0060123F"/>
    <w:rsid w:val="0060159D"/>
    <w:rsid w:val="00601643"/>
    <w:rsid w:val="00602162"/>
    <w:rsid w:val="006021B8"/>
    <w:rsid w:val="006022B1"/>
    <w:rsid w:val="0060312B"/>
    <w:rsid w:val="0060318B"/>
    <w:rsid w:val="00603477"/>
    <w:rsid w:val="00603C3E"/>
    <w:rsid w:val="00603CA7"/>
    <w:rsid w:val="00603D02"/>
    <w:rsid w:val="00603D78"/>
    <w:rsid w:val="00604734"/>
    <w:rsid w:val="006047FF"/>
    <w:rsid w:val="00604C66"/>
    <w:rsid w:val="00604E01"/>
    <w:rsid w:val="00605641"/>
    <w:rsid w:val="0060564D"/>
    <w:rsid w:val="00605BCF"/>
    <w:rsid w:val="00606224"/>
    <w:rsid w:val="006062BD"/>
    <w:rsid w:val="0060632C"/>
    <w:rsid w:val="006064CE"/>
    <w:rsid w:val="00606766"/>
    <w:rsid w:val="00606B46"/>
    <w:rsid w:val="00607442"/>
    <w:rsid w:val="006074CF"/>
    <w:rsid w:val="00607DE7"/>
    <w:rsid w:val="006103FC"/>
    <w:rsid w:val="00610450"/>
    <w:rsid w:val="006104F6"/>
    <w:rsid w:val="00610ABF"/>
    <w:rsid w:val="00611B42"/>
    <w:rsid w:val="00612524"/>
    <w:rsid w:val="00612678"/>
    <w:rsid w:val="006129AB"/>
    <w:rsid w:val="00612D59"/>
    <w:rsid w:val="00612E2A"/>
    <w:rsid w:val="006130FA"/>
    <w:rsid w:val="006137DC"/>
    <w:rsid w:val="00613FAB"/>
    <w:rsid w:val="006141EE"/>
    <w:rsid w:val="00614E8A"/>
    <w:rsid w:val="00616346"/>
    <w:rsid w:val="006179A6"/>
    <w:rsid w:val="00617D2A"/>
    <w:rsid w:val="00617D44"/>
    <w:rsid w:val="00621163"/>
    <w:rsid w:val="00621A43"/>
    <w:rsid w:val="00621DE2"/>
    <w:rsid w:val="00621F47"/>
    <w:rsid w:val="00621FF5"/>
    <w:rsid w:val="006220AA"/>
    <w:rsid w:val="00622237"/>
    <w:rsid w:val="00622509"/>
    <w:rsid w:val="00623021"/>
    <w:rsid w:val="006232EF"/>
    <w:rsid w:val="0062353C"/>
    <w:rsid w:val="0062365E"/>
    <w:rsid w:val="006237F4"/>
    <w:rsid w:val="00623870"/>
    <w:rsid w:val="00624565"/>
    <w:rsid w:val="006250D3"/>
    <w:rsid w:val="00625429"/>
    <w:rsid w:val="006256E3"/>
    <w:rsid w:val="006263AD"/>
    <w:rsid w:val="00627140"/>
    <w:rsid w:val="00627264"/>
    <w:rsid w:val="00627D24"/>
    <w:rsid w:val="0063016E"/>
    <w:rsid w:val="006304AA"/>
    <w:rsid w:val="00630676"/>
    <w:rsid w:val="006306A6"/>
    <w:rsid w:val="0063210A"/>
    <w:rsid w:val="00632401"/>
    <w:rsid w:val="006328B4"/>
    <w:rsid w:val="00632D31"/>
    <w:rsid w:val="006330FA"/>
    <w:rsid w:val="0063318A"/>
    <w:rsid w:val="0063330D"/>
    <w:rsid w:val="0063353F"/>
    <w:rsid w:val="006337ED"/>
    <w:rsid w:val="00633C23"/>
    <w:rsid w:val="00634498"/>
    <w:rsid w:val="0063496D"/>
    <w:rsid w:val="00634AD1"/>
    <w:rsid w:val="00634C44"/>
    <w:rsid w:val="00634E37"/>
    <w:rsid w:val="006353D8"/>
    <w:rsid w:val="00635437"/>
    <w:rsid w:val="006357A8"/>
    <w:rsid w:val="0063582E"/>
    <w:rsid w:val="00635A0C"/>
    <w:rsid w:val="00635A1A"/>
    <w:rsid w:val="00636579"/>
    <w:rsid w:val="00636838"/>
    <w:rsid w:val="00636ABC"/>
    <w:rsid w:val="00637401"/>
    <w:rsid w:val="0063753A"/>
    <w:rsid w:val="006375D3"/>
    <w:rsid w:val="0063780E"/>
    <w:rsid w:val="00640C42"/>
    <w:rsid w:val="00641304"/>
    <w:rsid w:val="00641361"/>
    <w:rsid w:val="00641DA8"/>
    <w:rsid w:val="006425CA"/>
    <w:rsid w:val="0064280E"/>
    <w:rsid w:val="00643201"/>
    <w:rsid w:val="0064337A"/>
    <w:rsid w:val="00643B23"/>
    <w:rsid w:val="00643E17"/>
    <w:rsid w:val="00644034"/>
    <w:rsid w:val="00644064"/>
    <w:rsid w:val="00644706"/>
    <w:rsid w:val="00644DDD"/>
    <w:rsid w:val="00644F3C"/>
    <w:rsid w:val="006451CF"/>
    <w:rsid w:val="00645A29"/>
    <w:rsid w:val="0064645C"/>
    <w:rsid w:val="0064658E"/>
    <w:rsid w:val="00646752"/>
    <w:rsid w:val="006467A8"/>
    <w:rsid w:val="00646C02"/>
    <w:rsid w:val="00646D05"/>
    <w:rsid w:val="0064761C"/>
    <w:rsid w:val="006476BB"/>
    <w:rsid w:val="006503D1"/>
    <w:rsid w:val="006506BE"/>
    <w:rsid w:val="00650F87"/>
    <w:rsid w:val="006511B0"/>
    <w:rsid w:val="006512DD"/>
    <w:rsid w:val="0065425A"/>
    <w:rsid w:val="006546B6"/>
    <w:rsid w:val="00654709"/>
    <w:rsid w:val="0065524A"/>
    <w:rsid w:val="006552D6"/>
    <w:rsid w:val="00656372"/>
    <w:rsid w:val="00656B24"/>
    <w:rsid w:val="0066017A"/>
    <w:rsid w:val="00661B77"/>
    <w:rsid w:val="00661F3B"/>
    <w:rsid w:val="006627BC"/>
    <w:rsid w:val="00662FAD"/>
    <w:rsid w:val="00663330"/>
    <w:rsid w:val="00663B70"/>
    <w:rsid w:val="00663FD5"/>
    <w:rsid w:val="0066434A"/>
    <w:rsid w:val="006646DD"/>
    <w:rsid w:val="00664B3C"/>
    <w:rsid w:val="00664F5D"/>
    <w:rsid w:val="00665181"/>
    <w:rsid w:val="006654A6"/>
    <w:rsid w:val="00665D88"/>
    <w:rsid w:val="00666B32"/>
    <w:rsid w:val="006674EB"/>
    <w:rsid w:val="006678BF"/>
    <w:rsid w:val="00667F02"/>
    <w:rsid w:val="00667F85"/>
    <w:rsid w:val="00670163"/>
    <w:rsid w:val="00670A00"/>
    <w:rsid w:val="00670B15"/>
    <w:rsid w:val="00671501"/>
    <w:rsid w:val="00671650"/>
    <w:rsid w:val="00671863"/>
    <w:rsid w:val="00671CBA"/>
    <w:rsid w:val="00671CD4"/>
    <w:rsid w:val="00671E93"/>
    <w:rsid w:val="006728FF"/>
    <w:rsid w:val="00672E6F"/>
    <w:rsid w:val="0067306C"/>
    <w:rsid w:val="006731A6"/>
    <w:rsid w:val="006735F6"/>
    <w:rsid w:val="006744AB"/>
    <w:rsid w:val="006751AD"/>
    <w:rsid w:val="00675562"/>
    <w:rsid w:val="00676454"/>
    <w:rsid w:val="0067724B"/>
    <w:rsid w:val="00677714"/>
    <w:rsid w:val="006809DB"/>
    <w:rsid w:val="00680EA1"/>
    <w:rsid w:val="0068104E"/>
    <w:rsid w:val="00681657"/>
    <w:rsid w:val="006818CD"/>
    <w:rsid w:val="006819EB"/>
    <w:rsid w:val="00681CA4"/>
    <w:rsid w:val="0068210A"/>
    <w:rsid w:val="00683590"/>
    <w:rsid w:val="00683CD1"/>
    <w:rsid w:val="00683F8B"/>
    <w:rsid w:val="0068424D"/>
    <w:rsid w:val="00684B0D"/>
    <w:rsid w:val="00685B53"/>
    <w:rsid w:val="0068628D"/>
    <w:rsid w:val="00687DA2"/>
    <w:rsid w:val="006907C2"/>
    <w:rsid w:val="00691A17"/>
    <w:rsid w:val="006923C5"/>
    <w:rsid w:val="0069283A"/>
    <w:rsid w:val="00692D39"/>
    <w:rsid w:val="0069339C"/>
    <w:rsid w:val="00693BBE"/>
    <w:rsid w:val="00694172"/>
    <w:rsid w:val="006943B2"/>
    <w:rsid w:val="00694C18"/>
    <w:rsid w:val="006964E0"/>
    <w:rsid w:val="00696AFC"/>
    <w:rsid w:val="00696D37"/>
    <w:rsid w:val="006970D2"/>
    <w:rsid w:val="006978D9"/>
    <w:rsid w:val="006A0568"/>
    <w:rsid w:val="006A0AAB"/>
    <w:rsid w:val="006A0C26"/>
    <w:rsid w:val="006A0E38"/>
    <w:rsid w:val="006A0ED6"/>
    <w:rsid w:val="006A1247"/>
    <w:rsid w:val="006A1776"/>
    <w:rsid w:val="006A2620"/>
    <w:rsid w:val="006A2AFC"/>
    <w:rsid w:val="006A2EA9"/>
    <w:rsid w:val="006A37DE"/>
    <w:rsid w:val="006A3C34"/>
    <w:rsid w:val="006A41A5"/>
    <w:rsid w:val="006A5202"/>
    <w:rsid w:val="006A52FE"/>
    <w:rsid w:val="006A53B4"/>
    <w:rsid w:val="006A548B"/>
    <w:rsid w:val="006A54AD"/>
    <w:rsid w:val="006A569C"/>
    <w:rsid w:val="006A5716"/>
    <w:rsid w:val="006A58BC"/>
    <w:rsid w:val="006A5B0A"/>
    <w:rsid w:val="006A5DC3"/>
    <w:rsid w:val="006A5DF2"/>
    <w:rsid w:val="006A62EC"/>
    <w:rsid w:val="006A654A"/>
    <w:rsid w:val="006A6B05"/>
    <w:rsid w:val="006A6B8B"/>
    <w:rsid w:val="006A6E35"/>
    <w:rsid w:val="006A7785"/>
    <w:rsid w:val="006A781E"/>
    <w:rsid w:val="006B0702"/>
    <w:rsid w:val="006B09F7"/>
    <w:rsid w:val="006B1C50"/>
    <w:rsid w:val="006B25A5"/>
    <w:rsid w:val="006B32D2"/>
    <w:rsid w:val="006B345A"/>
    <w:rsid w:val="006B3595"/>
    <w:rsid w:val="006B3EEC"/>
    <w:rsid w:val="006B45BF"/>
    <w:rsid w:val="006B4694"/>
    <w:rsid w:val="006B58B3"/>
    <w:rsid w:val="006B5E99"/>
    <w:rsid w:val="006B6371"/>
    <w:rsid w:val="006B64A6"/>
    <w:rsid w:val="006B67F0"/>
    <w:rsid w:val="006B6838"/>
    <w:rsid w:val="006B6D20"/>
    <w:rsid w:val="006B6D44"/>
    <w:rsid w:val="006B790B"/>
    <w:rsid w:val="006B7C39"/>
    <w:rsid w:val="006B7CC9"/>
    <w:rsid w:val="006C045E"/>
    <w:rsid w:val="006C052F"/>
    <w:rsid w:val="006C0BFA"/>
    <w:rsid w:val="006C1526"/>
    <w:rsid w:val="006C1F15"/>
    <w:rsid w:val="006C4B39"/>
    <w:rsid w:val="006C543F"/>
    <w:rsid w:val="006C5485"/>
    <w:rsid w:val="006C54DB"/>
    <w:rsid w:val="006C5EEA"/>
    <w:rsid w:val="006C696F"/>
    <w:rsid w:val="006C710E"/>
    <w:rsid w:val="006C7786"/>
    <w:rsid w:val="006C7805"/>
    <w:rsid w:val="006D0022"/>
    <w:rsid w:val="006D0EF6"/>
    <w:rsid w:val="006D0FAB"/>
    <w:rsid w:val="006D15A1"/>
    <w:rsid w:val="006D217A"/>
    <w:rsid w:val="006D252A"/>
    <w:rsid w:val="006D29AA"/>
    <w:rsid w:val="006D3026"/>
    <w:rsid w:val="006D32D5"/>
    <w:rsid w:val="006D37F4"/>
    <w:rsid w:val="006D414F"/>
    <w:rsid w:val="006D4802"/>
    <w:rsid w:val="006D5C76"/>
    <w:rsid w:val="006D61C2"/>
    <w:rsid w:val="006D7279"/>
    <w:rsid w:val="006D74CF"/>
    <w:rsid w:val="006D7633"/>
    <w:rsid w:val="006D7C69"/>
    <w:rsid w:val="006E00DD"/>
    <w:rsid w:val="006E0EC7"/>
    <w:rsid w:val="006E113B"/>
    <w:rsid w:val="006E1403"/>
    <w:rsid w:val="006E1B52"/>
    <w:rsid w:val="006E1D9B"/>
    <w:rsid w:val="006E1FA1"/>
    <w:rsid w:val="006E2486"/>
    <w:rsid w:val="006E24ED"/>
    <w:rsid w:val="006E3FD7"/>
    <w:rsid w:val="006E3FF3"/>
    <w:rsid w:val="006E46ED"/>
    <w:rsid w:val="006E4E46"/>
    <w:rsid w:val="006E5724"/>
    <w:rsid w:val="006E5D2B"/>
    <w:rsid w:val="006E68B8"/>
    <w:rsid w:val="006E6EB8"/>
    <w:rsid w:val="006E76A3"/>
    <w:rsid w:val="006F0219"/>
    <w:rsid w:val="006F1249"/>
    <w:rsid w:val="006F14D5"/>
    <w:rsid w:val="006F15A4"/>
    <w:rsid w:val="006F1CBF"/>
    <w:rsid w:val="006F1E5C"/>
    <w:rsid w:val="006F2172"/>
    <w:rsid w:val="006F21E6"/>
    <w:rsid w:val="006F24D8"/>
    <w:rsid w:val="006F2C82"/>
    <w:rsid w:val="006F2EDF"/>
    <w:rsid w:val="006F3058"/>
    <w:rsid w:val="006F3990"/>
    <w:rsid w:val="006F3F72"/>
    <w:rsid w:val="006F4151"/>
    <w:rsid w:val="006F4299"/>
    <w:rsid w:val="006F57EC"/>
    <w:rsid w:val="006F5980"/>
    <w:rsid w:val="006F5DC9"/>
    <w:rsid w:val="006F5F8A"/>
    <w:rsid w:val="006F6CF5"/>
    <w:rsid w:val="006F6D90"/>
    <w:rsid w:val="006F7603"/>
    <w:rsid w:val="006F7D4C"/>
    <w:rsid w:val="006F7FD9"/>
    <w:rsid w:val="00700345"/>
    <w:rsid w:val="00700690"/>
    <w:rsid w:val="00700AB9"/>
    <w:rsid w:val="00701D5C"/>
    <w:rsid w:val="00702281"/>
    <w:rsid w:val="00702408"/>
    <w:rsid w:val="00702B8E"/>
    <w:rsid w:val="00702E9D"/>
    <w:rsid w:val="00703280"/>
    <w:rsid w:val="00703BD5"/>
    <w:rsid w:val="00703D8B"/>
    <w:rsid w:val="0070462D"/>
    <w:rsid w:val="0070479F"/>
    <w:rsid w:val="00705109"/>
    <w:rsid w:val="0070598E"/>
    <w:rsid w:val="00705D38"/>
    <w:rsid w:val="00706564"/>
    <w:rsid w:val="0070675E"/>
    <w:rsid w:val="00706AD2"/>
    <w:rsid w:val="00706CB8"/>
    <w:rsid w:val="00706F40"/>
    <w:rsid w:val="007077C1"/>
    <w:rsid w:val="007078A3"/>
    <w:rsid w:val="007101E8"/>
    <w:rsid w:val="0071070C"/>
    <w:rsid w:val="00710AE3"/>
    <w:rsid w:val="00712424"/>
    <w:rsid w:val="0071251E"/>
    <w:rsid w:val="00712AF2"/>
    <w:rsid w:val="00713027"/>
    <w:rsid w:val="007132FC"/>
    <w:rsid w:val="00713ADC"/>
    <w:rsid w:val="00713B75"/>
    <w:rsid w:val="00714037"/>
    <w:rsid w:val="00714169"/>
    <w:rsid w:val="00714239"/>
    <w:rsid w:val="0071462A"/>
    <w:rsid w:val="0071464A"/>
    <w:rsid w:val="00714C3A"/>
    <w:rsid w:val="00714C4B"/>
    <w:rsid w:val="00714E10"/>
    <w:rsid w:val="00714E63"/>
    <w:rsid w:val="0071584E"/>
    <w:rsid w:val="007158D1"/>
    <w:rsid w:val="00715D55"/>
    <w:rsid w:val="00716BEA"/>
    <w:rsid w:val="00716FD9"/>
    <w:rsid w:val="0071766D"/>
    <w:rsid w:val="0072075F"/>
    <w:rsid w:val="00720D0C"/>
    <w:rsid w:val="00720DD9"/>
    <w:rsid w:val="00722080"/>
    <w:rsid w:val="007225E3"/>
    <w:rsid w:val="0072309C"/>
    <w:rsid w:val="007234F7"/>
    <w:rsid w:val="00724119"/>
    <w:rsid w:val="00725CEF"/>
    <w:rsid w:val="007272CF"/>
    <w:rsid w:val="0072753F"/>
    <w:rsid w:val="007301E9"/>
    <w:rsid w:val="00730338"/>
    <w:rsid w:val="00730735"/>
    <w:rsid w:val="0073117F"/>
    <w:rsid w:val="00731790"/>
    <w:rsid w:val="00731F05"/>
    <w:rsid w:val="007326A3"/>
    <w:rsid w:val="007338B7"/>
    <w:rsid w:val="007345A4"/>
    <w:rsid w:val="00734A64"/>
    <w:rsid w:val="00735115"/>
    <w:rsid w:val="00735E20"/>
    <w:rsid w:val="007364B6"/>
    <w:rsid w:val="0073788C"/>
    <w:rsid w:val="00741FF1"/>
    <w:rsid w:val="0074239A"/>
    <w:rsid w:val="00742FAA"/>
    <w:rsid w:val="0074307E"/>
    <w:rsid w:val="00743422"/>
    <w:rsid w:val="00743790"/>
    <w:rsid w:val="00743E00"/>
    <w:rsid w:val="007440BF"/>
    <w:rsid w:val="007446BD"/>
    <w:rsid w:val="007447FC"/>
    <w:rsid w:val="0074480A"/>
    <w:rsid w:val="007456C6"/>
    <w:rsid w:val="0074665D"/>
    <w:rsid w:val="00747038"/>
    <w:rsid w:val="00750490"/>
    <w:rsid w:val="007505BA"/>
    <w:rsid w:val="00750E76"/>
    <w:rsid w:val="00752A87"/>
    <w:rsid w:val="0075303D"/>
    <w:rsid w:val="00754609"/>
    <w:rsid w:val="00754F7B"/>
    <w:rsid w:val="00755023"/>
    <w:rsid w:val="0075570E"/>
    <w:rsid w:val="00755EF7"/>
    <w:rsid w:val="00756635"/>
    <w:rsid w:val="0075688A"/>
    <w:rsid w:val="007568CC"/>
    <w:rsid w:val="00756A28"/>
    <w:rsid w:val="00756E58"/>
    <w:rsid w:val="007571C2"/>
    <w:rsid w:val="00757603"/>
    <w:rsid w:val="00757CB4"/>
    <w:rsid w:val="007603C1"/>
    <w:rsid w:val="0076049B"/>
    <w:rsid w:val="007607B8"/>
    <w:rsid w:val="00760A0A"/>
    <w:rsid w:val="00760ADB"/>
    <w:rsid w:val="00760C5C"/>
    <w:rsid w:val="00760FB5"/>
    <w:rsid w:val="0076125C"/>
    <w:rsid w:val="00761D78"/>
    <w:rsid w:val="00761ED8"/>
    <w:rsid w:val="00761F76"/>
    <w:rsid w:val="0076270B"/>
    <w:rsid w:val="007627D4"/>
    <w:rsid w:val="00763889"/>
    <w:rsid w:val="007643F1"/>
    <w:rsid w:val="0076459A"/>
    <w:rsid w:val="0076487C"/>
    <w:rsid w:val="00764E0B"/>
    <w:rsid w:val="00764F96"/>
    <w:rsid w:val="00765A15"/>
    <w:rsid w:val="00765D18"/>
    <w:rsid w:val="00765E27"/>
    <w:rsid w:val="00766C8C"/>
    <w:rsid w:val="0076713A"/>
    <w:rsid w:val="0076715C"/>
    <w:rsid w:val="007676C5"/>
    <w:rsid w:val="00767E78"/>
    <w:rsid w:val="007700F0"/>
    <w:rsid w:val="007703A1"/>
    <w:rsid w:val="007704CC"/>
    <w:rsid w:val="007704DF"/>
    <w:rsid w:val="00770539"/>
    <w:rsid w:val="00770C5C"/>
    <w:rsid w:val="00770E17"/>
    <w:rsid w:val="00771102"/>
    <w:rsid w:val="0077126E"/>
    <w:rsid w:val="00771290"/>
    <w:rsid w:val="007715EA"/>
    <w:rsid w:val="00771648"/>
    <w:rsid w:val="007718CD"/>
    <w:rsid w:val="00771E5E"/>
    <w:rsid w:val="007723F2"/>
    <w:rsid w:val="00774266"/>
    <w:rsid w:val="00774A42"/>
    <w:rsid w:val="00774D2E"/>
    <w:rsid w:val="00774D7B"/>
    <w:rsid w:val="00774E98"/>
    <w:rsid w:val="00774EF0"/>
    <w:rsid w:val="0077566A"/>
    <w:rsid w:val="00776A57"/>
    <w:rsid w:val="00776D40"/>
    <w:rsid w:val="00777408"/>
    <w:rsid w:val="00777ADC"/>
    <w:rsid w:val="00777F2C"/>
    <w:rsid w:val="00777F2E"/>
    <w:rsid w:val="0078087D"/>
    <w:rsid w:val="00781D76"/>
    <w:rsid w:val="00782075"/>
    <w:rsid w:val="00782402"/>
    <w:rsid w:val="0078252B"/>
    <w:rsid w:val="0078268E"/>
    <w:rsid w:val="00782706"/>
    <w:rsid w:val="0078274F"/>
    <w:rsid w:val="00782FA7"/>
    <w:rsid w:val="007830CD"/>
    <w:rsid w:val="00783405"/>
    <w:rsid w:val="00783F55"/>
    <w:rsid w:val="00784ABF"/>
    <w:rsid w:val="0078590D"/>
    <w:rsid w:val="00785A58"/>
    <w:rsid w:val="00785E8F"/>
    <w:rsid w:val="00785FD0"/>
    <w:rsid w:val="00786034"/>
    <w:rsid w:val="00786180"/>
    <w:rsid w:val="00786B2D"/>
    <w:rsid w:val="00786BB0"/>
    <w:rsid w:val="00787F09"/>
    <w:rsid w:val="00790476"/>
    <w:rsid w:val="00790610"/>
    <w:rsid w:val="00790F90"/>
    <w:rsid w:val="007917D7"/>
    <w:rsid w:val="00791EAF"/>
    <w:rsid w:val="0079238D"/>
    <w:rsid w:val="00793628"/>
    <w:rsid w:val="00793980"/>
    <w:rsid w:val="00793F63"/>
    <w:rsid w:val="007940CA"/>
    <w:rsid w:val="00794D67"/>
    <w:rsid w:val="0079565C"/>
    <w:rsid w:val="00796053"/>
    <w:rsid w:val="0079690C"/>
    <w:rsid w:val="00796A8C"/>
    <w:rsid w:val="00796E3C"/>
    <w:rsid w:val="007973F5"/>
    <w:rsid w:val="007A066F"/>
    <w:rsid w:val="007A0D9E"/>
    <w:rsid w:val="007A101C"/>
    <w:rsid w:val="007A1515"/>
    <w:rsid w:val="007A16F3"/>
    <w:rsid w:val="007A20E6"/>
    <w:rsid w:val="007A21BA"/>
    <w:rsid w:val="007A22D4"/>
    <w:rsid w:val="007A23B8"/>
    <w:rsid w:val="007A2B8E"/>
    <w:rsid w:val="007A2C5D"/>
    <w:rsid w:val="007A2D64"/>
    <w:rsid w:val="007A3181"/>
    <w:rsid w:val="007A338B"/>
    <w:rsid w:val="007A350C"/>
    <w:rsid w:val="007A3AF6"/>
    <w:rsid w:val="007A41D2"/>
    <w:rsid w:val="007A4418"/>
    <w:rsid w:val="007A4555"/>
    <w:rsid w:val="007A48DA"/>
    <w:rsid w:val="007A4E03"/>
    <w:rsid w:val="007A5471"/>
    <w:rsid w:val="007A59E0"/>
    <w:rsid w:val="007A6044"/>
    <w:rsid w:val="007A6C0F"/>
    <w:rsid w:val="007A6C55"/>
    <w:rsid w:val="007A6CC3"/>
    <w:rsid w:val="007A6E88"/>
    <w:rsid w:val="007A7CD1"/>
    <w:rsid w:val="007B09F9"/>
    <w:rsid w:val="007B0EE6"/>
    <w:rsid w:val="007B13E9"/>
    <w:rsid w:val="007B1C85"/>
    <w:rsid w:val="007B2A67"/>
    <w:rsid w:val="007B38AC"/>
    <w:rsid w:val="007B3971"/>
    <w:rsid w:val="007B3D0B"/>
    <w:rsid w:val="007B45B1"/>
    <w:rsid w:val="007B48FC"/>
    <w:rsid w:val="007B4919"/>
    <w:rsid w:val="007B4B8F"/>
    <w:rsid w:val="007B5BE5"/>
    <w:rsid w:val="007B5D5F"/>
    <w:rsid w:val="007B6042"/>
    <w:rsid w:val="007B62B0"/>
    <w:rsid w:val="007B644A"/>
    <w:rsid w:val="007B66D2"/>
    <w:rsid w:val="007B6940"/>
    <w:rsid w:val="007B6C5D"/>
    <w:rsid w:val="007B74CF"/>
    <w:rsid w:val="007C0516"/>
    <w:rsid w:val="007C0D84"/>
    <w:rsid w:val="007C0EA6"/>
    <w:rsid w:val="007C10C4"/>
    <w:rsid w:val="007C262B"/>
    <w:rsid w:val="007C32DB"/>
    <w:rsid w:val="007C37C4"/>
    <w:rsid w:val="007C3AE6"/>
    <w:rsid w:val="007C3C0F"/>
    <w:rsid w:val="007C3C17"/>
    <w:rsid w:val="007C4093"/>
    <w:rsid w:val="007C45E2"/>
    <w:rsid w:val="007C4AC4"/>
    <w:rsid w:val="007C66E6"/>
    <w:rsid w:val="007C6BCE"/>
    <w:rsid w:val="007C6C6D"/>
    <w:rsid w:val="007C6F09"/>
    <w:rsid w:val="007C78F5"/>
    <w:rsid w:val="007C7C64"/>
    <w:rsid w:val="007D024E"/>
    <w:rsid w:val="007D053A"/>
    <w:rsid w:val="007D0A34"/>
    <w:rsid w:val="007D19BA"/>
    <w:rsid w:val="007D1A74"/>
    <w:rsid w:val="007D1AEF"/>
    <w:rsid w:val="007D1EEF"/>
    <w:rsid w:val="007D232E"/>
    <w:rsid w:val="007D27BD"/>
    <w:rsid w:val="007D31CE"/>
    <w:rsid w:val="007D372A"/>
    <w:rsid w:val="007D3AD3"/>
    <w:rsid w:val="007D3F68"/>
    <w:rsid w:val="007D40BF"/>
    <w:rsid w:val="007D42F5"/>
    <w:rsid w:val="007D4C7E"/>
    <w:rsid w:val="007D50E6"/>
    <w:rsid w:val="007D5103"/>
    <w:rsid w:val="007D575A"/>
    <w:rsid w:val="007D599A"/>
    <w:rsid w:val="007D5DCD"/>
    <w:rsid w:val="007D5E90"/>
    <w:rsid w:val="007D6A18"/>
    <w:rsid w:val="007D7D42"/>
    <w:rsid w:val="007E0E7D"/>
    <w:rsid w:val="007E156C"/>
    <w:rsid w:val="007E1B77"/>
    <w:rsid w:val="007E22AE"/>
    <w:rsid w:val="007E22D1"/>
    <w:rsid w:val="007E28C3"/>
    <w:rsid w:val="007E2A90"/>
    <w:rsid w:val="007E313A"/>
    <w:rsid w:val="007E3557"/>
    <w:rsid w:val="007E401E"/>
    <w:rsid w:val="007E4349"/>
    <w:rsid w:val="007E4790"/>
    <w:rsid w:val="007E4B5A"/>
    <w:rsid w:val="007E4B9B"/>
    <w:rsid w:val="007E507A"/>
    <w:rsid w:val="007E5680"/>
    <w:rsid w:val="007E6D5D"/>
    <w:rsid w:val="007E6F4C"/>
    <w:rsid w:val="007E779A"/>
    <w:rsid w:val="007E77AB"/>
    <w:rsid w:val="007F05D3"/>
    <w:rsid w:val="007F0650"/>
    <w:rsid w:val="007F0B46"/>
    <w:rsid w:val="007F0BA7"/>
    <w:rsid w:val="007F10C4"/>
    <w:rsid w:val="007F14AE"/>
    <w:rsid w:val="007F16F0"/>
    <w:rsid w:val="007F17D7"/>
    <w:rsid w:val="007F1A7E"/>
    <w:rsid w:val="007F38C4"/>
    <w:rsid w:val="007F3D40"/>
    <w:rsid w:val="007F42E1"/>
    <w:rsid w:val="007F4311"/>
    <w:rsid w:val="007F48C9"/>
    <w:rsid w:val="007F4B4C"/>
    <w:rsid w:val="007F4F1E"/>
    <w:rsid w:val="007F5E83"/>
    <w:rsid w:val="007F6DFE"/>
    <w:rsid w:val="007F73B4"/>
    <w:rsid w:val="007F7EF0"/>
    <w:rsid w:val="00801315"/>
    <w:rsid w:val="008016E4"/>
    <w:rsid w:val="00801BE3"/>
    <w:rsid w:val="00801D8C"/>
    <w:rsid w:val="00801EB1"/>
    <w:rsid w:val="00802A03"/>
    <w:rsid w:val="00802CA3"/>
    <w:rsid w:val="00802ED2"/>
    <w:rsid w:val="00803073"/>
    <w:rsid w:val="008031AE"/>
    <w:rsid w:val="00803917"/>
    <w:rsid w:val="0080432B"/>
    <w:rsid w:val="00804D50"/>
    <w:rsid w:val="00805DDD"/>
    <w:rsid w:val="00806435"/>
    <w:rsid w:val="008066BB"/>
    <w:rsid w:val="0080747D"/>
    <w:rsid w:val="0080796B"/>
    <w:rsid w:val="00807D8E"/>
    <w:rsid w:val="008100AE"/>
    <w:rsid w:val="00810379"/>
    <w:rsid w:val="00812077"/>
    <w:rsid w:val="00812584"/>
    <w:rsid w:val="00812C15"/>
    <w:rsid w:val="0081308E"/>
    <w:rsid w:val="008130A3"/>
    <w:rsid w:val="00813615"/>
    <w:rsid w:val="0081422C"/>
    <w:rsid w:val="008142F4"/>
    <w:rsid w:val="0081444C"/>
    <w:rsid w:val="00814E12"/>
    <w:rsid w:val="008163D9"/>
    <w:rsid w:val="008163F3"/>
    <w:rsid w:val="008173FF"/>
    <w:rsid w:val="00817C54"/>
    <w:rsid w:val="00820326"/>
    <w:rsid w:val="0082043A"/>
    <w:rsid w:val="00820F66"/>
    <w:rsid w:val="00821062"/>
    <w:rsid w:val="00821131"/>
    <w:rsid w:val="00822AC8"/>
    <w:rsid w:val="00823311"/>
    <w:rsid w:val="00823B68"/>
    <w:rsid w:val="00824477"/>
    <w:rsid w:val="008252DD"/>
    <w:rsid w:val="00825481"/>
    <w:rsid w:val="00825F9F"/>
    <w:rsid w:val="00826582"/>
    <w:rsid w:val="00826F07"/>
    <w:rsid w:val="00827206"/>
    <w:rsid w:val="00827459"/>
    <w:rsid w:val="0083051F"/>
    <w:rsid w:val="008306DE"/>
    <w:rsid w:val="0083072E"/>
    <w:rsid w:val="008308D9"/>
    <w:rsid w:val="00830954"/>
    <w:rsid w:val="00831E5F"/>
    <w:rsid w:val="008320DD"/>
    <w:rsid w:val="00832572"/>
    <w:rsid w:val="00832E0D"/>
    <w:rsid w:val="00833013"/>
    <w:rsid w:val="0083346F"/>
    <w:rsid w:val="00833547"/>
    <w:rsid w:val="008335EA"/>
    <w:rsid w:val="00833BAC"/>
    <w:rsid w:val="008343E2"/>
    <w:rsid w:val="008347AF"/>
    <w:rsid w:val="00834955"/>
    <w:rsid w:val="008355AB"/>
    <w:rsid w:val="00835630"/>
    <w:rsid w:val="0083568D"/>
    <w:rsid w:val="00835C08"/>
    <w:rsid w:val="008362FE"/>
    <w:rsid w:val="008366B8"/>
    <w:rsid w:val="00836C6D"/>
    <w:rsid w:val="00836FC7"/>
    <w:rsid w:val="00840025"/>
    <w:rsid w:val="00840028"/>
    <w:rsid w:val="00840128"/>
    <w:rsid w:val="0084013E"/>
    <w:rsid w:val="0084030B"/>
    <w:rsid w:val="008404ED"/>
    <w:rsid w:val="008406B6"/>
    <w:rsid w:val="00840705"/>
    <w:rsid w:val="0084079F"/>
    <w:rsid w:val="00841215"/>
    <w:rsid w:val="00841496"/>
    <w:rsid w:val="008414B9"/>
    <w:rsid w:val="008423C4"/>
    <w:rsid w:val="00842623"/>
    <w:rsid w:val="0084299F"/>
    <w:rsid w:val="008445F5"/>
    <w:rsid w:val="00845726"/>
    <w:rsid w:val="00845A79"/>
    <w:rsid w:val="00845D07"/>
    <w:rsid w:val="00846045"/>
    <w:rsid w:val="00846BEA"/>
    <w:rsid w:val="00846FAF"/>
    <w:rsid w:val="00847330"/>
    <w:rsid w:val="00847598"/>
    <w:rsid w:val="008476DA"/>
    <w:rsid w:val="008479D8"/>
    <w:rsid w:val="00850340"/>
    <w:rsid w:val="00850423"/>
    <w:rsid w:val="00850508"/>
    <w:rsid w:val="00851ED7"/>
    <w:rsid w:val="008535F5"/>
    <w:rsid w:val="008538C0"/>
    <w:rsid w:val="00853EA2"/>
    <w:rsid w:val="00854253"/>
    <w:rsid w:val="0085449B"/>
    <w:rsid w:val="008544AF"/>
    <w:rsid w:val="00854701"/>
    <w:rsid w:val="00854835"/>
    <w:rsid w:val="00854C74"/>
    <w:rsid w:val="00854D53"/>
    <w:rsid w:val="008550A6"/>
    <w:rsid w:val="00855401"/>
    <w:rsid w:val="008555B7"/>
    <w:rsid w:val="008558FE"/>
    <w:rsid w:val="008559B3"/>
    <w:rsid w:val="00855A15"/>
    <w:rsid w:val="00855C24"/>
    <w:rsid w:val="00856217"/>
    <w:rsid w:val="008566C2"/>
    <w:rsid w:val="00856F90"/>
    <w:rsid w:val="00857090"/>
    <w:rsid w:val="008601D6"/>
    <w:rsid w:val="008612C2"/>
    <w:rsid w:val="00861FE4"/>
    <w:rsid w:val="00862456"/>
    <w:rsid w:val="00862661"/>
    <w:rsid w:val="00862E9E"/>
    <w:rsid w:val="00863F48"/>
    <w:rsid w:val="008648F3"/>
    <w:rsid w:val="008650AD"/>
    <w:rsid w:val="0086640C"/>
    <w:rsid w:val="00866692"/>
    <w:rsid w:val="008668C2"/>
    <w:rsid w:val="00866F84"/>
    <w:rsid w:val="0086725E"/>
    <w:rsid w:val="00867391"/>
    <w:rsid w:val="008677D1"/>
    <w:rsid w:val="00867AAD"/>
    <w:rsid w:val="00870AD5"/>
    <w:rsid w:val="0087279D"/>
    <w:rsid w:val="00872A94"/>
    <w:rsid w:val="00872E3B"/>
    <w:rsid w:val="00872EA4"/>
    <w:rsid w:val="00872F6D"/>
    <w:rsid w:val="00873595"/>
    <w:rsid w:val="008735E0"/>
    <w:rsid w:val="008739C2"/>
    <w:rsid w:val="00874006"/>
    <w:rsid w:val="008742D6"/>
    <w:rsid w:val="0087434C"/>
    <w:rsid w:val="008743A0"/>
    <w:rsid w:val="00874696"/>
    <w:rsid w:val="00875968"/>
    <w:rsid w:val="00876499"/>
    <w:rsid w:val="0087650F"/>
    <w:rsid w:val="0087693D"/>
    <w:rsid w:val="00876E7B"/>
    <w:rsid w:val="00877B06"/>
    <w:rsid w:val="00877FA9"/>
    <w:rsid w:val="00880143"/>
    <w:rsid w:val="00880736"/>
    <w:rsid w:val="00880E3E"/>
    <w:rsid w:val="00881027"/>
    <w:rsid w:val="0088119F"/>
    <w:rsid w:val="008814D3"/>
    <w:rsid w:val="00882D08"/>
    <w:rsid w:val="00882E44"/>
    <w:rsid w:val="00882F9D"/>
    <w:rsid w:val="00882FB6"/>
    <w:rsid w:val="0088380C"/>
    <w:rsid w:val="0088520B"/>
    <w:rsid w:val="0088562A"/>
    <w:rsid w:val="008858D3"/>
    <w:rsid w:val="00885BF7"/>
    <w:rsid w:val="008862DB"/>
    <w:rsid w:val="008864AC"/>
    <w:rsid w:val="00886B57"/>
    <w:rsid w:val="0088733D"/>
    <w:rsid w:val="00887766"/>
    <w:rsid w:val="00887A21"/>
    <w:rsid w:val="008903C1"/>
    <w:rsid w:val="00891711"/>
    <w:rsid w:val="00891781"/>
    <w:rsid w:val="00891CE9"/>
    <w:rsid w:val="00891FBB"/>
    <w:rsid w:val="008925EB"/>
    <w:rsid w:val="008925F1"/>
    <w:rsid w:val="00892A72"/>
    <w:rsid w:val="00892BD1"/>
    <w:rsid w:val="00892E98"/>
    <w:rsid w:val="008935FE"/>
    <w:rsid w:val="0089388C"/>
    <w:rsid w:val="00893CB4"/>
    <w:rsid w:val="00894088"/>
    <w:rsid w:val="0089429F"/>
    <w:rsid w:val="008942AD"/>
    <w:rsid w:val="008959A0"/>
    <w:rsid w:val="008960E6"/>
    <w:rsid w:val="00897548"/>
    <w:rsid w:val="00897FF5"/>
    <w:rsid w:val="008A0B2C"/>
    <w:rsid w:val="008A0BD5"/>
    <w:rsid w:val="008A0E00"/>
    <w:rsid w:val="008A13D1"/>
    <w:rsid w:val="008A1D1E"/>
    <w:rsid w:val="008A21F1"/>
    <w:rsid w:val="008A253D"/>
    <w:rsid w:val="008A26AA"/>
    <w:rsid w:val="008A2C7A"/>
    <w:rsid w:val="008A2E52"/>
    <w:rsid w:val="008A32AE"/>
    <w:rsid w:val="008A3AB1"/>
    <w:rsid w:val="008A4A56"/>
    <w:rsid w:val="008A4E86"/>
    <w:rsid w:val="008A4FD7"/>
    <w:rsid w:val="008A503A"/>
    <w:rsid w:val="008A506E"/>
    <w:rsid w:val="008A51AA"/>
    <w:rsid w:val="008A5DB2"/>
    <w:rsid w:val="008A6088"/>
    <w:rsid w:val="008A60BA"/>
    <w:rsid w:val="008A6178"/>
    <w:rsid w:val="008A61A2"/>
    <w:rsid w:val="008A6BE6"/>
    <w:rsid w:val="008B008D"/>
    <w:rsid w:val="008B0187"/>
    <w:rsid w:val="008B0643"/>
    <w:rsid w:val="008B15E0"/>
    <w:rsid w:val="008B1EA8"/>
    <w:rsid w:val="008B2E39"/>
    <w:rsid w:val="008B3527"/>
    <w:rsid w:val="008B4286"/>
    <w:rsid w:val="008B4394"/>
    <w:rsid w:val="008B46DD"/>
    <w:rsid w:val="008B4779"/>
    <w:rsid w:val="008B4D03"/>
    <w:rsid w:val="008B5651"/>
    <w:rsid w:val="008B58B8"/>
    <w:rsid w:val="008B5A25"/>
    <w:rsid w:val="008B5E13"/>
    <w:rsid w:val="008B60C8"/>
    <w:rsid w:val="008B63FE"/>
    <w:rsid w:val="008B657D"/>
    <w:rsid w:val="008B6CDB"/>
    <w:rsid w:val="008B6F8C"/>
    <w:rsid w:val="008B7726"/>
    <w:rsid w:val="008B794A"/>
    <w:rsid w:val="008B7B76"/>
    <w:rsid w:val="008B7D28"/>
    <w:rsid w:val="008B7D55"/>
    <w:rsid w:val="008C02EA"/>
    <w:rsid w:val="008C04BC"/>
    <w:rsid w:val="008C0D4E"/>
    <w:rsid w:val="008C17BD"/>
    <w:rsid w:val="008C1D35"/>
    <w:rsid w:val="008C21D8"/>
    <w:rsid w:val="008C26AD"/>
    <w:rsid w:val="008C28A2"/>
    <w:rsid w:val="008C2B68"/>
    <w:rsid w:val="008C2C08"/>
    <w:rsid w:val="008C34C9"/>
    <w:rsid w:val="008C369E"/>
    <w:rsid w:val="008C3C7A"/>
    <w:rsid w:val="008C4657"/>
    <w:rsid w:val="008C4811"/>
    <w:rsid w:val="008C4906"/>
    <w:rsid w:val="008C4E27"/>
    <w:rsid w:val="008C4E7B"/>
    <w:rsid w:val="008C4F4F"/>
    <w:rsid w:val="008C5195"/>
    <w:rsid w:val="008D074F"/>
    <w:rsid w:val="008D0962"/>
    <w:rsid w:val="008D0DF7"/>
    <w:rsid w:val="008D16F2"/>
    <w:rsid w:val="008D293B"/>
    <w:rsid w:val="008D4F11"/>
    <w:rsid w:val="008D549C"/>
    <w:rsid w:val="008D5C35"/>
    <w:rsid w:val="008D64B4"/>
    <w:rsid w:val="008D64EC"/>
    <w:rsid w:val="008D65CC"/>
    <w:rsid w:val="008D6A6F"/>
    <w:rsid w:val="008D6B48"/>
    <w:rsid w:val="008D78D1"/>
    <w:rsid w:val="008E0475"/>
    <w:rsid w:val="008E071D"/>
    <w:rsid w:val="008E175F"/>
    <w:rsid w:val="008E1926"/>
    <w:rsid w:val="008E1C87"/>
    <w:rsid w:val="008E1F85"/>
    <w:rsid w:val="008E207C"/>
    <w:rsid w:val="008E227E"/>
    <w:rsid w:val="008E25CC"/>
    <w:rsid w:val="008E3603"/>
    <w:rsid w:val="008E3675"/>
    <w:rsid w:val="008E3C8E"/>
    <w:rsid w:val="008E3D4B"/>
    <w:rsid w:val="008E3E37"/>
    <w:rsid w:val="008E4077"/>
    <w:rsid w:val="008E4169"/>
    <w:rsid w:val="008E4409"/>
    <w:rsid w:val="008E5042"/>
    <w:rsid w:val="008E5DE6"/>
    <w:rsid w:val="008E5E79"/>
    <w:rsid w:val="008E6EBC"/>
    <w:rsid w:val="008E6F94"/>
    <w:rsid w:val="008E789A"/>
    <w:rsid w:val="008F01C5"/>
    <w:rsid w:val="008F08B4"/>
    <w:rsid w:val="008F0901"/>
    <w:rsid w:val="008F0CEC"/>
    <w:rsid w:val="008F15E0"/>
    <w:rsid w:val="008F1EFE"/>
    <w:rsid w:val="008F32E9"/>
    <w:rsid w:val="008F3490"/>
    <w:rsid w:val="008F3975"/>
    <w:rsid w:val="008F5533"/>
    <w:rsid w:val="008F5E4B"/>
    <w:rsid w:val="008F5FD0"/>
    <w:rsid w:val="008F6564"/>
    <w:rsid w:val="008F6836"/>
    <w:rsid w:val="008F6C59"/>
    <w:rsid w:val="008F7181"/>
    <w:rsid w:val="009004E9"/>
    <w:rsid w:val="00900775"/>
    <w:rsid w:val="00900915"/>
    <w:rsid w:val="00900EF2"/>
    <w:rsid w:val="009017B9"/>
    <w:rsid w:val="00901A69"/>
    <w:rsid w:val="009025F5"/>
    <w:rsid w:val="00902E0C"/>
    <w:rsid w:val="00903034"/>
    <w:rsid w:val="0090321B"/>
    <w:rsid w:val="009033AF"/>
    <w:rsid w:val="009035F2"/>
    <w:rsid w:val="00903660"/>
    <w:rsid w:val="00903B7D"/>
    <w:rsid w:val="00904350"/>
    <w:rsid w:val="009043F7"/>
    <w:rsid w:val="00904BE3"/>
    <w:rsid w:val="009055AE"/>
    <w:rsid w:val="00905876"/>
    <w:rsid w:val="0090597E"/>
    <w:rsid w:val="00906216"/>
    <w:rsid w:val="00906304"/>
    <w:rsid w:val="009066F1"/>
    <w:rsid w:val="00906982"/>
    <w:rsid w:val="00906F91"/>
    <w:rsid w:val="00907D0C"/>
    <w:rsid w:val="00910052"/>
    <w:rsid w:val="009106F7"/>
    <w:rsid w:val="00910F31"/>
    <w:rsid w:val="009116AD"/>
    <w:rsid w:val="00912794"/>
    <w:rsid w:val="00912B4E"/>
    <w:rsid w:val="00912BCD"/>
    <w:rsid w:val="00913C43"/>
    <w:rsid w:val="009147EE"/>
    <w:rsid w:val="00915631"/>
    <w:rsid w:val="009167EB"/>
    <w:rsid w:val="00916953"/>
    <w:rsid w:val="00916E7B"/>
    <w:rsid w:val="00916F57"/>
    <w:rsid w:val="0092100E"/>
    <w:rsid w:val="009210AB"/>
    <w:rsid w:val="0092189D"/>
    <w:rsid w:val="00921B79"/>
    <w:rsid w:val="00922CBE"/>
    <w:rsid w:val="00922E20"/>
    <w:rsid w:val="00923483"/>
    <w:rsid w:val="009235D4"/>
    <w:rsid w:val="00923755"/>
    <w:rsid w:val="0092454D"/>
    <w:rsid w:val="00924DBA"/>
    <w:rsid w:val="00925893"/>
    <w:rsid w:val="00925B57"/>
    <w:rsid w:val="00926415"/>
    <w:rsid w:val="00926C39"/>
    <w:rsid w:val="00926C45"/>
    <w:rsid w:val="00926F43"/>
    <w:rsid w:val="00927D35"/>
    <w:rsid w:val="00930E50"/>
    <w:rsid w:val="00931229"/>
    <w:rsid w:val="00931575"/>
    <w:rsid w:val="00931998"/>
    <w:rsid w:val="00931C14"/>
    <w:rsid w:val="00931E60"/>
    <w:rsid w:val="00932078"/>
    <w:rsid w:val="00932C4B"/>
    <w:rsid w:val="00932E35"/>
    <w:rsid w:val="009337FA"/>
    <w:rsid w:val="00934581"/>
    <w:rsid w:val="00934783"/>
    <w:rsid w:val="009349F2"/>
    <w:rsid w:val="009351AA"/>
    <w:rsid w:val="00936EEB"/>
    <w:rsid w:val="00937437"/>
    <w:rsid w:val="0093759F"/>
    <w:rsid w:val="00937D48"/>
    <w:rsid w:val="00940E11"/>
    <w:rsid w:val="00941007"/>
    <w:rsid w:val="0094178B"/>
    <w:rsid w:val="00942035"/>
    <w:rsid w:val="00942ABB"/>
    <w:rsid w:val="00943671"/>
    <w:rsid w:val="00943925"/>
    <w:rsid w:val="0094398A"/>
    <w:rsid w:val="00943A8F"/>
    <w:rsid w:val="00943DC4"/>
    <w:rsid w:val="00943EAE"/>
    <w:rsid w:val="00944CDF"/>
    <w:rsid w:val="00944D6E"/>
    <w:rsid w:val="00945829"/>
    <w:rsid w:val="00945C1A"/>
    <w:rsid w:val="0094640E"/>
    <w:rsid w:val="00946F2B"/>
    <w:rsid w:val="00946F2F"/>
    <w:rsid w:val="0094713B"/>
    <w:rsid w:val="0094714C"/>
    <w:rsid w:val="0094746E"/>
    <w:rsid w:val="009501DD"/>
    <w:rsid w:val="00950927"/>
    <w:rsid w:val="00951231"/>
    <w:rsid w:val="0095152E"/>
    <w:rsid w:val="00951534"/>
    <w:rsid w:val="00951A64"/>
    <w:rsid w:val="00951BA9"/>
    <w:rsid w:val="00951E2E"/>
    <w:rsid w:val="00952004"/>
    <w:rsid w:val="009522C3"/>
    <w:rsid w:val="009530C1"/>
    <w:rsid w:val="00953597"/>
    <w:rsid w:val="00953EBB"/>
    <w:rsid w:val="00955043"/>
    <w:rsid w:val="0095523C"/>
    <w:rsid w:val="00955358"/>
    <w:rsid w:val="009554B1"/>
    <w:rsid w:val="00956716"/>
    <w:rsid w:val="009569CC"/>
    <w:rsid w:val="00956AC9"/>
    <w:rsid w:val="009577CC"/>
    <w:rsid w:val="00957A82"/>
    <w:rsid w:val="00957B84"/>
    <w:rsid w:val="009602F5"/>
    <w:rsid w:val="009605DA"/>
    <w:rsid w:val="009612B6"/>
    <w:rsid w:val="00961653"/>
    <w:rsid w:val="00962AA7"/>
    <w:rsid w:val="00962EDB"/>
    <w:rsid w:val="00963116"/>
    <w:rsid w:val="00963425"/>
    <w:rsid w:val="00963872"/>
    <w:rsid w:val="00963AB6"/>
    <w:rsid w:val="0096500C"/>
    <w:rsid w:val="009658C1"/>
    <w:rsid w:val="00965C10"/>
    <w:rsid w:val="00965C6E"/>
    <w:rsid w:val="009660FF"/>
    <w:rsid w:val="0096632D"/>
    <w:rsid w:val="00966403"/>
    <w:rsid w:val="0096645A"/>
    <w:rsid w:val="00966C9F"/>
    <w:rsid w:val="00967424"/>
    <w:rsid w:val="009708F8"/>
    <w:rsid w:val="00970B34"/>
    <w:rsid w:val="009721ED"/>
    <w:rsid w:val="0097299B"/>
    <w:rsid w:val="00972B04"/>
    <w:rsid w:val="0097383A"/>
    <w:rsid w:val="009738FD"/>
    <w:rsid w:val="0097394D"/>
    <w:rsid w:val="00973F6A"/>
    <w:rsid w:val="0097410D"/>
    <w:rsid w:val="009744D5"/>
    <w:rsid w:val="00974831"/>
    <w:rsid w:val="00974FF5"/>
    <w:rsid w:val="00975096"/>
    <w:rsid w:val="00975463"/>
    <w:rsid w:val="00975837"/>
    <w:rsid w:val="00976031"/>
    <w:rsid w:val="00976715"/>
    <w:rsid w:val="00976A68"/>
    <w:rsid w:val="00977088"/>
    <w:rsid w:val="00977A2A"/>
    <w:rsid w:val="00977F13"/>
    <w:rsid w:val="009807A5"/>
    <w:rsid w:val="00980F24"/>
    <w:rsid w:val="00981651"/>
    <w:rsid w:val="00981E55"/>
    <w:rsid w:val="00981E57"/>
    <w:rsid w:val="00982336"/>
    <w:rsid w:val="0098233F"/>
    <w:rsid w:val="00982369"/>
    <w:rsid w:val="009830C0"/>
    <w:rsid w:val="009834B6"/>
    <w:rsid w:val="00983C5A"/>
    <w:rsid w:val="00984213"/>
    <w:rsid w:val="00984F70"/>
    <w:rsid w:val="0098500D"/>
    <w:rsid w:val="00985418"/>
    <w:rsid w:val="00985AF0"/>
    <w:rsid w:val="00985B80"/>
    <w:rsid w:val="0098634D"/>
    <w:rsid w:val="0098660E"/>
    <w:rsid w:val="009866C5"/>
    <w:rsid w:val="00990068"/>
    <w:rsid w:val="0099029A"/>
    <w:rsid w:val="00990330"/>
    <w:rsid w:val="009905F5"/>
    <w:rsid w:val="00990888"/>
    <w:rsid w:val="0099109D"/>
    <w:rsid w:val="00991216"/>
    <w:rsid w:val="009915FA"/>
    <w:rsid w:val="00991654"/>
    <w:rsid w:val="00991DAB"/>
    <w:rsid w:val="00992169"/>
    <w:rsid w:val="00993E90"/>
    <w:rsid w:val="00993F3C"/>
    <w:rsid w:val="00994616"/>
    <w:rsid w:val="00994C82"/>
    <w:rsid w:val="00994EA3"/>
    <w:rsid w:val="009951E8"/>
    <w:rsid w:val="00995652"/>
    <w:rsid w:val="00995CAE"/>
    <w:rsid w:val="00996E0A"/>
    <w:rsid w:val="00996F94"/>
    <w:rsid w:val="00997175"/>
    <w:rsid w:val="009971E2"/>
    <w:rsid w:val="009A0331"/>
    <w:rsid w:val="009A06C2"/>
    <w:rsid w:val="009A072A"/>
    <w:rsid w:val="009A1107"/>
    <w:rsid w:val="009A11FB"/>
    <w:rsid w:val="009A1D3A"/>
    <w:rsid w:val="009A21E3"/>
    <w:rsid w:val="009A2C6B"/>
    <w:rsid w:val="009A469F"/>
    <w:rsid w:val="009A545E"/>
    <w:rsid w:val="009A5B3F"/>
    <w:rsid w:val="009A6469"/>
    <w:rsid w:val="009A6889"/>
    <w:rsid w:val="009A7812"/>
    <w:rsid w:val="009A7DDB"/>
    <w:rsid w:val="009B069B"/>
    <w:rsid w:val="009B082A"/>
    <w:rsid w:val="009B14A8"/>
    <w:rsid w:val="009B1BF0"/>
    <w:rsid w:val="009B1D37"/>
    <w:rsid w:val="009B2A18"/>
    <w:rsid w:val="009B2CA9"/>
    <w:rsid w:val="009B2DAD"/>
    <w:rsid w:val="009B3023"/>
    <w:rsid w:val="009B3116"/>
    <w:rsid w:val="009B34B4"/>
    <w:rsid w:val="009B4E69"/>
    <w:rsid w:val="009B5B21"/>
    <w:rsid w:val="009B5E4D"/>
    <w:rsid w:val="009B76E7"/>
    <w:rsid w:val="009B7B8D"/>
    <w:rsid w:val="009B7C77"/>
    <w:rsid w:val="009C02D0"/>
    <w:rsid w:val="009C0514"/>
    <w:rsid w:val="009C07A9"/>
    <w:rsid w:val="009C1B4B"/>
    <w:rsid w:val="009C1E9A"/>
    <w:rsid w:val="009C2E45"/>
    <w:rsid w:val="009C2E4B"/>
    <w:rsid w:val="009C361D"/>
    <w:rsid w:val="009C4428"/>
    <w:rsid w:val="009C447F"/>
    <w:rsid w:val="009C46D8"/>
    <w:rsid w:val="009C4949"/>
    <w:rsid w:val="009C4DB3"/>
    <w:rsid w:val="009C50DA"/>
    <w:rsid w:val="009C51DC"/>
    <w:rsid w:val="009C5489"/>
    <w:rsid w:val="009C5A4B"/>
    <w:rsid w:val="009C5ACE"/>
    <w:rsid w:val="009C633D"/>
    <w:rsid w:val="009C73AB"/>
    <w:rsid w:val="009C7EB2"/>
    <w:rsid w:val="009D018B"/>
    <w:rsid w:val="009D0191"/>
    <w:rsid w:val="009D16CC"/>
    <w:rsid w:val="009D18C9"/>
    <w:rsid w:val="009D1EF1"/>
    <w:rsid w:val="009D3105"/>
    <w:rsid w:val="009D3451"/>
    <w:rsid w:val="009D37A0"/>
    <w:rsid w:val="009D3AF8"/>
    <w:rsid w:val="009D3B0D"/>
    <w:rsid w:val="009D3F20"/>
    <w:rsid w:val="009D4922"/>
    <w:rsid w:val="009D4CAF"/>
    <w:rsid w:val="009D5C60"/>
    <w:rsid w:val="009D5EBE"/>
    <w:rsid w:val="009D60A3"/>
    <w:rsid w:val="009D6171"/>
    <w:rsid w:val="009D67F0"/>
    <w:rsid w:val="009D6E06"/>
    <w:rsid w:val="009D71AF"/>
    <w:rsid w:val="009D7311"/>
    <w:rsid w:val="009D7B96"/>
    <w:rsid w:val="009E02F6"/>
    <w:rsid w:val="009E05ED"/>
    <w:rsid w:val="009E0748"/>
    <w:rsid w:val="009E07CA"/>
    <w:rsid w:val="009E0B94"/>
    <w:rsid w:val="009E0C1E"/>
    <w:rsid w:val="009E141D"/>
    <w:rsid w:val="009E1990"/>
    <w:rsid w:val="009E235E"/>
    <w:rsid w:val="009E23F2"/>
    <w:rsid w:val="009E28A4"/>
    <w:rsid w:val="009E293F"/>
    <w:rsid w:val="009E2D08"/>
    <w:rsid w:val="009E2D9A"/>
    <w:rsid w:val="009E315E"/>
    <w:rsid w:val="009E35D0"/>
    <w:rsid w:val="009E362F"/>
    <w:rsid w:val="009E3C6E"/>
    <w:rsid w:val="009E4A44"/>
    <w:rsid w:val="009E4F0D"/>
    <w:rsid w:val="009E565D"/>
    <w:rsid w:val="009E5D15"/>
    <w:rsid w:val="009E5FD0"/>
    <w:rsid w:val="009E65C4"/>
    <w:rsid w:val="009E6677"/>
    <w:rsid w:val="009E7022"/>
    <w:rsid w:val="009E754F"/>
    <w:rsid w:val="009E7879"/>
    <w:rsid w:val="009E7887"/>
    <w:rsid w:val="009F04BB"/>
    <w:rsid w:val="009F0C85"/>
    <w:rsid w:val="009F12D0"/>
    <w:rsid w:val="009F15D0"/>
    <w:rsid w:val="009F16F6"/>
    <w:rsid w:val="009F1A9D"/>
    <w:rsid w:val="009F1C90"/>
    <w:rsid w:val="009F21E5"/>
    <w:rsid w:val="009F24A3"/>
    <w:rsid w:val="009F3343"/>
    <w:rsid w:val="009F360C"/>
    <w:rsid w:val="009F38CC"/>
    <w:rsid w:val="009F3BEE"/>
    <w:rsid w:val="009F4353"/>
    <w:rsid w:val="009F48A2"/>
    <w:rsid w:val="009F4902"/>
    <w:rsid w:val="009F4C48"/>
    <w:rsid w:val="009F70D5"/>
    <w:rsid w:val="009F7596"/>
    <w:rsid w:val="009F75BB"/>
    <w:rsid w:val="009F7BF3"/>
    <w:rsid w:val="00A00832"/>
    <w:rsid w:val="00A00D2A"/>
    <w:rsid w:val="00A0120D"/>
    <w:rsid w:val="00A01366"/>
    <w:rsid w:val="00A01400"/>
    <w:rsid w:val="00A016F8"/>
    <w:rsid w:val="00A01851"/>
    <w:rsid w:val="00A01876"/>
    <w:rsid w:val="00A034B3"/>
    <w:rsid w:val="00A03530"/>
    <w:rsid w:val="00A03BBA"/>
    <w:rsid w:val="00A03C1A"/>
    <w:rsid w:val="00A04D11"/>
    <w:rsid w:val="00A04F2D"/>
    <w:rsid w:val="00A05C24"/>
    <w:rsid w:val="00A06D6F"/>
    <w:rsid w:val="00A0711E"/>
    <w:rsid w:val="00A0771D"/>
    <w:rsid w:val="00A079BE"/>
    <w:rsid w:val="00A07A6A"/>
    <w:rsid w:val="00A07CB7"/>
    <w:rsid w:val="00A102E0"/>
    <w:rsid w:val="00A10BAE"/>
    <w:rsid w:val="00A10E9D"/>
    <w:rsid w:val="00A10FA8"/>
    <w:rsid w:val="00A11342"/>
    <w:rsid w:val="00A11B04"/>
    <w:rsid w:val="00A127EF"/>
    <w:rsid w:val="00A128A0"/>
    <w:rsid w:val="00A13324"/>
    <w:rsid w:val="00A135A0"/>
    <w:rsid w:val="00A138DF"/>
    <w:rsid w:val="00A13B00"/>
    <w:rsid w:val="00A13B60"/>
    <w:rsid w:val="00A145E8"/>
    <w:rsid w:val="00A14D84"/>
    <w:rsid w:val="00A15916"/>
    <w:rsid w:val="00A15D83"/>
    <w:rsid w:val="00A16148"/>
    <w:rsid w:val="00A16415"/>
    <w:rsid w:val="00A17340"/>
    <w:rsid w:val="00A173A8"/>
    <w:rsid w:val="00A20426"/>
    <w:rsid w:val="00A22C6B"/>
    <w:rsid w:val="00A232F3"/>
    <w:rsid w:val="00A2401E"/>
    <w:rsid w:val="00A24358"/>
    <w:rsid w:val="00A244E3"/>
    <w:rsid w:val="00A24B98"/>
    <w:rsid w:val="00A24E3F"/>
    <w:rsid w:val="00A2550D"/>
    <w:rsid w:val="00A2583C"/>
    <w:rsid w:val="00A26251"/>
    <w:rsid w:val="00A26266"/>
    <w:rsid w:val="00A270F7"/>
    <w:rsid w:val="00A27A38"/>
    <w:rsid w:val="00A30B79"/>
    <w:rsid w:val="00A30CB5"/>
    <w:rsid w:val="00A30FF0"/>
    <w:rsid w:val="00A31731"/>
    <w:rsid w:val="00A31B52"/>
    <w:rsid w:val="00A32542"/>
    <w:rsid w:val="00A32BFA"/>
    <w:rsid w:val="00A32E34"/>
    <w:rsid w:val="00A33448"/>
    <w:rsid w:val="00A347F1"/>
    <w:rsid w:val="00A34A81"/>
    <w:rsid w:val="00A34D10"/>
    <w:rsid w:val="00A34EAB"/>
    <w:rsid w:val="00A354FD"/>
    <w:rsid w:val="00A354FE"/>
    <w:rsid w:val="00A35DC8"/>
    <w:rsid w:val="00A35FE2"/>
    <w:rsid w:val="00A36803"/>
    <w:rsid w:val="00A36E7E"/>
    <w:rsid w:val="00A37174"/>
    <w:rsid w:val="00A3747C"/>
    <w:rsid w:val="00A40FD0"/>
    <w:rsid w:val="00A41289"/>
    <w:rsid w:val="00A412A7"/>
    <w:rsid w:val="00A413E5"/>
    <w:rsid w:val="00A41787"/>
    <w:rsid w:val="00A419AD"/>
    <w:rsid w:val="00A41A59"/>
    <w:rsid w:val="00A42AE0"/>
    <w:rsid w:val="00A42BED"/>
    <w:rsid w:val="00A43041"/>
    <w:rsid w:val="00A43448"/>
    <w:rsid w:val="00A43A79"/>
    <w:rsid w:val="00A43CBD"/>
    <w:rsid w:val="00A442DD"/>
    <w:rsid w:val="00A448CD"/>
    <w:rsid w:val="00A449B1"/>
    <w:rsid w:val="00A45879"/>
    <w:rsid w:val="00A45F88"/>
    <w:rsid w:val="00A46361"/>
    <w:rsid w:val="00A465CF"/>
    <w:rsid w:val="00A46839"/>
    <w:rsid w:val="00A469CF"/>
    <w:rsid w:val="00A46C0B"/>
    <w:rsid w:val="00A46D70"/>
    <w:rsid w:val="00A475F9"/>
    <w:rsid w:val="00A47A33"/>
    <w:rsid w:val="00A50FE2"/>
    <w:rsid w:val="00A516D3"/>
    <w:rsid w:val="00A51D71"/>
    <w:rsid w:val="00A52303"/>
    <w:rsid w:val="00A52B2A"/>
    <w:rsid w:val="00A531C4"/>
    <w:rsid w:val="00A54C95"/>
    <w:rsid w:val="00A54DFC"/>
    <w:rsid w:val="00A559BE"/>
    <w:rsid w:val="00A55CA7"/>
    <w:rsid w:val="00A55EEB"/>
    <w:rsid w:val="00A56694"/>
    <w:rsid w:val="00A5680C"/>
    <w:rsid w:val="00A5690C"/>
    <w:rsid w:val="00A56ABA"/>
    <w:rsid w:val="00A57024"/>
    <w:rsid w:val="00A57BA2"/>
    <w:rsid w:val="00A608E7"/>
    <w:rsid w:val="00A60A6D"/>
    <w:rsid w:val="00A60E64"/>
    <w:rsid w:val="00A611DD"/>
    <w:rsid w:val="00A6199E"/>
    <w:rsid w:val="00A61D7C"/>
    <w:rsid w:val="00A6251E"/>
    <w:rsid w:val="00A62936"/>
    <w:rsid w:val="00A629DA"/>
    <w:rsid w:val="00A62A6C"/>
    <w:rsid w:val="00A62CCE"/>
    <w:rsid w:val="00A62F95"/>
    <w:rsid w:val="00A63A66"/>
    <w:rsid w:val="00A63F7B"/>
    <w:rsid w:val="00A65345"/>
    <w:rsid w:val="00A6540F"/>
    <w:rsid w:val="00A6562B"/>
    <w:rsid w:val="00A65DA8"/>
    <w:rsid w:val="00A65F60"/>
    <w:rsid w:val="00A65FA9"/>
    <w:rsid w:val="00A6615F"/>
    <w:rsid w:val="00A66FC3"/>
    <w:rsid w:val="00A67C71"/>
    <w:rsid w:val="00A67EA7"/>
    <w:rsid w:val="00A67F40"/>
    <w:rsid w:val="00A71634"/>
    <w:rsid w:val="00A71A0B"/>
    <w:rsid w:val="00A72054"/>
    <w:rsid w:val="00A7356E"/>
    <w:rsid w:val="00A7364C"/>
    <w:rsid w:val="00A739B2"/>
    <w:rsid w:val="00A739C8"/>
    <w:rsid w:val="00A73A32"/>
    <w:rsid w:val="00A73A90"/>
    <w:rsid w:val="00A7432F"/>
    <w:rsid w:val="00A74994"/>
    <w:rsid w:val="00A749D7"/>
    <w:rsid w:val="00A74CF6"/>
    <w:rsid w:val="00A75817"/>
    <w:rsid w:val="00A76633"/>
    <w:rsid w:val="00A76FD9"/>
    <w:rsid w:val="00A77992"/>
    <w:rsid w:val="00A77BA9"/>
    <w:rsid w:val="00A77D85"/>
    <w:rsid w:val="00A80087"/>
    <w:rsid w:val="00A803CE"/>
    <w:rsid w:val="00A8063B"/>
    <w:rsid w:val="00A80788"/>
    <w:rsid w:val="00A814CC"/>
    <w:rsid w:val="00A81DCC"/>
    <w:rsid w:val="00A82438"/>
    <w:rsid w:val="00A827BE"/>
    <w:rsid w:val="00A82F3A"/>
    <w:rsid w:val="00A8308C"/>
    <w:rsid w:val="00A846AC"/>
    <w:rsid w:val="00A84810"/>
    <w:rsid w:val="00A84874"/>
    <w:rsid w:val="00A855E6"/>
    <w:rsid w:val="00A85710"/>
    <w:rsid w:val="00A85A42"/>
    <w:rsid w:val="00A860B9"/>
    <w:rsid w:val="00A86A86"/>
    <w:rsid w:val="00A8713F"/>
    <w:rsid w:val="00A872F0"/>
    <w:rsid w:val="00A87AAA"/>
    <w:rsid w:val="00A90318"/>
    <w:rsid w:val="00A90593"/>
    <w:rsid w:val="00A9084C"/>
    <w:rsid w:val="00A909EF"/>
    <w:rsid w:val="00A91107"/>
    <w:rsid w:val="00A913F3"/>
    <w:rsid w:val="00A9231F"/>
    <w:rsid w:val="00A92916"/>
    <w:rsid w:val="00A929E3"/>
    <w:rsid w:val="00A93463"/>
    <w:rsid w:val="00A93C58"/>
    <w:rsid w:val="00A941BE"/>
    <w:rsid w:val="00A94268"/>
    <w:rsid w:val="00A94F9A"/>
    <w:rsid w:val="00A952BF"/>
    <w:rsid w:val="00A95531"/>
    <w:rsid w:val="00A95A2F"/>
    <w:rsid w:val="00A95DF1"/>
    <w:rsid w:val="00A960EB"/>
    <w:rsid w:val="00A96983"/>
    <w:rsid w:val="00A97875"/>
    <w:rsid w:val="00A97CC7"/>
    <w:rsid w:val="00AA03C9"/>
    <w:rsid w:val="00AA05AB"/>
    <w:rsid w:val="00AA081E"/>
    <w:rsid w:val="00AA201E"/>
    <w:rsid w:val="00AA2F6F"/>
    <w:rsid w:val="00AA31D0"/>
    <w:rsid w:val="00AA340E"/>
    <w:rsid w:val="00AA3C67"/>
    <w:rsid w:val="00AA3F02"/>
    <w:rsid w:val="00AA4939"/>
    <w:rsid w:val="00AA4DDB"/>
    <w:rsid w:val="00AA506F"/>
    <w:rsid w:val="00AA52A7"/>
    <w:rsid w:val="00AA5B58"/>
    <w:rsid w:val="00AA6317"/>
    <w:rsid w:val="00AA6615"/>
    <w:rsid w:val="00AA67D5"/>
    <w:rsid w:val="00AA68FC"/>
    <w:rsid w:val="00AA69E5"/>
    <w:rsid w:val="00AA6BF3"/>
    <w:rsid w:val="00AA6F35"/>
    <w:rsid w:val="00AA6F39"/>
    <w:rsid w:val="00AA702C"/>
    <w:rsid w:val="00AA7509"/>
    <w:rsid w:val="00AA7554"/>
    <w:rsid w:val="00AA7704"/>
    <w:rsid w:val="00AA7813"/>
    <w:rsid w:val="00AA7B19"/>
    <w:rsid w:val="00AA7DF7"/>
    <w:rsid w:val="00AB0259"/>
    <w:rsid w:val="00AB047F"/>
    <w:rsid w:val="00AB08E7"/>
    <w:rsid w:val="00AB158C"/>
    <w:rsid w:val="00AB1A08"/>
    <w:rsid w:val="00AB20D5"/>
    <w:rsid w:val="00AB2635"/>
    <w:rsid w:val="00AB2E62"/>
    <w:rsid w:val="00AB2EC1"/>
    <w:rsid w:val="00AB3CCF"/>
    <w:rsid w:val="00AB4D88"/>
    <w:rsid w:val="00AB50B4"/>
    <w:rsid w:val="00AB644E"/>
    <w:rsid w:val="00AB666E"/>
    <w:rsid w:val="00AB6735"/>
    <w:rsid w:val="00AB6A1F"/>
    <w:rsid w:val="00AB6D54"/>
    <w:rsid w:val="00AB6D72"/>
    <w:rsid w:val="00AB7027"/>
    <w:rsid w:val="00AB798A"/>
    <w:rsid w:val="00AB79D6"/>
    <w:rsid w:val="00AC0C9C"/>
    <w:rsid w:val="00AC0F6A"/>
    <w:rsid w:val="00AC1275"/>
    <w:rsid w:val="00AC1ACC"/>
    <w:rsid w:val="00AC285C"/>
    <w:rsid w:val="00AC29D3"/>
    <w:rsid w:val="00AC2BBD"/>
    <w:rsid w:val="00AC2DB2"/>
    <w:rsid w:val="00AC2E7E"/>
    <w:rsid w:val="00AC2ED5"/>
    <w:rsid w:val="00AC2F83"/>
    <w:rsid w:val="00AC324C"/>
    <w:rsid w:val="00AC3D22"/>
    <w:rsid w:val="00AC4EF0"/>
    <w:rsid w:val="00AC4F65"/>
    <w:rsid w:val="00AC5B8E"/>
    <w:rsid w:val="00AC6378"/>
    <w:rsid w:val="00AC730A"/>
    <w:rsid w:val="00AC7A40"/>
    <w:rsid w:val="00AC7EEB"/>
    <w:rsid w:val="00AD0238"/>
    <w:rsid w:val="00AD07AC"/>
    <w:rsid w:val="00AD0C2B"/>
    <w:rsid w:val="00AD0D62"/>
    <w:rsid w:val="00AD16F0"/>
    <w:rsid w:val="00AD1E2F"/>
    <w:rsid w:val="00AD2561"/>
    <w:rsid w:val="00AD270C"/>
    <w:rsid w:val="00AD3313"/>
    <w:rsid w:val="00AD3867"/>
    <w:rsid w:val="00AD39F1"/>
    <w:rsid w:val="00AD447A"/>
    <w:rsid w:val="00AD47BF"/>
    <w:rsid w:val="00AD4C88"/>
    <w:rsid w:val="00AD4E3C"/>
    <w:rsid w:val="00AD54B8"/>
    <w:rsid w:val="00AD583B"/>
    <w:rsid w:val="00AD5950"/>
    <w:rsid w:val="00AD5CC3"/>
    <w:rsid w:val="00AD630F"/>
    <w:rsid w:val="00AD6D20"/>
    <w:rsid w:val="00AD727F"/>
    <w:rsid w:val="00AD7806"/>
    <w:rsid w:val="00AD7B1C"/>
    <w:rsid w:val="00AD7F55"/>
    <w:rsid w:val="00AD7F73"/>
    <w:rsid w:val="00AD7FDD"/>
    <w:rsid w:val="00AE0B67"/>
    <w:rsid w:val="00AE0B81"/>
    <w:rsid w:val="00AE12CA"/>
    <w:rsid w:val="00AE1A80"/>
    <w:rsid w:val="00AE239F"/>
    <w:rsid w:val="00AE24F8"/>
    <w:rsid w:val="00AE2775"/>
    <w:rsid w:val="00AE3518"/>
    <w:rsid w:val="00AE37DF"/>
    <w:rsid w:val="00AE3ADF"/>
    <w:rsid w:val="00AE4146"/>
    <w:rsid w:val="00AE4225"/>
    <w:rsid w:val="00AE42BC"/>
    <w:rsid w:val="00AE4B89"/>
    <w:rsid w:val="00AE5CB6"/>
    <w:rsid w:val="00AE5E93"/>
    <w:rsid w:val="00AE603B"/>
    <w:rsid w:val="00AE671B"/>
    <w:rsid w:val="00AE6845"/>
    <w:rsid w:val="00AE68E5"/>
    <w:rsid w:val="00AE6BA0"/>
    <w:rsid w:val="00AE6BE2"/>
    <w:rsid w:val="00AE6DF9"/>
    <w:rsid w:val="00AE6ECF"/>
    <w:rsid w:val="00AE72EC"/>
    <w:rsid w:val="00AE79B8"/>
    <w:rsid w:val="00AE7F2A"/>
    <w:rsid w:val="00AF0546"/>
    <w:rsid w:val="00AF0BC5"/>
    <w:rsid w:val="00AF0C77"/>
    <w:rsid w:val="00AF1113"/>
    <w:rsid w:val="00AF1A9A"/>
    <w:rsid w:val="00AF1F2B"/>
    <w:rsid w:val="00AF2D5F"/>
    <w:rsid w:val="00AF3056"/>
    <w:rsid w:val="00AF31BE"/>
    <w:rsid w:val="00AF35AF"/>
    <w:rsid w:val="00AF3FEA"/>
    <w:rsid w:val="00AF47DC"/>
    <w:rsid w:val="00AF51B2"/>
    <w:rsid w:val="00AF54BB"/>
    <w:rsid w:val="00AF5933"/>
    <w:rsid w:val="00AF5CA0"/>
    <w:rsid w:val="00AF6678"/>
    <w:rsid w:val="00AF66A6"/>
    <w:rsid w:val="00AF6EEA"/>
    <w:rsid w:val="00AF7217"/>
    <w:rsid w:val="00AF7B2F"/>
    <w:rsid w:val="00AF7C03"/>
    <w:rsid w:val="00B00036"/>
    <w:rsid w:val="00B0028E"/>
    <w:rsid w:val="00B0142A"/>
    <w:rsid w:val="00B01A27"/>
    <w:rsid w:val="00B01A6C"/>
    <w:rsid w:val="00B01B81"/>
    <w:rsid w:val="00B0228A"/>
    <w:rsid w:val="00B028B7"/>
    <w:rsid w:val="00B03164"/>
    <w:rsid w:val="00B041BB"/>
    <w:rsid w:val="00B04789"/>
    <w:rsid w:val="00B049D1"/>
    <w:rsid w:val="00B04E4B"/>
    <w:rsid w:val="00B05159"/>
    <w:rsid w:val="00B051BD"/>
    <w:rsid w:val="00B0530D"/>
    <w:rsid w:val="00B0615F"/>
    <w:rsid w:val="00B06836"/>
    <w:rsid w:val="00B06C44"/>
    <w:rsid w:val="00B0712C"/>
    <w:rsid w:val="00B074F3"/>
    <w:rsid w:val="00B0783F"/>
    <w:rsid w:val="00B07C02"/>
    <w:rsid w:val="00B100B4"/>
    <w:rsid w:val="00B10206"/>
    <w:rsid w:val="00B1044E"/>
    <w:rsid w:val="00B10A09"/>
    <w:rsid w:val="00B11251"/>
    <w:rsid w:val="00B1137F"/>
    <w:rsid w:val="00B12B9B"/>
    <w:rsid w:val="00B135E7"/>
    <w:rsid w:val="00B1390E"/>
    <w:rsid w:val="00B13B00"/>
    <w:rsid w:val="00B1445B"/>
    <w:rsid w:val="00B14462"/>
    <w:rsid w:val="00B14763"/>
    <w:rsid w:val="00B14DC3"/>
    <w:rsid w:val="00B151CF"/>
    <w:rsid w:val="00B15ED0"/>
    <w:rsid w:val="00B16658"/>
    <w:rsid w:val="00B1676A"/>
    <w:rsid w:val="00B16B4E"/>
    <w:rsid w:val="00B201DC"/>
    <w:rsid w:val="00B2024A"/>
    <w:rsid w:val="00B2086B"/>
    <w:rsid w:val="00B21035"/>
    <w:rsid w:val="00B2149C"/>
    <w:rsid w:val="00B21F59"/>
    <w:rsid w:val="00B2207B"/>
    <w:rsid w:val="00B22BCD"/>
    <w:rsid w:val="00B22BD8"/>
    <w:rsid w:val="00B22FD7"/>
    <w:rsid w:val="00B23901"/>
    <w:rsid w:val="00B24F3B"/>
    <w:rsid w:val="00B25225"/>
    <w:rsid w:val="00B25E67"/>
    <w:rsid w:val="00B267D6"/>
    <w:rsid w:val="00B278C0"/>
    <w:rsid w:val="00B303DA"/>
    <w:rsid w:val="00B30C55"/>
    <w:rsid w:val="00B3115A"/>
    <w:rsid w:val="00B31F17"/>
    <w:rsid w:val="00B32A5F"/>
    <w:rsid w:val="00B32B19"/>
    <w:rsid w:val="00B32D3F"/>
    <w:rsid w:val="00B32F49"/>
    <w:rsid w:val="00B336D6"/>
    <w:rsid w:val="00B343A0"/>
    <w:rsid w:val="00B34698"/>
    <w:rsid w:val="00B34A3A"/>
    <w:rsid w:val="00B35B9E"/>
    <w:rsid w:val="00B35DCD"/>
    <w:rsid w:val="00B3633B"/>
    <w:rsid w:val="00B3648A"/>
    <w:rsid w:val="00B367F8"/>
    <w:rsid w:val="00B36AF6"/>
    <w:rsid w:val="00B36B7A"/>
    <w:rsid w:val="00B374EE"/>
    <w:rsid w:val="00B37A31"/>
    <w:rsid w:val="00B40593"/>
    <w:rsid w:val="00B40907"/>
    <w:rsid w:val="00B40F6A"/>
    <w:rsid w:val="00B41032"/>
    <w:rsid w:val="00B42252"/>
    <w:rsid w:val="00B42522"/>
    <w:rsid w:val="00B42FF6"/>
    <w:rsid w:val="00B433B0"/>
    <w:rsid w:val="00B43518"/>
    <w:rsid w:val="00B437AE"/>
    <w:rsid w:val="00B43A58"/>
    <w:rsid w:val="00B43B49"/>
    <w:rsid w:val="00B44093"/>
    <w:rsid w:val="00B4448B"/>
    <w:rsid w:val="00B44579"/>
    <w:rsid w:val="00B44C72"/>
    <w:rsid w:val="00B44FC8"/>
    <w:rsid w:val="00B45497"/>
    <w:rsid w:val="00B456F4"/>
    <w:rsid w:val="00B4594A"/>
    <w:rsid w:val="00B4676C"/>
    <w:rsid w:val="00B4784A"/>
    <w:rsid w:val="00B50A3A"/>
    <w:rsid w:val="00B50CA3"/>
    <w:rsid w:val="00B52637"/>
    <w:rsid w:val="00B52954"/>
    <w:rsid w:val="00B52C3B"/>
    <w:rsid w:val="00B53ACD"/>
    <w:rsid w:val="00B53FD9"/>
    <w:rsid w:val="00B54555"/>
    <w:rsid w:val="00B55142"/>
    <w:rsid w:val="00B5613F"/>
    <w:rsid w:val="00B56A5B"/>
    <w:rsid w:val="00B56AE3"/>
    <w:rsid w:val="00B56BCE"/>
    <w:rsid w:val="00B56C01"/>
    <w:rsid w:val="00B57740"/>
    <w:rsid w:val="00B57FBF"/>
    <w:rsid w:val="00B60C74"/>
    <w:rsid w:val="00B6107A"/>
    <w:rsid w:val="00B612CF"/>
    <w:rsid w:val="00B6164C"/>
    <w:rsid w:val="00B6195E"/>
    <w:rsid w:val="00B61AB6"/>
    <w:rsid w:val="00B61BB9"/>
    <w:rsid w:val="00B621BC"/>
    <w:rsid w:val="00B6238C"/>
    <w:rsid w:val="00B630B5"/>
    <w:rsid w:val="00B63866"/>
    <w:rsid w:val="00B65235"/>
    <w:rsid w:val="00B65C81"/>
    <w:rsid w:val="00B664C9"/>
    <w:rsid w:val="00B66B04"/>
    <w:rsid w:val="00B66D27"/>
    <w:rsid w:val="00B66F4C"/>
    <w:rsid w:val="00B67053"/>
    <w:rsid w:val="00B67A57"/>
    <w:rsid w:val="00B70821"/>
    <w:rsid w:val="00B70DF3"/>
    <w:rsid w:val="00B710B1"/>
    <w:rsid w:val="00B714DC"/>
    <w:rsid w:val="00B71501"/>
    <w:rsid w:val="00B7175C"/>
    <w:rsid w:val="00B72E6D"/>
    <w:rsid w:val="00B739B3"/>
    <w:rsid w:val="00B74ED7"/>
    <w:rsid w:val="00B74FEB"/>
    <w:rsid w:val="00B7550E"/>
    <w:rsid w:val="00B76249"/>
    <w:rsid w:val="00B76738"/>
    <w:rsid w:val="00B7691C"/>
    <w:rsid w:val="00B77016"/>
    <w:rsid w:val="00B77411"/>
    <w:rsid w:val="00B77656"/>
    <w:rsid w:val="00B77CB5"/>
    <w:rsid w:val="00B77CFB"/>
    <w:rsid w:val="00B80A9F"/>
    <w:rsid w:val="00B80AF8"/>
    <w:rsid w:val="00B81510"/>
    <w:rsid w:val="00B81AD4"/>
    <w:rsid w:val="00B81AF5"/>
    <w:rsid w:val="00B81BAD"/>
    <w:rsid w:val="00B81E16"/>
    <w:rsid w:val="00B82013"/>
    <w:rsid w:val="00B834B1"/>
    <w:rsid w:val="00B838F1"/>
    <w:rsid w:val="00B8394F"/>
    <w:rsid w:val="00B83ADB"/>
    <w:rsid w:val="00B848DF"/>
    <w:rsid w:val="00B84F28"/>
    <w:rsid w:val="00B85BBA"/>
    <w:rsid w:val="00B86FF5"/>
    <w:rsid w:val="00B87276"/>
    <w:rsid w:val="00B877FC"/>
    <w:rsid w:val="00B87A08"/>
    <w:rsid w:val="00B9029E"/>
    <w:rsid w:val="00B906BE"/>
    <w:rsid w:val="00B91160"/>
    <w:rsid w:val="00B912E0"/>
    <w:rsid w:val="00B9199E"/>
    <w:rsid w:val="00B91C50"/>
    <w:rsid w:val="00B92245"/>
    <w:rsid w:val="00B92431"/>
    <w:rsid w:val="00B93CFB"/>
    <w:rsid w:val="00B941AA"/>
    <w:rsid w:val="00B94C62"/>
    <w:rsid w:val="00B94CC8"/>
    <w:rsid w:val="00B94D62"/>
    <w:rsid w:val="00B94F96"/>
    <w:rsid w:val="00B95182"/>
    <w:rsid w:val="00B955C1"/>
    <w:rsid w:val="00B959F9"/>
    <w:rsid w:val="00B959FE"/>
    <w:rsid w:val="00B95BC2"/>
    <w:rsid w:val="00B95DBF"/>
    <w:rsid w:val="00B96B5E"/>
    <w:rsid w:val="00B97CFB"/>
    <w:rsid w:val="00B97E99"/>
    <w:rsid w:val="00BA0D23"/>
    <w:rsid w:val="00BA0F79"/>
    <w:rsid w:val="00BA1370"/>
    <w:rsid w:val="00BA16CD"/>
    <w:rsid w:val="00BA19D9"/>
    <w:rsid w:val="00BA1B54"/>
    <w:rsid w:val="00BA1DF4"/>
    <w:rsid w:val="00BA2125"/>
    <w:rsid w:val="00BA2209"/>
    <w:rsid w:val="00BA24A7"/>
    <w:rsid w:val="00BA24B3"/>
    <w:rsid w:val="00BA2C17"/>
    <w:rsid w:val="00BA2C38"/>
    <w:rsid w:val="00BA3429"/>
    <w:rsid w:val="00BA3514"/>
    <w:rsid w:val="00BA3B9E"/>
    <w:rsid w:val="00BA407D"/>
    <w:rsid w:val="00BA40D2"/>
    <w:rsid w:val="00BA441A"/>
    <w:rsid w:val="00BA486D"/>
    <w:rsid w:val="00BA48ED"/>
    <w:rsid w:val="00BA51C8"/>
    <w:rsid w:val="00BA55AE"/>
    <w:rsid w:val="00BA5641"/>
    <w:rsid w:val="00BA68BA"/>
    <w:rsid w:val="00BA6BCA"/>
    <w:rsid w:val="00BA700C"/>
    <w:rsid w:val="00BA757B"/>
    <w:rsid w:val="00BA75CB"/>
    <w:rsid w:val="00BA79AE"/>
    <w:rsid w:val="00BA7A8E"/>
    <w:rsid w:val="00BA7C83"/>
    <w:rsid w:val="00BB0242"/>
    <w:rsid w:val="00BB0268"/>
    <w:rsid w:val="00BB033F"/>
    <w:rsid w:val="00BB0BB9"/>
    <w:rsid w:val="00BB0E90"/>
    <w:rsid w:val="00BB11C7"/>
    <w:rsid w:val="00BB1292"/>
    <w:rsid w:val="00BB1A61"/>
    <w:rsid w:val="00BB1A95"/>
    <w:rsid w:val="00BB21E3"/>
    <w:rsid w:val="00BB2870"/>
    <w:rsid w:val="00BB2FE3"/>
    <w:rsid w:val="00BB303D"/>
    <w:rsid w:val="00BB462E"/>
    <w:rsid w:val="00BB4786"/>
    <w:rsid w:val="00BB5615"/>
    <w:rsid w:val="00BB58E3"/>
    <w:rsid w:val="00BB6279"/>
    <w:rsid w:val="00BB754D"/>
    <w:rsid w:val="00BC0B8D"/>
    <w:rsid w:val="00BC2F23"/>
    <w:rsid w:val="00BC319C"/>
    <w:rsid w:val="00BC37A6"/>
    <w:rsid w:val="00BC3C5F"/>
    <w:rsid w:val="00BC42A5"/>
    <w:rsid w:val="00BC4490"/>
    <w:rsid w:val="00BC4609"/>
    <w:rsid w:val="00BC4763"/>
    <w:rsid w:val="00BC4EB1"/>
    <w:rsid w:val="00BC56BE"/>
    <w:rsid w:val="00BC5CA1"/>
    <w:rsid w:val="00BC61EB"/>
    <w:rsid w:val="00BC6253"/>
    <w:rsid w:val="00BC6AF3"/>
    <w:rsid w:val="00BC6DDF"/>
    <w:rsid w:val="00BC7109"/>
    <w:rsid w:val="00BC73A4"/>
    <w:rsid w:val="00BD0400"/>
    <w:rsid w:val="00BD07E6"/>
    <w:rsid w:val="00BD0F64"/>
    <w:rsid w:val="00BD162A"/>
    <w:rsid w:val="00BD1AFF"/>
    <w:rsid w:val="00BD2E11"/>
    <w:rsid w:val="00BD2F78"/>
    <w:rsid w:val="00BD2F79"/>
    <w:rsid w:val="00BD34E2"/>
    <w:rsid w:val="00BD4313"/>
    <w:rsid w:val="00BD48CE"/>
    <w:rsid w:val="00BD5597"/>
    <w:rsid w:val="00BD62A4"/>
    <w:rsid w:val="00BD6516"/>
    <w:rsid w:val="00BD75A6"/>
    <w:rsid w:val="00BD7DC9"/>
    <w:rsid w:val="00BE0A81"/>
    <w:rsid w:val="00BE13EA"/>
    <w:rsid w:val="00BE1832"/>
    <w:rsid w:val="00BE2C6E"/>
    <w:rsid w:val="00BE3B9C"/>
    <w:rsid w:val="00BE3D00"/>
    <w:rsid w:val="00BE3D7C"/>
    <w:rsid w:val="00BE4384"/>
    <w:rsid w:val="00BE440D"/>
    <w:rsid w:val="00BE48DE"/>
    <w:rsid w:val="00BE506C"/>
    <w:rsid w:val="00BE593B"/>
    <w:rsid w:val="00BE5D0A"/>
    <w:rsid w:val="00BE5D89"/>
    <w:rsid w:val="00BE6C9D"/>
    <w:rsid w:val="00BE7318"/>
    <w:rsid w:val="00BE77CC"/>
    <w:rsid w:val="00BE7861"/>
    <w:rsid w:val="00BE7B2D"/>
    <w:rsid w:val="00BF0169"/>
    <w:rsid w:val="00BF0E10"/>
    <w:rsid w:val="00BF0E7A"/>
    <w:rsid w:val="00BF1404"/>
    <w:rsid w:val="00BF1A3D"/>
    <w:rsid w:val="00BF1FE5"/>
    <w:rsid w:val="00BF2171"/>
    <w:rsid w:val="00BF2740"/>
    <w:rsid w:val="00BF2A9F"/>
    <w:rsid w:val="00BF2F1A"/>
    <w:rsid w:val="00BF3049"/>
    <w:rsid w:val="00BF38AF"/>
    <w:rsid w:val="00BF4403"/>
    <w:rsid w:val="00BF4470"/>
    <w:rsid w:val="00BF57B2"/>
    <w:rsid w:val="00BF5892"/>
    <w:rsid w:val="00BF5A99"/>
    <w:rsid w:val="00BF61F8"/>
    <w:rsid w:val="00BF62E4"/>
    <w:rsid w:val="00BF7719"/>
    <w:rsid w:val="00BF78F8"/>
    <w:rsid w:val="00BF7A9B"/>
    <w:rsid w:val="00BF7DEE"/>
    <w:rsid w:val="00BF7E1D"/>
    <w:rsid w:val="00BF7FC9"/>
    <w:rsid w:val="00C007B7"/>
    <w:rsid w:val="00C00CD3"/>
    <w:rsid w:val="00C00D4F"/>
    <w:rsid w:val="00C015AC"/>
    <w:rsid w:val="00C02AEA"/>
    <w:rsid w:val="00C02AF9"/>
    <w:rsid w:val="00C03504"/>
    <w:rsid w:val="00C03927"/>
    <w:rsid w:val="00C03BEA"/>
    <w:rsid w:val="00C03FC9"/>
    <w:rsid w:val="00C046CB"/>
    <w:rsid w:val="00C04B5F"/>
    <w:rsid w:val="00C0542E"/>
    <w:rsid w:val="00C05486"/>
    <w:rsid w:val="00C05715"/>
    <w:rsid w:val="00C059D7"/>
    <w:rsid w:val="00C05F97"/>
    <w:rsid w:val="00C05FC2"/>
    <w:rsid w:val="00C0666C"/>
    <w:rsid w:val="00C069F4"/>
    <w:rsid w:val="00C07A2D"/>
    <w:rsid w:val="00C11505"/>
    <w:rsid w:val="00C12877"/>
    <w:rsid w:val="00C12E38"/>
    <w:rsid w:val="00C134BB"/>
    <w:rsid w:val="00C1350D"/>
    <w:rsid w:val="00C13BAD"/>
    <w:rsid w:val="00C13FBD"/>
    <w:rsid w:val="00C1437B"/>
    <w:rsid w:val="00C146F0"/>
    <w:rsid w:val="00C150A4"/>
    <w:rsid w:val="00C1519B"/>
    <w:rsid w:val="00C156DD"/>
    <w:rsid w:val="00C15CFC"/>
    <w:rsid w:val="00C15D82"/>
    <w:rsid w:val="00C16456"/>
    <w:rsid w:val="00C16E52"/>
    <w:rsid w:val="00C176A6"/>
    <w:rsid w:val="00C17A3A"/>
    <w:rsid w:val="00C20F3C"/>
    <w:rsid w:val="00C21740"/>
    <w:rsid w:val="00C218C1"/>
    <w:rsid w:val="00C22540"/>
    <w:rsid w:val="00C22A17"/>
    <w:rsid w:val="00C22FF1"/>
    <w:rsid w:val="00C2305A"/>
    <w:rsid w:val="00C23180"/>
    <w:rsid w:val="00C2384B"/>
    <w:rsid w:val="00C23DA1"/>
    <w:rsid w:val="00C242E6"/>
    <w:rsid w:val="00C24310"/>
    <w:rsid w:val="00C24803"/>
    <w:rsid w:val="00C24972"/>
    <w:rsid w:val="00C24EC2"/>
    <w:rsid w:val="00C24ECC"/>
    <w:rsid w:val="00C251B9"/>
    <w:rsid w:val="00C25546"/>
    <w:rsid w:val="00C25A87"/>
    <w:rsid w:val="00C25EF6"/>
    <w:rsid w:val="00C26413"/>
    <w:rsid w:val="00C26A14"/>
    <w:rsid w:val="00C26AD6"/>
    <w:rsid w:val="00C272E1"/>
    <w:rsid w:val="00C27CC5"/>
    <w:rsid w:val="00C30973"/>
    <w:rsid w:val="00C30993"/>
    <w:rsid w:val="00C309BE"/>
    <w:rsid w:val="00C30A56"/>
    <w:rsid w:val="00C30A5E"/>
    <w:rsid w:val="00C30AF4"/>
    <w:rsid w:val="00C3112F"/>
    <w:rsid w:val="00C312C9"/>
    <w:rsid w:val="00C3152F"/>
    <w:rsid w:val="00C317F5"/>
    <w:rsid w:val="00C3255D"/>
    <w:rsid w:val="00C33DD4"/>
    <w:rsid w:val="00C3470D"/>
    <w:rsid w:val="00C34740"/>
    <w:rsid w:val="00C34EBD"/>
    <w:rsid w:val="00C35979"/>
    <w:rsid w:val="00C359C3"/>
    <w:rsid w:val="00C35C94"/>
    <w:rsid w:val="00C3610C"/>
    <w:rsid w:val="00C36D8C"/>
    <w:rsid w:val="00C373D0"/>
    <w:rsid w:val="00C37793"/>
    <w:rsid w:val="00C410F0"/>
    <w:rsid w:val="00C410F8"/>
    <w:rsid w:val="00C41217"/>
    <w:rsid w:val="00C41F1C"/>
    <w:rsid w:val="00C42516"/>
    <w:rsid w:val="00C42CE0"/>
    <w:rsid w:val="00C43CE7"/>
    <w:rsid w:val="00C453B8"/>
    <w:rsid w:val="00C45525"/>
    <w:rsid w:val="00C458F2"/>
    <w:rsid w:val="00C45C93"/>
    <w:rsid w:val="00C45F5D"/>
    <w:rsid w:val="00C46831"/>
    <w:rsid w:val="00C477BA"/>
    <w:rsid w:val="00C47879"/>
    <w:rsid w:val="00C47A6C"/>
    <w:rsid w:val="00C500FD"/>
    <w:rsid w:val="00C51118"/>
    <w:rsid w:val="00C513A1"/>
    <w:rsid w:val="00C51672"/>
    <w:rsid w:val="00C517DB"/>
    <w:rsid w:val="00C524B2"/>
    <w:rsid w:val="00C53455"/>
    <w:rsid w:val="00C53668"/>
    <w:rsid w:val="00C53871"/>
    <w:rsid w:val="00C53B2E"/>
    <w:rsid w:val="00C53E86"/>
    <w:rsid w:val="00C54690"/>
    <w:rsid w:val="00C549BF"/>
    <w:rsid w:val="00C55BB2"/>
    <w:rsid w:val="00C55CCE"/>
    <w:rsid w:val="00C55E78"/>
    <w:rsid w:val="00C569FD"/>
    <w:rsid w:val="00C56BCC"/>
    <w:rsid w:val="00C609B0"/>
    <w:rsid w:val="00C6138B"/>
    <w:rsid w:val="00C61BB2"/>
    <w:rsid w:val="00C61F2C"/>
    <w:rsid w:val="00C62CBE"/>
    <w:rsid w:val="00C63139"/>
    <w:rsid w:val="00C63226"/>
    <w:rsid w:val="00C64265"/>
    <w:rsid w:val="00C6471E"/>
    <w:rsid w:val="00C64E3E"/>
    <w:rsid w:val="00C64E63"/>
    <w:rsid w:val="00C65619"/>
    <w:rsid w:val="00C65B01"/>
    <w:rsid w:val="00C660DE"/>
    <w:rsid w:val="00C662E6"/>
    <w:rsid w:val="00C66418"/>
    <w:rsid w:val="00C66F1C"/>
    <w:rsid w:val="00C66F76"/>
    <w:rsid w:val="00C67066"/>
    <w:rsid w:val="00C67898"/>
    <w:rsid w:val="00C6795C"/>
    <w:rsid w:val="00C67E46"/>
    <w:rsid w:val="00C70DDD"/>
    <w:rsid w:val="00C70E1D"/>
    <w:rsid w:val="00C71606"/>
    <w:rsid w:val="00C71A27"/>
    <w:rsid w:val="00C7238B"/>
    <w:rsid w:val="00C724C6"/>
    <w:rsid w:val="00C72557"/>
    <w:rsid w:val="00C72629"/>
    <w:rsid w:val="00C73389"/>
    <w:rsid w:val="00C7389A"/>
    <w:rsid w:val="00C73AC5"/>
    <w:rsid w:val="00C74C41"/>
    <w:rsid w:val="00C74F77"/>
    <w:rsid w:val="00C757BE"/>
    <w:rsid w:val="00C7599F"/>
    <w:rsid w:val="00C7611C"/>
    <w:rsid w:val="00C762D3"/>
    <w:rsid w:val="00C76AED"/>
    <w:rsid w:val="00C76F8E"/>
    <w:rsid w:val="00C77074"/>
    <w:rsid w:val="00C771C9"/>
    <w:rsid w:val="00C77646"/>
    <w:rsid w:val="00C77702"/>
    <w:rsid w:val="00C802B0"/>
    <w:rsid w:val="00C80490"/>
    <w:rsid w:val="00C8056B"/>
    <w:rsid w:val="00C80574"/>
    <w:rsid w:val="00C8057F"/>
    <w:rsid w:val="00C81705"/>
    <w:rsid w:val="00C828AD"/>
    <w:rsid w:val="00C82A4D"/>
    <w:rsid w:val="00C82EB5"/>
    <w:rsid w:val="00C83288"/>
    <w:rsid w:val="00C83FEB"/>
    <w:rsid w:val="00C840F5"/>
    <w:rsid w:val="00C841BD"/>
    <w:rsid w:val="00C84357"/>
    <w:rsid w:val="00C84887"/>
    <w:rsid w:val="00C84AF6"/>
    <w:rsid w:val="00C8508E"/>
    <w:rsid w:val="00C8592F"/>
    <w:rsid w:val="00C85BB2"/>
    <w:rsid w:val="00C86BFA"/>
    <w:rsid w:val="00C8713A"/>
    <w:rsid w:val="00C87668"/>
    <w:rsid w:val="00C876F3"/>
    <w:rsid w:val="00C87C07"/>
    <w:rsid w:val="00C9054A"/>
    <w:rsid w:val="00C90788"/>
    <w:rsid w:val="00C90DEF"/>
    <w:rsid w:val="00C91532"/>
    <w:rsid w:val="00C922B1"/>
    <w:rsid w:val="00C92BF7"/>
    <w:rsid w:val="00C932A1"/>
    <w:rsid w:val="00C9330A"/>
    <w:rsid w:val="00C941B3"/>
    <w:rsid w:val="00C94BAB"/>
    <w:rsid w:val="00C95460"/>
    <w:rsid w:val="00C95904"/>
    <w:rsid w:val="00C95ADC"/>
    <w:rsid w:val="00C96F39"/>
    <w:rsid w:val="00C96FC7"/>
    <w:rsid w:val="00C97A7E"/>
    <w:rsid w:val="00C97B92"/>
    <w:rsid w:val="00C97C18"/>
    <w:rsid w:val="00C97D5A"/>
    <w:rsid w:val="00C97DF5"/>
    <w:rsid w:val="00CA01F9"/>
    <w:rsid w:val="00CA0401"/>
    <w:rsid w:val="00CA1622"/>
    <w:rsid w:val="00CA186B"/>
    <w:rsid w:val="00CA1B5F"/>
    <w:rsid w:val="00CA1EEA"/>
    <w:rsid w:val="00CA27A8"/>
    <w:rsid w:val="00CA2B7C"/>
    <w:rsid w:val="00CA3103"/>
    <w:rsid w:val="00CA31C2"/>
    <w:rsid w:val="00CA34CC"/>
    <w:rsid w:val="00CA374C"/>
    <w:rsid w:val="00CA3B3F"/>
    <w:rsid w:val="00CA3D01"/>
    <w:rsid w:val="00CA490F"/>
    <w:rsid w:val="00CA5017"/>
    <w:rsid w:val="00CA53DA"/>
    <w:rsid w:val="00CA5430"/>
    <w:rsid w:val="00CA59E6"/>
    <w:rsid w:val="00CA5DC2"/>
    <w:rsid w:val="00CA5E90"/>
    <w:rsid w:val="00CA5FF3"/>
    <w:rsid w:val="00CA675E"/>
    <w:rsid w:val="00CA7167"/>
    <w:rsid w:val="00CA74BE"/>
    <w:rsid w:val="00CA7620"/>
    <w:rsid w:val="00CA7B60"/>
    <w:rsid w:val="00CA7BEA"/>
    <w:rsid w:val="00CB034C"/>
    <w:rsid w:val="00CB051B"/>
    <w:rsid w:val="00CB066B"/>
    <w:rsid w:val="00CB0693"/>
    <w:rsid w:val="00CB16DB"/>
    <w:rsid w:val="00CB26A4"/>
    <w:rsid w:val="00CB2709"/>
    <w:rsid w:val="00CB2E17"/>
    <w:rsid w:val="00CB2F56"/>
    <w:rsid w:val="00CB305F"/>
    <w:rsid w:val="00CB3176"/>
    <w:rsid w:val="00CB32D4"/>
    <w:rsid w:val="00CB33ED"/>
    <w:rsid w:val="00CB362E"/>
    <w:rsid w:val="00CB3735"/>
    <w:rsid w:val="00CB3A20"/>
    <w:rsid w:val="00CB40CD"/>
    <w:rsid w:val="00CB4266"/>
    <w:rsid w:val="00CB42FF"/>
    <w:rsid w:val="00CB48E4"/>
    <w:rsid w:val="00CB60FE"/>
    <w:rsid w:val="00CB6175"/>
    <w:rsid w:val="00CB6184"/>
    <w:rsid w:val="00CB6409"/>
    <w:rsid w:val="00CB6A47"/>
    <w:rsid w:val="00CB7D7F"/>
    <w:rsid w:val="00CC07AC"/>
    <w:rsid w:val="00CC0AE3"/>
    <w:rsid w:val="00CC0F4E"/>
    <w:rsid w:val="00CC0F6C"/>
    <w:rsid w:val="00CC1990"/>
    <w:rsid w:val="00CC1F2D"/>
    <w:rsid w:val="00CC2210"/>
    <w:rsid w:val="00CC2877"/>
    <w:rsid w:val="00CC34B4"/>
    <w:rsid w:val="00CC3858"/>
    <w:rsid w:val="00CC3C85"/>
    <w:rsid w:val="00CC3DC1"/>
    <w:rsid w:val="00CC3F0F"/>
    <w:rsid w:val="00CC4001"/>
    <w:rsid w:val="00CC4697"/>
    <w:rsid w:val="00CC4B27"/>
    <w:rsid w:val="00CC5093"/>
    <w:rsid w:val="00CC5245"/>
    <w:rsid w:val="00CC5461"/>
    <w:rsid w:val="00CC5AAA"/>
    <w:rsid w:val="00CC638D"/>
    <w:rsid w:val="00CC6400"/>
    <w:rsid w:val="00CC793F"/>
    <w:rsid w:val="00CC7A4A"/>
    <w:rsid w:val="00CD006F"/>
    <w:rsid w:val="00CD0114"/>
    <w:rsid w:val="00CD07FA"/>
    <w:rsid w:val="00CD0C04"/>
    <w:rsid w:val="00CD0D6F"/>
    <w:rsid w:val="00CD13C6"/>
    <w:rsid w:val="00CD2333"/>
    <w:rsid w:val="00CD2ADA"/>
    <w:rsid w:val="00CD2B12"/>
    <w:rsid w:val="00CD2F4A"/>
    <w:rsid w:val="00CD3853"/>
    <w:rsid w:val="00CD3A17"/>
    <w:rsid w:val="00CD41A9"/>
    <w:rsid w:val="00CD4E2B"/>
    <w:rsid w:val="00CD52B6"/>
    <w:rsid w:val="00CD60F7"/>
    <w:rsid w:val="00CD625C"/>
    <w:rsid w:val="00CD68FE"/>
    <w:rsid w:val="00CD6AB4"/>
    <w:rsid w:val="00CD6D77"/>
    <w:rsid w:val="00CD6FB6"/>
    <w:rsid w:val="00CD74B8"/>
    <w:rsid w:val="00CD7725"/>
    <w:rsid w:val="00CE02A0"/>
    <w:rsid w:val="00CE1139"/>
    <w:rsid w:val="00CE11D0"/>
    <w:rsid w:val="00CE13F1"/>
    <w:rsid w:val="00CE1A8C"/>
    <w:rsid w:val="00CE1EBD"/>
    <w:rsid w:val="00CE2966"/>
    <w:rsid w:val="00CE29AE"/>
    <w:rsid w:val="00CE2D61"/>
    <w:rsid w:val="00CE30BA"/>
    <w:rsid w:val="00CE3764"/>
    <w:rsid w:val="00CE3869"/>
    <w:rsid w:val="00CE3B08"/>
    <w:rsid w:val="00CE3D2F"/>
    <w:rsid w:val="00CE3F84"/>
    <w:rsid w:val="00CE431C"/>
    <w:rsid w:val="00CE44C8"/>
    <w:rsid w:val="00CE4515"/>
    <w:rsid w:val="00CE479A"/>
    <w:rsid w:val="00CE52C8"/>
    <w:rsid w:val="00CE6136"/>
    <w:rsid w:val="00CE64D3"/>
    <w:rsid w:val="00CE65F3"/>
    <w:rsid w:val="00CE7126"/>
    <w:rsid w:val="00CE71A4"/>
    <w:rsid w:val="00CE7C76"/>
    <w:rsid w:val="00CF0651"/>
    <w:rsid w:val="00CF0DCF"/>
    <w:rsid w:val="00CF1097"/>
    <w:rsid w:val="00CF1568"/>
    <w:rsid w:val="00CF1E42"/>
    <w:rsid w:val="00CF28DD"/>
    <w:rsid w:val="00CF3419"/>
    <w:rsid w:val="00CF3F3B"/>
    <w:rsid w:val="00CF42E0"/>
    <w:rsid w:val="00CF5737"/>
    <w:rsid w:val="00CF6121"/>
    <w:rsid w:val="00CF6718"/>
    <w:rsid w:val="00CF693B"/>
    <w:rsid w:val="00CF6C61"/>
    <w:rsid w:val="00CF6E35"/>
    <w:rsid w:val="00CF7014"/>
    <w:rsid w:val="00CF714C"/>
    <w:rsid w:val="00CF76A4"/>
    <w:rsid w:val="00CF7AD1"/>
    <w:rsid w:val="00CF7EAD"/>
    <w:rsid w:val="00D00CF7"/>
    <w:rsid w:val="00D00EB4"/>
    <w:rsid w:val="00D01056"/>
    <w:rsid w:val="00D01897"/>
    <w:rsid w:val="00D01F15"/>
    <w:rsid w:val="00D023D5"/>
    <w:rsid w:val="00D02747"/>
    <w:rsid w:val="00D028C3"/>
    <w:rsid w:val="00D02A13"/>
    <w:rsid w:val="00D03515"/>
    <w:rsid w:val="00D03C68"/>
    <w:rsid w:val="00D045A7"/>
    <w:rsid w:val="00D04788"/>
    <w:rsid w:val="00D04938"/>
    <w:rsid w:val="00D05418"/>
    <w:rsid w:val="00D05614"/>
    <w:rsid w:val="00D059E3"/>
    <w:rsid w:val="00D06154"/>
    <w:rsid w:val="00D07D7F"/>
    <w:rsid w:val="00D10B6B"/>
    <w:rsid w:val="00D1111F"/>
    <w:rsid w:val="00D11422"/>
    <w:rsid w:val="00D119AF"/>
    <w:rsid w:val="00D11EC4"/>
    <w:rsid w:val="00D11F67"/>
    <w:rsid w:val="00D123C9"/>
    <w:rsid w:val="00D123DF"/>
    <w:rsid w:val="00D1253B"/>
    <w:rsid w:val="00D13DCE"/>
    <w:rsid w:val="00D13EA0"/>
    <w:rsid w:val="00D142AE"/>
    <w:rsid w:val="00D145D1"/>
    <w:rsid w:val="00D14807"/>
    <w:rsid w:val="00D14A08"/>
    <w:rsid w:val="00D14E16"/>
    <w:rsid w:val="00D150FA"/>
    <w:rsid w:val="00D15A9C"/>
    <w:rsid w:val="00D15FFE"/>
    <w:rsid w:val="00D16FC6"/>
    <w:rsid w:val="00D171C5"/>
    <w:rsid w:val="00D171C6"/>
    <w:rsid w:val="00D17E4C"/>
    <w:rsid w:val="00D20CB7"/>
    <w:rsid w:val="00D21D99"/>
    <w:rsid w:val="00D2367E"/>
    <w:rsid w:val="00D23826"/>
    <w:rsid w:val="00D23B0E"/>
    <w:rsid w:val="00D23BD0"/>
    <w:rsid w:val="00D243BC"/>
    <w:rsid w:val="00D247C5"/>
    <w:rsid w:val="00D248BF"/>
    <w:rsid w:val="00D248FD"/>
    <w:rsid w:val="00D250DE"/>
    <w:rsid w:val="00D25D25"/>
    <w:rsid w:val="00D260B7"/>
    <w:rsid w:val="00D26532"/>
    <w:rsid w:val="00D2771B"/>
    <w:rsid w:val="00D27964"/>
    <w:rsid w:val="00D27DC7"/>
    <w:rsid w:val="00D312F5"/>
    <w:rsid w:val="00D31568"/>
    <w:rsid w:val="00D31CD0"/>
    <w:rsid w:val="00D31D50"/>
    <w:rsid w:val="00D32410"/>
    <w:rsid w:val="00D33F4F"/>
    <w:rsid w:val="00D34683"/>
    <w:rsid w:val="00D34882"/>
    <w:rsid w:val="00D3524A"/>
    <w:rsid w:val="00D3595F"/>
    <w:rsid w:val="00D359DB"/>
    <w:rsid w:val="00D35A60"/>
    <w:rsid w:val="00D35F1C"/>
    <w:rsid w:val="00D376FE"/>
    <w:rsid w:val="00D40413"/>
    <w:rsid w:val="00D40642"/>
    <w:rsid w:val="00D40D80"/>
    <w:rsid w:val="00D40E34"/>
    <w:rsid w:val="00D40FA1"/>
    <w:rsid w:val="00D41102"/>
    <w:rsid w:val="00D4155E"/>
    <w:rsid w:val="00D4166B"/>
    <w:rsid w:val="00D41827"/>
    <w:rsid w:val="00D4191A"/>
    <w:rsid w:val="00D41F5B"/>
    <w:rsid w:val="00D42892"/>
    <w:rsid w:val="00D42B00"/>
    <w:rsid w:val="00D42B89"/>
    <w:rsid w:val="00D43250"/>
    <w:rsid w:val="00D43E0C"/>
    <w:rsid w:val="00D445AE"/>
    <w:rsid w:val="00D44EA7"/>
    <w:rsid w:val="00D45234"/>
    <w:rsid w:val="00D45DE2"/>
    <w:rsid w:val="00D46629"/>
    <w:rsid w:val="00D4684C"/>
    <w:rsid w:val="00D46DC5"/>
    <w:rsid w:val="00D47664"/>
    <w:rsid w:val="00D4770D"/>
    <w:rsid w:val="00D47ACE"/>
    <w:rsid w:val="00D47B69"/>
    <w:rsid w:val="00D47C3D"/>
    <w:rsid w:val="00D47FDC"/>
    <w:rsid w:val="00D504C4"/>
    <w:rsid w:val="00D50C29"/>
    <w:rsid w:val="00D511BE"/>
    <w:rsid w:val="00D5175C"/>
    <w:rsid w:val="00D525E3"/>
    <w:rsid w:val="00D52AB9"/>
    <w:rsid w:val="00D52F1D"/>
    <w:rsid w:val="00D52FBA"/>
    <w:rsid w:val="00D53865"/>
    <w:rsid w:val="00D53A7D"/>
    <w:rsid w:val="00D53D04"/>
    <w:rsid w:val="00D53D0A"/>
    <w:rsid w:val="00D543ED"/>
    <w:rsid w:val="00D543F5"/>
    <w:rsid w:val="00D54829"/>
    <w:rsid w:val="00D549E6"/>
    <w:rsid w:val="00D55FE3"/>
    <w:rsid w:val="00D568DE"/>
    <w:rsid w:val="00D56DC3"/>
    <w:rsid w:val="00D57C03"/>
    <w:rsid w:val="00D6026D"/>
    <w:rsid w:val="00D60C75"/>
    <w:rsid w:val="00D60E8C"/>
    <w:rsid w:val="00D6114A"/>
    <w:rsid w:val="00D612E6"/>
    <w:rsid w:val="00D6140D"/>
    <w:rsid w:val="00D6146E"/>
    <w:rsid w:val="00D61F45"/>
    <w:rsid w:val="00D62337"/>
    <w:rsid w:val="00D62438"/>
    <w:rsid w:val="00D624B2"/>
    <w:rsid w:val="00D626E4"/>
    <w:rsid w:val="00D62E18"/>
    <w:rsid w:val="00D63C4B"/>
    <w:rsid w:val="00D63CF1"/>
    <w:rsid w:val="00D645C5"/>
    <w:rsid w:val="00D64981"/>
    <w:rsid w:val="00D64BDE"/>
    <w:rsid w:val="00D64CE1"/>
    <w:rsid w:val="00D6534B"/>
    <w:rsid w:val="00D654CE"/>
    <w:rsid w:val="00D65FB8"/>
    <w:rsid w:val="00D65FF8"/>
    <w:rsid w:val="00D66AB1"/>
    <w:rsid w:val="00D66BEF"/>
    <w:rsid w:val="00D66C70"/>
    <w:rsid w:val="00D67E0F"/>
    <w:rsid w:val="00D67FDA"/>
    <w:rsid w:val="00D71304"/>
    <w:rsid w:val="00D727F2"/>
    <w:rsid w:val="00D72A6D"/>
    <w:rsid w:val="00D72B70"/>
    <w:rsid w:val="00D72F01"/>
    <w:rsid w:val="00D733C9"/>
    <w:rsid w:val="00D73785"/>
    <w:rsid w:val="00D74155"/>
    <w:rsid w:val="00D744CF"/>
    <w:rsid w:val="00D7458C"/>
    <w:rsid w:val="00D74641"/>
    <w:rsid w:val="00D7488B"/>
    <w:rsid w:val="00D749FF"/>
    <w:rsid w:val="00D74E85"/>
    <w:rsid w:val="00D75B24"/>
    <w:rsid w:val="00D776A1"/>
    <w:rsid w:val="00D77E45"/>
    <w:rsid w:val="00D77E5A"/>
    <w:rsid w:val="00D80560"/>
    <w:rsid w:val="00D80563"/>
    <w:rsid w:val="00D806B7"/>
    <w:rsid w:val="00D81573"/>
    <w:rsid w:val="00D8159C"/>
    <w:rsid w:val="00D8252D"/>
    <w:rsid w:val="00D827AB"/>
    <w:rsid w:val="00D82B2B"/>
    <w:rsid w:val="00D82BAE"/>
    <w:rsid w:val="00D82FFD"/>
    <w:rsid w:val="00D831A4"/>
    <w:rsid w:val="00D83DC1"/>
    <w:rsid w:val="00D8400B"/>
    <w:rsid w:val="00D842AB"/>
    <w:rsid w:val="00D84935"/>
    <w:rsid w:val="00D84C7A"/>
    <w:rsid w:val="00D84E90"/>
    <w:rsid w:val="00D8572F"/>
    <w:rsid w:val="00D85B8F"/>
    <w:rsid w:val="00D863E9"/>
    <w:rsid w:val="00D865E2"/>
    <w:rsid w:val="00D86A79"/>
    <w:rsid w:val="00D87CB5"/>
    <w:rsid w:val="00D90413"/>
    <w:rsid w:val="00D907BC"/>
    <w:rsid w:val="00D90E90"/>
    <w:rsid w:val="00D90F95"/>
    <w:rsid w:val="00D91A10"/>
    <w:rsid w:val="00D92431"/>
    <w:rsid w:val="00D92622"/>
    <w:rsid w:val="00D92636"/>
    <w:rsid w:val="00D93182"/>
    <w:rsid w:val="00D93541"/>
    <w:rsid w:val="00D93764"/>
    <w:rsid w:val="00D9394C"/>
    <w:rsid w:val="00D944AC"/>
    <w:rsid w:val="00D94E52"/>
    <w:rsid w:val="00D95249"/>
    <w:rsid w:val="00D95720"/>
    <w:rsid w:val="00D958D9"/>
    <w:rsid w:val="00D95BE3"/>
    <w:rsid w:val="00D95EBB"/>
    <w:rsid w:val="00D9639E"/>
    <w:rsid w:val="00D9641A"/>
    <w:rsid w:val="00D964A0"/>
    <w:rsid w:val="00D96D74"/>
    <w:rsid w:val="00D97091"/>
    <w:rsid w:val="00DA07D5"/>
    <w:rsid w:val="00DA1162"/>
    <w:rsid w:val="00DA14FD"/>
    <w:rsid w:val="00DA1970"/>
    <w:rsid w:val="00DA1ECD"/>
    <w:rsid w:val="00DA2579"/>
    <w:rsid w:val="00DA2DB3"/>
    <w:rsid w:val="00DA3224"/>
    <w:rsid w:val="00DA330A"/>
    <w:rsid w:val="00DA3DB3"/>
    <w:rsid w:val="00DA417D"/>
    <w:rsid w:val="00DA4A6E"/>
    <w:rsid w:val="00DA4BA8"/>
    <w:rsid w:val="00DA4E36"/>
    <w:rsid w:val="00DA5556"/>
    <w:rsid w:val="00DA5902"/>
    <w:rsid w:val="00DA61FE"/>
    <w:rsid w:val="00DA6675"/>
    <w:rsid w:val="00DA708D"/>
    <w:rsid w:val="00DA757E"/>
    <w:rsid w:val="00DB0B2A"/>
    <w:rsid w:val="00DB12F9"/>
    <w:rsid w:val="00DB1348"/>
    <w:rsid w:val="00DB1EE7"/>
    <w:rsid w:val="00DB236D"/>
    <w:rsid w:val="00DB3630"/>
    <w:rsid w:val="00DB3BCB"/>
    <w:rsid w:val="00DB40C3"/>
    <w:rsid w:val="00DB4113"/>
    <w:rsid w:val="00DB412C"/>
    <w:rsid w:val="00DB4B3B"/>
    <w:rsid w:val="00DB4BD0"/>
    <w:rsid w:val="00DB4DE8"/>
    <w:rsid w:val="00DB4F83"/>
    <w:rsid w:val="00DB600A"/>
    <w:rsid w:val="00DB67C2"/>
    <w:rsid w:val="00DB6C21"/>
    <w:rsid w:val="00DB6DFA"/>
    <w:rsid w:val="00DB6E69"/>
    <w:rsid w:val="00DB6EA6"/>
    <w:rsid w:val="00DB6EA8"/>
    <w:rsid w:val="00DB7B2A"/>
    <w:rsid w:val="00DC02C9"/>
    <w:rsid w:val="00DC0726"/>
    <w:rsid w:val="00DC0BE7"/>
    <w:rsid w:val="00DC1636"/>
    <w:rsid w:val="00DC1BA4"/>
    <w:rsid w:val="00DC1BD9"/>
    <w:rsid w:val="00DC224D"/>
    <w:rsid w:val="00DC2DF2"/>
    <w:rsid w:val="00DC369B"/>
    <w:rsid w:val="00DC38B1"/>
    <w:rsid w:val="00DC3BB4"/>
    <w:rsid w:val="00DC4568"/>
    <w:rsid w:val="00DC5C0C"/>
    <w:rsid w:val="00DC5F9A"/>
    <w:rsid w:val="00DC6364"/>
    <w:rsid w:val="00DC7178"/>
    <w:rsid w:val="00DC79B1"/>
    <w:rsid w:val="00DD04D2"/>
    <w:rsid w:val="00DD0524"/>
    <w:rsid w:val="00DD0CB6"/>
    <w:rsid w:val="00DD0E0D"/>
    <w:rsid w:val="00DD0E25"/>
    <w:rsid w:val="00DD2190"/>
    <w:rsid w:val="00DD2428"/>
    <w:rsid w:val="00DD24C0"/>
    <w:rsid w:val="00DD24F7"/>
    <w:rsid w:val="00DD25E4"/>
    <w:rsid w:val="00DD2BA1"/>
    <w:rsid w:val="00DD2BBD"/>
    <w:rsid w:val="00DD2FC0"/>
    <w:rsid w:val="00DD3714"/>
    <w:rsid w:val="00DD3C30"/>
    <w:rsid w:val="00DD3D83"/>
    <w:rsid w:val="00DD3F82"/>
    <w:rsid w:val="00DD441D"/>
    <w:rsid w:val="00DD445E"/>
    <w:rsid w:val="00DD474A"/>
    <w:rsid w:val="00DD55B3"/>
    <w:rsid w:val="00DD5883"/>
    <w:rsid w:val="00DD5A96"/>
    <w:rsid w:val="00DD60F1"/>
    <w:rsid w:val="00DD6299"/>
    <w:rsid w:val="00DD6434"/>
    <w:rsid w:val="00DD6FEF"/>
    <w:rsid w:val="00DD7799"/>
    <w:rsid w:val="00DE05BC"/>
    <w:rsid w:val="00DE09F9"/>
    <w:rsid w:val="00DE0E03"/>
    <w:rsid w:val="00DE1778"/>
    <w:rsid w:val="00DE1C8C"/>
    <w:rsid w:val="00DE2C41"/>
    <w:rsid w:val="00DE377B"/>
    <w:rsid w:val="00DE4890"/>
    <w:rsid w:val="00DE4A9E"/>
    <w:rsid w:val="00DE4DFB"/>
    <w:rsid w:val="00DE53F0"/>
    <w:rsid w:val="00DE5827"/>
    <w:rsid w:val="00DE58B6"/>
    <w:rsid w:val="00DE5FF4"/>
    <w:rsid w:val="00DE644C"/>
    <w:rsid w:val="00DE6F07"/>
    <w:rsid w:val="00DE70B2"/>
    <w:rsid w:val="00DE7606"/>
    <w:rsid w:val="00DE7CE7"/>
    <w:rsid w:val="00DF0128"/>
    <w:rsid w:val="00DF0172"/>
    <w:rsid w:val="00DF0F19"/>
    <w:rsid w:val="00DF17C9"/>
    <w:rsid w:val="00DF1803"/>
    <w:rsid w:val="00DF195C"/>
    <w:rsid w:val="00DF1F27"/>
    <w:rsid w:val="00DF21AC"/>
    <w:rsid w:val="00DF2DA7"/>
    <w:rsid w:val="00DF3178"/>
    <w:rsid w:val="00DF337D"/>
    <w:rsid w:val="00DF388C"/>
    <w:rsid w:val="00DF3947"/>
    <w:rsid w:val="00DF4011"/>
    <w:rsid w:val="00DF577F"/>
    <w:rsid w:val="00DF5E44"/>
    <w:rsid w:val="00DF5E5C"/>
    <w:rsid w:val="00DF63F4"/>
    <w:rsid w:val="00DF6BDE"/>
    <w:rsid w:val="00DF7506"/>
    <w:rsid w:val="00DF75C6"/>
    <w:rsid w:val="00E0015A"/>
    <w:rsid w:val="00E001AE"/>
    <w:rsid w:val="00E00B6C"/>
    <w:rsid w:val="00E00DBF"/>
    <w:rsid w:val="00E00EB4"/>
    <w:rsid w:val="00E01291"/>
    <w:rsid w:val="00E012C8"/>
    <w:rsid w:val="00E0138E"/>
    <w:rsid w:val="00E01476"/>
    <w:rsid w:val="00E01A44"/>
    <w:rsid w:val="00E01AAC"/>
    <w:rsid w:val="00E01C12"/>
    <w:rsid w:val="00E02F00"/>
    <w:rsid w:val="00E0336D"/>
    <w:rsid w:val="00E03817"/>
    <w:rsid w:val="00E040E5"/>
    <w:rsid w:val="00E04AFE"/>
    <w:rsid w:val="00E04BB4"/>
    <w:rsid w:val="00E05522"/>
    <w:rsid w:val="00E056E9"/>
    <w:rsid w:val="00E05B0F"/>
    <w:rsid w:val="00E06041"/>
    <w:rsid w:val="00E0623D"/>
    <w:rsid w:val="00E0676E"/>
    <w:rsid w:val="00E06919"/>
    <w:rsid w:val="00E06949"/>
    <w:rsid w:val="00E06CEB"/>
    <w:rsid w:val="00E100AB"/>
    <w:rsid w:val="00E10323"/>
    <w:rsid w:val="00E10E65"/>
    <w:rsid w:val="00E10ECA"/>
    <w:rsid w:val="00E11B73"/>
    <w:rsid w:val="00E11FAD"/>
    <w:rsid w:val="00E12136"/>
    <w:rsid w:val="00E121F0"/>
    <w:rsid w:val="00E12421"/>
    <w:rsid w:val="00E125D6"/>
    <w:rsid w:val="00E1277F"/>
    <w:rsid w:val="00E129EE"/>
    <w:rsid w:val="00E12C14"/>
    <w:rsid w:val="00E12F61"/>
    <w:rsid w:val="00E136DC"/>
    <w:rsid w:val="00E1375E"/>
    <w:rsid w:val="00E13878"/>
    <w:rsid w:val="00E138D5"/>
    <w:rsid w:val="00E139CE"/>
    <w:rsid w:val="00E143CA"/>
    <w:rsid w:val="00E14706"/>
    <w:rsid w:val="00E14AD1"/>
    <w:rsid w:val="00E1619B"/>
    <w:rsid w:val="00E16306"/>
    <w:rsid w:val="00E16D6C"/>
    <w:rsid w:val="00E16FBD"/>
    <w:rsid w:val="00E1775F"/>
    <w:rsid w:val="00E17872"/>
    <w:rsid w:val="00E17B5B"/>
    <w:rsid w:val="00E20141"/>
    <w:rsid w:val="00E214C8"/>
    <w:rsid w:val="00E220B3"/>
    <w:rsid w:val="00E220B4"/>
    <w:rsid w:val="00E22320"/>
    <w:rsid w:val="00E23D7A"/>
    <w:rsid w:val="00E23D90"/>
    <w:rsid w:val="00E23ED7"/>
    <w:rsid w:val="00E242ED"/>
    <w:rsid w:val="00E24B04"/>
    <w:rsid w:val="00E24EDC"/>
    <w:rsid w:val="00E24EE8"/>
    <w:rsid w:val="00E24F29"/>
    <w:rsid w:val="00E25648"/>
    <w:rsid w:val="00E257CB"/>
    <w:rsid w:val="00E26FD7"/>
    <w:rsid w:val="00E27052"/>
    <w:rsid w:val="00E2731D"/>
    <w:rsid w:val="00E30340"/>
    <w:rsid w:val="00E30872"/>
    <w:rsid w:val="00E3094F"/>
    <w:rsid w:val="00E30A7C"/>
    <w:rsid w:val="00E318A7"/>
    <w:rsid w:val="00E31DB3"/>
    <w:rsid w:val="00E326FA"/>
    <w:rsid w:val="00E32C9E"/>
    <w:rsid w:val="00E32E58"/>
    <w:rsid w:val="00E33E56"/>
    <w:rsid w:val="00E33EB1"/>
    <w:rsid w:val="00E3498C"/>
    <w:rsid w:val="00E34F79"/>
    <w:rsid w:val="00E3503E"/>
    <w:rsid w:val="00E3658E"/>
    <w:rsid w:val="00E36DC4"/>
    <w:rsid w:val="00E36FA2"/>
    <w:rsid w:val="00E37CF9"/>
    <w:rsid w:val="00E37F04"/>
    <w:rsid w:val="00E4087C"/>
    <w:rsid w:val="00E40B56"/>
    <w:rsid w:val="00E41264"/>
    <w:rsid w:val="00E41394"/>
    <w:rsid w:val="00E413E1"/>
    <w:rsid w:val="00E42668"/>
    <w:rsid w:val="00E42BED"/>
    <w:rsid w:val="00E42E9D"/>
    <w:rsid w:val="00E4302A"/>
    <w:rsid w:val="00E4313F"/>
    <w:rsid w:val="00E432EA"/>
    <w:rsid w:val="00E43DD4"/>
    <w:rsid w:val="00E43DF6"/>
    <w:rsid w:val="00E44195"/>
    <w:rsid w:val="00E447A0"/>
    <w:rsid w:val="00E44A4C"/>
    <w:rsid w:val="00E45134"/>
    <w:rsid w:val="00E45136"/>
    <w:rsid w:val="00E45785"/>
    <w:rsid w:val="00E45917"/>
    <w:rsid w:val="00E45CAF"/>
    <w:rsid w:val="00E45D76"/>
    <w:rsid w:val="00E46DEC"/>
    <w:rsid w:val="00E46E19"/>
    <w:rsid w:val="00E4701C"/>
    <w:rsid w:val="00E477E8"/>
    <w:rsid w:val="00E478C9"/>
    <w:rsid w:val="00E47D32"/>
    <w:rsid w:val="00E47ED6"/>
    <w:rsid w:val="00E47ED7"/>
    <w:rsid w:val="00E5001F"/>
    <w:rsid w:val="00E5004F"/>
    <w:rsid w:val="00E50918"/>
    <w:rsid w:val="00E50A09"/>
    <w:rsid w:val="00E50C06"/>
    <w:rsid w:val="00E50CBC"/>
    <w:rsid w:val="00E50DD9"/>
    <w:rsid w:val="00E50F1C"/>
    <w:rsid w:val="00E514C0"/>
    <w:rsid w:val="00E515AE"/>
    <w:rsid w:val="00E51830"/>
    <w:rsid w:val="00E51854"/>
    <w:rsid w:val="00E51CB8"/>
    <w:rsid w:val="00E51E40"/>
    <w:rsid w:val="00E51F7E"/>
    <w:rsid w:val="00E52010"/>
    <w:rsid w:val="00E52A5B"/>
    <w:rsid w:val="00E52AC4"/>
    <w:rsid w:val="00E53DC1"/>
    <w:rsid w:val="00E545B1"/>
    <w:rsid w:val="00E5468B"/>
    <w:rsid w:val="00E54A68"/>
    <w:rsid w:val="00E55046"/>
    <w:rsid w:val="00E55A5B"/>
    <w:rsid w:val="00E55EA7"/>
    <w:rsid w:val="00E5649C"/>
    <w:rsid w:val="00E5661B"/>
    <w:rsid w:val="00E56B1F"/>
    <w:rsid w:val="00E56FA7"/>
    <w:rsid w:val="00E57004"/>
    <w:rsid w:val="00E5701F"/>
    <w:rsid w:val="00E578FF"/>
    <w:rsid w:val="00E60A66"/>
    <w:rsid w:val="00E60CCA"/>
    <w:rsid w:val="00E60E26"/>
    <w:rsid w:val="00E60ECC"/>
    <w:rsid w:val="00E60F1D"/>
    <w:rsid w:val="00E613C3"/>
    <w:rsid w:val="00E618FF"/>
    <w:rsid w:val="00E619D5"/>
    <w:rsid w:val="00E6237D"/>
    <w:rsid w:val="00E62A7F"/>
    <w:rsid w:val="00E62E0A"/>
    <w:rsid w:val="00E636A3"/>
    <w:rsid w:val="00E63FD6"/>
    <w:rsid w:val="00E64993"/>
    <w:rsid w:val="00E64ABF"/>
    <w:rsid w:val="00E65ECB"/>
    <w:rsid w:val="00E65FFF"/>
    <w:rsid w:val="00E67513"/>
    <w:rsid w:val="00E67591"/>
    <w:rsid w:val="00E67D35"/>
    <w:rsid w:val="00E7020A"/>
    <w:rsid w:val="00E70263"/>
    <w:rsid w:val="00E702B5"/>
    <w:rsid w:val="00E712F6"/>
    <w:rsid w:val="00E713F0"/>
    <w:rsid w:val="00E71C06"/>
    <w:rsid w:val="00E71E75"/>
    <w:rsid w:val="00E71ECE"/>
    <w:rsid w:val="00E7266E"/>
    <w:rsid w:val="00E72949"/>
    <w:rsid w:val="00E72B7C"/>
    <w:rsid w:val="00E7322C"/>
    <w:rsid w:val="00E733D1"/>
    <w:rsid w:val="00E73575"/>
    <w:rsid w:val="00E73A44"/>
    <w:rsid w:val="00E74208"/>
    <w:rsid w:val="00E74A57"/>
    <w:rsid w:val="00E74DBE"/>
    <w:rsid w:val="00E75D4F"/>
    <w:rsid w:val="00E75E45"/>
    <w:rsid w:val="00E762BC"/>
    <w:rsid w:val="00E7694D"/>
    <w:rsid w:val="00E76CDC"/>
    <w:rsid w:val="00E77127"/>
    <w:rsid w:val="00E771D2"/>
    <w:rsid w:val="00E77212"/>
    <w:rsid w:val="00E77A6C"/>
    <w:rsid w:val="00E77ED2"/>
    <w:rsid w:val="00E80246"/>
    <w:rsid w:val="00E80417"/>
    <w:rsid w:val="00E80A7A"/>
    <w:rsid w:val="00E8136A"/>
    <w:rsid w:val="00E820A3"/>
    <w:rsid w:val="00E83349"/>
    <w:rsid w:val="00E83D3B"/>
    <w:rsid w:val="00E840CC"/>
    <w:rsid w:val="00E84B1D"/>
    <w:rsid w:val="00E8527C"/>
    <w:rsid w:val="00E85A78"/>
    <w:rsid w:val="00E861F0"/>
    <w:rsid w:val="00E86214"/>
    <w:rsid w:val="00E863F2"/>
    <w:rsid w:val="00E86E36"/>
    <w:rsid w:val="00E872F3"/>
    <w:rsid w:val="00E87EDA"/>
    <w:rsid w:val="00E90065"/>
    <w:rsid w:val="00E909A8"/>
    <w:rsid w:val="00E90D46"/>
    <w:rsid w:val="00E90E23"/>
    <w:rsid w:val="00E91163"/>
    <w:rsid w:val="00E914FE"/>
    <w:rsid w:val="00E91F24"/>
    <w:rsid w:val="00E91FEB"/>
    <w:rsid w:val="00E92709"/>
    <w:rsid w:val="00E92C2E"/>
    <w:rsid w:val="00E92D26"/>
    <w:rsid w:val="00E92F5C"/>
    <w:rsid w:val="00E933A0"/>
    <w:rsid w:val="00E93738"/>
    <w:rsid w:val="00E937D7"/>
    <w:rsid w:val="00E940F5"/>
    <w:rsid w:val="00E942C9"/>
    <w:rsid w:val="00E94840"/>
    <w:rsid w:val="00E948A2"/>
    <w:rsid w:val="00E94D77"/>
    <w:rsid w:val="00E94DAB"/>
    <w:rsid w:val="00E9528B"/>
    <w:rsid w:val="00E96112"/>
    <w:rsid w:val="00E965F5"/>
    <w:rsid w:val="00E9661C"/>
    <w:rsid w:val="00E96C93"/>
    <w:rsid w:val="00E974F2"/>
    <w:rsid w:val="00E976A3"/>
    <w:rsid w:val="00EA04A0"/>
    <w:rsid w:val="00EA0B8A"/>
    <w:rsid w:val="00EA0C5B"/>
    <w:rsid w:val="00EA0C70"/>
    <w:rsid w:val="00EA1AA1"/>
    <w:rsid w:val="00EA1FE2"/>
    <w:rsid w:val="00EA2622"/>
    <w:rsid w:val="00EA26E9"/>
    <w:rsid w:val="00EA2ACA"/>
    <w:rsid w:val="00EA2C27"/>
    <w:rsid w:val="00EA2FB2"/>
    <w:rsid w:val="00EA30AC"/>
    <w:rsid w:val="00EA34A2"/>
    <w:rsid w:val="00EA3C18"/>
    <w:rsid w:val="00EA3D37"/>
    <w:rsid w:val="00EA5453"/>
    <w:rsid w:val="00EA5577"/>
    <w:rsid w:val="00EA594B"/>
    <w:rsid w:val="00EA61EE"/>
    <w:rsid w:val="00EA689A"/>
    <w:rsid w:val="00EB0364"/>
    <w:rsid w:val="00EB0641"/>
    <w:rsid w:val="00EB07A0"/>
    <w:rsid w:val="00EB08EC"/>
    <w:rsid w:val="00EB171E"/>
    <w:rsid w:val="00EB1817"/>
    <w:rsid w:val="00EB1E76"/>
    <w:rsid w:val="00EB226D"/>
    <w:rsid w:val="00EB2C45"/>
    <w:rsid w:val="00EB35FE"/>
    <w:rsid w:val="00EB37D5"/>
    <w:rsid w:val="00EB3DE9"/>
    <w:rsid w:val="00EB4214"/>
    <w:rsid w:val="00EB43CB"/>
    <w:rsid w:val="00EB440A"/>
    <w:rsid w:val="00EB5060"/>
    <w:rsid w:val="00EB5B03"/>
    <w:rsid w:val="00EB5CFC"/>
    <w:rsid w:val="00EB5F8E"/>
    <w:rsid w:val="00EB5F8F"/>
    <w:rsid w:val="00EB600C"/>
    <w:rsid w:val="00EB6770"/>
    <w:rsid w:val="00EB6912"/>
    <w:rsid w:val="00EB6982"/>
    <w:rsid w:val="00EB6A40"/>
    <w:rsid w:val="00EB6BBB"/>
    <w:rsid w:val="00EB6CB2"/>
    <w:rsid w:val="00EB720C"/>
    <w:rsid w:val="00EB755C"/>
    <w:rsid w:val="00EB76B5"/>
    <w:rsid w:val="00EB77FB"/>
    <w:rsid w:val="00EB7B6C"/>
    <w:rsid w:val="00EB7E66"/>
    <w:rsid w:val="00EB7F08"/>
    <w:rsid w:val="00EC0974"/>
    <w:rsid w:val="00EC0B14"/>
    <w:rsid w:val="00EC0E83"/>
    <w:rsid w:val="00EC1AD5"/>
    <w:rsid w:val="00EC1BA1"/>
    <w:rsid w:val="00EC1F6C"/>
    <w:rsid w:val="00EC21F2"/>
    <w:rsid w:val="00EC3008"/>
    <w:rsid w:val="00EC3B1F"/>
    <w:rsid w:val="00EC3B85"/>
    <w:rsid w:val="00EC3E7B"/>
    <w:rsid w:val="00EC4CBA"/>
    <w:rsid w:val="00EC5FCD"/>
    <w:rsid w:val="00EC61F2"/>
    <w:rsid w:val="00EC73EE"/>
    <w:rsid w:val="00EC7F8B"/>
    <w:rsid w:val="00ED0F38"/>
    <w:rsid w:val="00ED10C4"/>
    <w:rsid w:val="00ED1664"/>
    <w:rsid w:val="00ED1C06"/>
    <w:rsid w:val="00ED1EA6"/>
    <w:rsid w:val="00ED20FD"/>
    <w:rsid w:val="00ED2442"/>
    <w:rsid w:val="00ED2648"/>
    <w:rsid w:val="00ED294B"/>
    <w:rsid w:val="00ED34CD"/>
    <w:rsid w:val="00ED3FA1"/>
    <w:rsid w:val="00ED4797"/>
    <w:rsid w:val="00ED4BF5"/>
    <w:rsid w:val="00ED4E16"/>
    <w:rsid w:val="00ED5242"/>
    <w:rsid w:val="00ED525E"/>
    <w:rsid w:val="00ED5321"/>
    <w:rsid w:val="00ED6682"/>
    <w:rsid w:val="00ED6969"/>
    <w:rsid w:val="00ED735D"/>
    <w:rsid w:val="00ED7F0F"/>
    <w:rsid w:val="00EE00B2"/>
    <w:rsid w:val="00EE0168"/>
    <w:rsid w:val="00EE0D40"/>
    <w:rsid w:val="00EE0D55"/>
    <w:rsid w:val="00EE10A4"/>
    <w:rsid w:val="00EE1531"/>
    <w:rsid w:val="00EE21ED"/>
    <w:rsid w:val="00EE22F4"/>
    <w:rsid w:val="00EE28A9"/>
    <w:rsid w:val="00EE2AE3"/>
    <w:rsid w:val="00EE41DC"/>
    <w:rsid w:val="00EE489E"/>
    <w:rsid w:val="00EE4A42"/>
    <w:rsid w:val="00EE4D23"/>
    <w:rsid w:val="00EE53F4"/>
    <w:rsid w:val="00EE5456"/>
    <w:rsid w:val="00EE641A"/>
    <w:rsid w:val="00EE6423"/>
    <w:rsid w:val="00EE670F"/>
    <w:rsid w:val="00EE691B"/>
    <w:rsid w:val="00EE6B64"/>
    <w:rsid w:val="00EE6D19"/>
    <w:rsid w:val="00EE7322"/>
    <w:rsid w:val="00EE73CA"/>
    <w:rsid w:val="00EE7910"/>
    <w:rsid w:val="00EF12CA"/>
    <w:rsid w:val="00EF180E"/>
    <w:rsid w:val="00EF20EE"/>
    <w:rsid w:val="00EF20FC"/>
    <w:rsid w:val="00EF2FFE"/>
    <w:rsid w:val="00EF320E"/>
    <w:rsid w:val="00EF37C3"/>
    <w:rsid w:val="00EF3F25"/>
    <w:rsid w:val="00EF4BA4"/>
    <w:rsid w:val="00EF7C09"/>
    <w:rsid w:val="00F0011B"/>
    <w:rsid w:val="00F002F4"/>
    <w:rsid w:val="00F008B2"/>
    <w:rsid w:val="00F01100"/>
    <w:rsid w:val="00F0131D"/>
    <w:rsid w:val="00F01CA8"/>
    <w:rsid w:val="00F01F5A"/>
    <w:rsid w:val="00F02035"/>
    <w:rsid w:val="00F02700"/>
    <w:rsid w:val="00F03418"/>
    <w:rsid w:val="00F034EE"/>
    <w:rsid w:val="00F03917"/>
    <w:rsid w:val="00F03C42"/>
    <w:rsid w:val="00F05478"/>
    <w:rsid w:val="00F054D4"/>
    <w:rsid w:val="00F05581"/>
    <w:rsid w:val="00F058F8"/>
    <w:rsid w:val="00F05B78"/>
    <w:rsid w:val="00F05EE7"/>
    <w:rsid w:val="00F06082"/>
    <w:rsid w:val="00F06B5D"/>
    <w:rsid w:val="00F06D27"/>
    <w:rsid w:val="00F071C4"/>
    <w:rsid w:val="00F07305"/>
    <w:rsid w:val="00F07BD7"/>
    <w:rsid w:val="00F10330"/>
    <w:rsid w:val="00F10491"/>
    <w:rsid w:val="00F1051A"/>
    <w:rsid w:val="00F10559"/>
    <w:rsid w:val="00F10FAE"/>
    <w:rsid w:val="00F1102B"/>
    <w:rsid w:val="00F11570"/>
    <w:rsid w:val="00F1188E"/>
    <w:rsid w:val="00F11AD9"/>
    <w:rsid w:val="00F11D00"/>
    <w:rsid w:val="00F125F3"/>
    <w:rsid w:val="00F13FA0"/>
    <w:rsid w:val="00F140EC"/>
    <w:rsid w:val="00F14892"/>
    <w:rsid w:val="00F15057"/>
    <w:rsid w:val="00F15377"/>
    <w:rsid w:val="00F1580F"/>
    <w:rsid w:val="00F1628B"/>
    <w:rsid w:val="00F16850"/>
    <w:rsid w:val="00F168FC"/>
    <w:rsid w:val="00F17CBA"/>
    <w:rsid w:val="00F17FCD"/>
    <w:rsid w:val="00F20E33"/>
    <w:rsid w:val="00F21371"/>
    <w:rsid w:val="00F21BD8"/>
    <w:rsid w:val="00F21D9A"/>
    <w:rsid w:val="00F21E65"/>
    <w:rsid w:val="00F22AED"/>
    <w:rsid w:val="00F23011"/>
    <w:rsid w:val="00F23950"/>
    <w:rsid w:val="00F23D1D"/>
    <w:rsid w:val="00F243C4"/>
    <w:rsid w:val="00F24FDB"/>
    <w:rsid w:val="00F2518B"/>
    <w:rsid w:val="00F255FB"/>
    <w:rsid w:val="00F26003"/>
    <w:rsid w:val="00F26564"/>
    <w:rsid w:val="00F26E28"/>
    <w:rsid w:val="00F27511"/>
    <w:rsid w:val="00F27572"/>
    <w:rsid w:val="00F277E3"/>
    <w:rsid w:val="00F27A58"/>
    <w:rsid w:val="00F30BD7"/>
    <w:rsid w:val="00F31A72"/>
    <w:rsid w:val="00F31CFE"/>
    <w:rsid w:val="00F3229E"/>
    <w:rsid w:val="00F32B36"/>
    <w:rsid w:val="00F33878"/>
    <w:rsid w:val="00F340CB"/>
    <w:rsid w:val="00F34D8A"/>
    <w:rsid w:val="00F35806"/>
    <w:rsid w:val="00F360F9"/>
    <w:rsid w:val="00F3711C"/>
    <w:rsid w:val="00F3758C"/>
    <w:rsid w:val="00F37A52"/>
    <w:rsid w:val="00F37E9D"/>
    <w:rsid w:val="00F40067"/>
    <w:rsid w:val="00F40BEF"/>
    <w:rsid w:val="00F40EDA"/>
    <w:rsid w:val="00F4113D"/>
    <w:rsid w:val="00F41217"/>
    <w:rsid w:val="00F427D9"/>
    <w:rsid w:val="00F429B7"/>
    <w:rsid w:val="00F42BC8"/>
    <w:rsid w:val="00F42D60"/>
    <w:rsid w:val="00F42DA6"/>
    <w:rsid w:val="00F43A35"/>
    <w:rsid w:val="00F43A51"/>
    <w:rsid w:val="00F44AA7"/>
    <w:rsid w:val="00F44D43"/>
    <w:rsid w:val="00F44DD4"/>
    <w:rsid w:val="00F44FF2"/>
    <w:rsid w:val="00F46127"/>
    <w:rsid w:val="00F46455"/>
    <w:rsid w:val="00F47E71"/>
    <w:rsid w:val="00F50114"/>
    <w:rsid w:val="00F50597"/>
    <w:rsid w:val="00F508BD"/>
    <w:rsid w:val="00F50C9C"/>
    <w:rsid w:val="00F50DA0"/>
    <w:rsid w:val="00F50E61"/>
    <w:rsid w:val="00F51273"/>
    <w:rsid w:val="00F525A5"/>
    <w:rsid w:val="00F536AB"/>
    <w:rsid w:val="00F53B81"/>
    <w:rsid w:val="00F53C51"/>
    <w:rsid w:val="00F543BB"/>
    <w:rsid w:val="00F54BD5"/>
    <w:rsid w:val="00F55055"/>
    <w:rsid w:val="00F555F7"/>
    <w:rsid w:val="00F55BAD"/>
    <w:rsid w:val="00F5665B"/>
    <w:rsid w:val="00F568EC"/>
    <w:rsid w:val="00F56AA9"/>
    <w:rsid w:val="00F56AB1"/>
    <w:rsid w:val="00F577FA"/>
    <w:rsid w:val="00F60192"/>
    <w:rsid w:val="00F60917"/>
    <w:rsid w:val="00F60E1D"/>
    <w:rsid w:val="00F618C2"/>
    <w:rsid w:val="00F61923"/>
    <w:rsid w:val="00F622C1"/>
    <w:rsid w:val="00F62754"/>
    <w:rsid w:val="00F62A4C"/>
    <w:rsid w:val="00F632CA"/>
    <w:rsid w:val="00F63ED4"/>
    <w:rsid w:val="00F647F5"/>
    <w:rsid w:val="00F64AE2"/>
    <w:rsid w:val="00F64EB5"/>
    <w:rsid w:val="00F65760"/>
    <w:rsid w:val="00F659AC"/>
    <w:rsid w:val="00F6695B"/>
    <w:rsid w:val="00F6723A"/>
    <w:rsid w:val="00F675E0"/>
    <w:rsid w:val="00F70527"/>
    <w:rsid w:val="00F70D41"/>
    <w:rsid w:val="00F717E9"/>
    <w:rsid w:val="00F71AC2"/>
    <w:rsid w:val="00F71CF0"/>
    <w:rsid w:val="00F71DED"/>
    <w:rsid w:val="00F72B73"/>
    <w:rsid w:val="00F7333F"/>
    <w:rsid w:val="00F73366"/>
    <w:rsid w:val="00F73409"/>
    <w:rsid w:val="00F736B9"/>
    <w:rsid w:val="00F73BEC"/>
    <w:rsid w:val="00F751CC"/>
    <w:rsid w:val="00F75E84"/>
    <w:rsid w:val="00F75F25"/>
    <w:rsid w:val="00F762FA"/>
    <w:rsid w:val="00F76888"/>
    <w:rsid w:val="00F76D64"/>
    <w:rsid w:val="00F7734D"/>
    <w:rsid w:val="00F779CA"/>
    <w:rsid w:val="00F77C19"/>
    <w:rsid w:val="00F77FF5"/>
    <w:rsid w:val="00F80C36"/>
    <w:rsid w:val="00F81433"/>
    <w:rsid w:val="00F81A0E"/>
    <w:rsid w:val="00F81FA6"/>
    <w:rsid w:val="00F8248F"/>
    <w:rsid w:val="00F828A0"/>
    <w:rsid w:val="00F82C0E"/>
    <w:rsid w:val="00F84E20"/>
    <w:rsid w:val="00F84FE8"/>
    <w:rsid w:val="00F8543E"/>
    <w:rsid w:val="00F859BA"/>
    <w:rsid w:val="00F85B1F"/>
    <w:rsid w:val="00F865A6"/>
    <w:rsid w:val="00F866C7"/>
    <w:rsid w:val="00F86C69"/>
    <w:rsid w:val="00F87456"/>
    <w:rsid w:val="00F87A7E"/>
    <w:rsid w:val="00F90643"/>
    <w:rsid w:val="00F906A1"/>
    <w:rsid w:val="00F90B20"/>
    <w:rsid w:val="00F90DDB"/>
    <w:rsid w:val="00F90F48"/>
    <w:rsid w:val="00F910DC"/>
    <w:rsid w:val="00F920B6"/>
    <w:rsid w:val="00F92B90"/>
    <w:rsid w:val="00F93F2E"/>
    <w:rsid w:val="00F94724"/>
    <w:rsid w:val="00F94AA8"/>
    <w:rsid w:val="00F94CF5"/>
    <w:rsid w:val="00F9677E"/>
    <w:rsid w:val="00F96B83"/>
    <w:rsid w:val="00F96D63"/>
    <w:rsid w:val="00F9745C"/>
    <w:rsid w:val="00F97468"/>
    <w:rsid w:val="00FA0602"/>
    <w:rsid w:val="00FA0A9A"/>
    <w:rsid w:val="00FA0CE0"/>
    <w:rsid w:val="00FA0D85"/>
    <w:rsid w:val="00FA0E56"/>
    <w:rsid w:val="00FA0F39"/>
    <w:rsid w:val="00FA1E9A"/>
    <w:rsid w:val="00FA26E2"/>
    <w:rsid w:val="00FA2BF8"/>
    <w:rsid w:val="00FA2ED6"/>
    <w:rsid w:val="00FA378D"/>
    <w:rsid w:val="00FA43D3"/>
    <w:rsid w:val="00FA5327"/>
    <w:rsid w:val="00FA60E6"/>
    <w:rsid w:val="00FA6888"/>
    <w:rsid w:val="00FB0884"/>
    <w:rsid w:val="00FB0E44"/>
    <w:rsid w:val="00FB1EDA"/>
    <w:rsid w:val="00FB21F4"/>
    <w:rsid w:val="00FB268A"/>
    <w:rsid w:val="00FB3542"/>
    <w:rsid w:val="00FB550F"/>
    <w:rsid w:val="00FB6AA8"/>
    <w:rsid w:val="00FB7BE7"/>
    <w:rsid w:val="00FB7DBC"/>
    <w:rsid w:val="00FC0DBC"/>
    <w:rsid w:val="00FC193C"/>
    <w:rsid w:val="00FC1BEE"/>
    <w:rsid w:val="00FC1C43"/>
    <w:rsid w:val="00FC1E4A"/>
    <w:rsid w:val="00FC216E"/>
    <w:rsid w:val="00FC264B"/>
    <w:rsid w:val="00FC2E3E"/>
    <w:rsid w:val="00FC2E41"/>
    <w:rsid w:val="00FC2F95"/>
    <w:rsid w:val="00FC3ABD"/>
    <w:rsid w:val="00FC522D"/>
    <w:rsid w:val="00FC55AC"/>
    <w:rsid w:val="00FC5F3B"/>
    <w:rsid w:val="00FC5FD7"/>
    <w:rsid w:val="00FC610B"/>
    <w:rsid w:val="00FC6F8A"/>
    <w:rsid w:val="00FC750A"/>
    <w:rsid w:val="00FD01F6"/>
    <w:rsid w:val="00FD06FD"/>
    <w:rsid w:val="00FD0B0A"/>
    <w:rsid w:val="00FD0DE4"/>
    <w:rsid w:val="00FD0FB3"/>
    <w:rsid w:val="00FD1402"/>
    <w:rsid w:val="00FD20F8"/>
    <w:rsid w:val="00FD23EA"/>
    <w:rsid w:val="00FD2553"/>
    <w:rsid w:val="00FD2EFA"/>
    <w:rsid w:val="00FD32AE"/>
    <w:rsid w:val="00FD398A"/>
    <w:rsid w:val="00FD4184"/>
    <w:rsid w:val="00FD4310"/>
    <w:rsid w:val="00FD4686"/>
    <w:rsid w:val="00FD470B"/>
    <w:rsid w:val="00FD4F56"/>
    <w:rsid w:val="00FD6176"/>
    <w:rsid w:val="00FD686F"/>
    <w:rsid w:val="00FD6A7E"/>
    <w:rsid w:val="00FD76B0"/>
    <w:rsid w:val="00FD7787"/>
    <w:rsid w:val="00FD7815"/>
    <w:rsid w:val="00FD7E1C"/>
    <w:rsid w:val="00FD7F47"/>
    <w:rsid w:val="00FE003C"/>
    <w:rsid w:val="00FE0054"/>
    <w:rsid w:val="00FE1526"/>
    <w:rsid w:val="00FE1FCA"/>
    <w:rsid w:val="00FE28F1"/>
    <w:rsid w:val="00FE3BFB"/>
    <w:rsid w:val="00FE3F95"/>
    <w:rsid w:val="00FE438E"/>
    <w:rsid w:val="00FE4F1F"/>
    <w:rsid w:val="00FE53F0"/>
    <w:rsid w:val="00FE5442"/>
    <w:rsid w:val="00FE57F8"/>
    <w:rsid w:val="00FE58A9"/>
    <w:rsid w:val="00FE5DA4"/>
    <w:rsid w:val="00FE67B8"/>
    <w:rsid w:val="00FE6869"/>
    <w:rsid w:val="00FE6981"/>
    <w:rsid w:val="00FE6ED0"/>
    <w:rsid w:val="00FE7585"/>
    <w:rsid w:val="00FE7805"/>
    <w:rsid w:val="00FE7D65"/>
    <w:rsid w:val="00FF0D3E"/>
    <w:rsid w:val="00FF1AC1"/>
    <w:rsid w:val="00FF25DC"/>
    <w:rsid w:val="00FF262F"/>
    <w:rsid w:val="00FF34DA"/>
    <w:rsid w:val="00FF4230"/>
    <w:rsid w:val="00FF4BB9"/>
    <w:rsid w:val="00FF4DF4"/>
    <w:rsid w:val="00FF4F51"/>
    <w:rsid w:val="00FF5197"/>
    <w:rsid w:val="00FF5611"/>
    <w:rsid w:val="00FF59B9"/>
    <w:rsid w:val="00FF5AD9"/>
    <w:rsid w:val="00FF5BF5"/>
    <w:rsid w:val="00FF5D12"/>
    <w:rsid w:val="00FF6FB1"/>
    <w:rsid w:val="00FF7193"/>
    <w:rsid w:val="00FF76F1"/>
    <w:rsid w:val="00FF78D8"/>
    <w:rsid w:val="01374C18"/>
    <w:rsid w:val="01A429E6"/>
    <w:rsid w:val="03AD72BA"/>
    <w:rsid w:val="048F2D17"/>
    <w:rsid w:val="04AA0F00"/>
    <w:rsid w:val="05354561"/>
    <w:rsid w:val="054109AE"/>
    <w:rsid w:val="058C1267"/>
    <w:rsid w:val="06F64443"/>
    <w:rsid w:val="07373AD3"/>
    <w:rsid w:val="07482AEC"/>
    <w:rsid w:val="0A5F42C2"/>
    <w:rsid w:val="0B95350A"/>
    <w:rsid w:val="0BAE2836"/>
    <w:rsid w:val="0CC27E6A"/>
    <w:rsid w:val="0CD83D06"/>
    <w:rsid w:val="0CEC4B6A"/>
    <w:rsid w:val="0D311103"/>
    <w:rsid w:val="0E390CAC"/>
    <w:rsid w:val="0E59281B"/>
    <w:rsid w:val="0F582711"/>
    <w:rsid w:val="10035E47"/>
    <w:rsid w:val="10257014"/>
    <w:rsid w:val="10543052"/>
    <w:rsid w:val="12EB6BE5"/>
    <w:rsid w:val="12F1167E"/>
    <w:rsid w:val="130F5020"/>
    <w:rsid w:val="14803C04"/>
    <w:rsid w:val="14C85F28"/>
    <w:rsid w:val="15F551C6"/>
    <w:rsid w:val="16266E9A"/>
    <w:rsid w:val="164D00B7"/>
    <w:rsid w:val="16F20BA2"/>
    <w:rsid w:val="17306254"/>
    <w:rsid w:val="173B5475"/>
    <w:rsid w:val="173E6AE4"/>
    <w:rsid w:val="17616326"/>
    <w:rsid w:val="17783439"/>
    <w:rsid w:val="17990F68"/>
    <w:rsid w:val="18BC59D2"/>
    <w:rsid w:val="18F030AF"/>
    <w:rsid w:val="18FA46AD"/>
    <w:rsid w:val="192D0BBE"/>
    <w:rsid w:val="198817DD"/>
    <w:rsid w:val="1B147A97"/>
    <w:rsid w:val="1CA7341E"/>
    <w:rsid w:val="1D312F38"/>
    <w:rsid w:val="1D9751A0"/>
    <w:rsid w:val="1DEA73F3"/>
    <w:rsid w:val="1E7E5231"/>
    <w:rsid w:val="20E85BD4"/>
    <w:rsid w:val="21CC7C0A"/>
    <w:rsid w:val="22A76C82"/>
    <w:rsid w:val="23751ADF"/>
    <w:rsid w:val="23C0418D"/>
    <w:rsid w:val="24C01778"/>
    <w:rsid w:val="250B2CAC"/>
    <w:rsid w:val="25B123C7"/>
    <w:rsid w:val="263E755C"/>
    <w:rsid w:val="26EA4592"/>
    <w:rsid w:val="270608B2"/>
    <w:rsid w:val="2A6D3510"/>
    <w:rsid w:val="2A7314DE"/>
    <w:rsid w:val="2BEC7269"/>
    <w:rsid w:val="2BF301C5"/>
    <w:rsid w:val="2BF75498"/>
    <w:rsid w:val="2CF021D7"/>
    <w:rsid w:val="2D24275A"/>
    <w:rsid w:val="2D436008"/>
    <w:rsid w:val="2D542C9A"/>
    <w:rsid w:val="2D9020C4"/>
    <w:rsid w:val="2EB56C3E"/>
    <w:rsid w:val="2F174A07"/>
    <w:rsid w:val="2F354738"/>
    <w:rsid w:val="30703D5A"/>
    <w:rsid w:val="30D320DB"/>
    <w:rsid w:val="319A071F"/>
    <w:rsid w:val="32217BAA"/>
    <w:rsid w:val="326E7F7C"/>
    <w:rsid w:val="33702532"/>
    <w:rsid w:val="33CF46BF"/>
    <w:rsid w:val="33EF31E8"/>
    <w:rsid w:val="34843C0B"/>
    <w:rsid w:val="34943B40"/>
    <w:rsid w:val="35C76DF6"/>
    <w:rsid w:val="36BF604D"/>
    <w:rsid w:val="36E40AF7"/>
    <w:rsid w:val="371B42F4"/>
    <w:rsid w:val="37EA401F"/>
    <w:rsid w:val="38010807"/>
    <w:rsid w:val="38DD5F0B"/>
    <w:rsid w:val="393923CC"/>
    <w:rsid w:val="397A3554"/>
    <w:rsid w:val="3C983CB4"/>
    <w:rsid w:val="3D9705DA"/>
    <w:rsid w:val="3EE37DED"/>
    <w:rsid w:val="3FA03BAA"/>
    <w:rsid w:val="3FA56E51"/>
    <w:rsid w:val="40C644DE"/>
    <w:rsid w:val="41823AB5"/>
    <w:rsid w:val="420B0CFA"/>
    <w:rsid w:val="42C50EBA"/>
    <w:rsid w:val="42F27E7B"/>
    <w:rsid w:val="43C238DA"/>
    <w:rsid w:val="45AE7B2A"/>
    <w:rsid w:val="47530E9B"/>
    <w:rsid w:val="49106DCD"/>
    <w:rsid w:val="492C4DD3"/>
    <w:rsid w:val="49C94A39"/>
    <w:rsid w:val="4A62606A"/>
    <w:rsid w:val="4AF12DA6"/>
    <w:rsid w:val="4CE30FB8"/>
    <w:rsid w:val="4D154DF6"/>
    <w:rsid w:val="4D4F50FC"/>
    <w:rsid w:val="4E101F2F"/>
    <w:rsid w:val="4E6F51FA"/>
    <w:rsid w:val="4F0E67C1"/>
    <w:rsid w:val="4F6A776F"/>
    <w:rsid w:val="4FD25A40"/>
    <w:rsid w:val="5026066D"/>
    <w:rsid w:val="50B456DC"/>
    <w:rsid w:val="52861638"/>
    <w:rsid w:val="52C710C5"/>
    <w:rsid w:val="52D71B11"/>
    <w:rsid w:val="53397B84"/>
    <w:rsid w:val="533C2169"/>
    <w:rsid w:val="54280AB5"/>
    <w:rsid w:val="54406EE3"/>
    <w:rsid w:val="547713C1"/>
    <w:rsid w:val="54E52D44"/>
    <w:rsid w:val="552A7B27"/>
    <w:rsid w:val="55342CF9"/>
    <w:rsid w:val="566F7244"/>
    <w:rsid w:val="57961B32"/>
    <w:rsid w:val="58150D0B"/>
    <w:rsid w:val="596A2A34"/>
    <w:rsid w:val="5B555777"/>
    <w:rsid w:val="5C56451B"/>
    <w:rsid w:val="5C922C44"/>
    <w:rsid w:val="5D227FA1"/>
    <w:rsid w:val="5E787253"/>
    <w:rsid w:val="5EC155FD"/>
    <w:rsid w:val="5F2F7495"/>
    <w:rsid w:val="5F8E6F37"/>
    <w:rsid w:val="60235E44"/>
    <w:rsid w:val="60CC2F73"/>
    <w:rsid w:val="622F765F"/>
    <w:rsid w:val="62BB05B6"/>
    <w:rsid w:val="654E01BD"/>
    <w:rsid w:val="67555E66"/>
    <w:rsid w:val="67712F61"/>
    <w:rsid w:val="67A1421E"/>
    <w:rsid w:val="680D6B47"/>
    <w:rsid w:val="68435106"/>
    <w:rsid w:val="68692862"/>
    <w:rsid w:val="68ED51DA"/>
    <w:rsid w:val="6B5E367F"/>
    <w:rsid w:val="6D2F407A"/>
    <w:rsid w:val="6DAF705D"/>
    <w:rsid w:val="70260BA0"/>
    <w:rsid w:val="70A14674"/>
    <w:rsid w:val="71516442"/>
    <w:rsid w:val="7190349C"/>
    <w:rsid w:val="73132DD6"/>
    <w:rsid w:val="731B39AF"/>
    <w:rsid w:val="73A21A53"/>
    <w:rsid w:val="73C93377"/>
    <w:rsid w:val="7643563B"/>
    <w:rsid w:val="76A30685"/>
    <w:rsid w:val="772B5915"/>
    <w:rsid w:val="78454752"/>
    <w:rsid w:val="7883171E"/>
    <w:rsid w:val="78E16A2F"/>
    <w:rsid w:val="79A8143C"/>
    <w:rsid w:val="7A04063C"/>
    <w:rsid w:val="7AC5601E"/>
    <w:rsid w:val="7B455F01"/>
    <w:rsid w:val="7B8376C1"/>
    <w:rsid w:val="7BEE3567"/>
    <w:rsid w:val="7CF6426C"/>
    <w:rsid w:val="7D910439"/>
    <w:rsid w:val="7DF966B6"/>
    <w:rsid w:val="7E243C69"/>
    <w:rsid w:val="7EA535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1"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iPriority="99" w:name="Body Text Indent 2"/>
    <w:lsdException w:uiPriority="99" w:name="Body Text Indent 3"/>
    <w:lsdException w:qFormat="1" w:uiPriority="0"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line="520" w:lineRule="exact"/>
      <w:ind w:firstLine="200" w:firstLineChars="200"/>
    </w:pPr>
    <w:rPr>
      <w:rFonts w:ascii="Times New Roman" w:hAnsi="Times New Roman" w:eastAsia="宋体" w:cstheme="minorBidi"/>
      <w:sz w:val="24"/>
      <w:szCs w:val="22"/>
      <w:lang w:val="en-US" w:eastAsia="zh-CN" w:bidi="ar-SA"/>
    </w:rPr>
  </w:style>
  <w:style w:type="paragraph" w:styleId="2">
    <w:name w:val="heading 1"/>
    <w:basedOn w:val="1"/>
    <w:next w:val="1"/>
    <w:link w:val="33"/>
    <w:qFormat/>
    <w:uiPriority w:val="0"/>
    <w:pPr>
      <w:keepNext/>
      <w:keepLines/>
      <w:pageBreakBefore/>
      <w:spacing w:before="240" w:after="240" w:line="240" w:lineRule="auto"/>
      <w:outlineLvl w:val="0"/>
    </w:pPr>
    <w:rPr>
      <w:b/>
      <w:bCs/>
      <w:kern w:val="44"/>
      <w:sz w:val="32"/>
      <w:szCs w:val="44"/>
    </w:rPr>
  </w:style>
  <w:style w:type="paragraph" w:styleId="3">
    <w:name w:val="heading 2"/>
    <w:basedOn w:val="1"/>
    <w:next w:val="1"/>
    <w:link w:val="34"/>
    <w:unhideWhenUsed/>
    <w:qFormat/>
    <w:uiPriority w:val="0"/>
    <w:pPr>
      <w:keepNext/>
      <w:keepLines/>
      <w:spacing w:beforeLines="50" w:afterLines="50" w:line="240" w:lineRule="auto"/>
      <w:outlineLvl w:val="1"/>
    </w:pPr>
    <w:rPr>
      <w:rFonts w:eastAsia="楷体" w:cstheme="majorBidi"/>
      <w:b/>
      <w:bCs/>
      <w:sz w:val="32"/>
      <w:szCs w:val="32"/>
    </w:rPr>
  </w:style>
  <w:style w:type="paragraph" w:styleId="4">
    <w:name w:val="heading 3"/>
    <w:basedOn w:val="1"/>
    <w:next w:val="1"/>
    <w:link w:val="42"/>
    <w:unhideWhenUsed/>
    <w:qFormat/>
    <w:uiPriority w:val="0"/>
    <w:pPr>
      <w:keepNext/>
      <w:keepLines/>
      <w:spacing w:before="260" w:after="260" w:line="416" w:lineRule="atLeast"/>
      <w:outlineLvl w:val="2"/>
    </w:pPr>
    <w:rPr>
      <w:b/>
      <w:bCs/>
      <w:sz w:val="28"/>
      <w:szCs w:val="32"/>
    </w:rPr>
  </w:style>
  <w:style w:type="paragraph" w:styleId="5">
    <w:name w:val="heading 4"/>
    <w:basedOn w:val="1"/>
    <w:next w:val="1"/>
    <w:link w:val="44"/>
    <w:unhideWhenUsed/>
    <w:qFormat/>
    <w:uiPriority w:val="0"/>
    <w:pPr>
      <w:keepNext/>
      <w:keepLines/>
      <w:spacing w:before="120" w:after="120" w:line="240" w:lineRule="auto"/>
      <w:outlineLvl w:val="3"/>
    </w:pPr>
    <w:rPr>
      <w:rFonts w:cstheme="majorBidi"/>
      <w:b/>
      <w:bCs/>
      <w:szCs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6">
    <w:name w:val="Normal Indent"/>
    <w:basedOn w:val="1"/>
    <w:next w:val="7"/>
    <w:link w:val="78"/>
    <w:qFormat/>
    <w:uiPriority w:val="0"/>
    <w:pPr>
      <w:widowControl w:val="0"/>
      <w:adjustRightInd/>
      <w:snapToGrid/>
      <w:spacing w:line="240" w:lineRule="auto"/>
      <w:ind w:firstLine="420"/>
      <w:jc w:val="both"/>
    </w:pPr>
    <w:rPr>
      <w:rFonts w:cs="Times New Roman"/>
      <w:kern w:val="2"/>
      <w:sz w:val="21"/>
      <w:szCs w:val="24"/>
    </w:rPr>
  </w:style>
  <w:style w:type="paragraph" w:customStyle="1" w:styleId="7">
    <w:name w:val="样式 正文文本 + 首行缩进:  2 字符"/>
    <w:qFormat/>
    <w:uiPriority w:val="99"/>
    <w:pPr>
      <w:spacing w:after="200" w:line="480" w:lineRule="exact"/>
      <w:ind w:firstLine="480" w:firstLineChars="200"/>
    </w:pPr>
    <w:rPr>
      <w:rFonts w:ascii="Times New Roman" w:hAnsi="Times New Roman" w:eastAsia="微软雅黑" w:cs="Times New Roman"/>
      <w:sz w:val="24"/>
      <w:szCs w:val="22"/>
      <w:lang w:val="en-US" w:eastAsia="zh-CN" w:bidi="ar-SA"/>
    </w:rPr>
  </w:style>
  <w:style w:type="paragraph" w:styleId="8">
    <w:name w:val="caption"/>
    <w:basedOn w:val="1"/>
    <w:next w:val="1"/>
    <w:qFormat/>
    <w:uiPriority w:val="0"/>
    <w:pPr>
      <w:widowControl w:val="0"/>
      <w:spacing w:line="360" w:lineRule="exact"/>
      <w:jc w:val="both"/>
      <w:textAlignment w:val="baseline"/>
    </w:pPr>
    <w:rPr>
      <w:rFonts w:cs="Times New Roman"/>
      <w:b/>
      <w:sz w:val="21"/>
      <w:szCs w:val="20"/>
    </w:rPr>
  </w:style>
  <w:style w:type="paragraph" w:styleId="9">
    <w:name w:val="Document Map"/>
    <w:basedOn w:val="1"/>
    <w:link w:val="36"/>
    <w:semiHidden/>
    <w:unhideWhenUsed/>
    <w:qFormat/>
    <w:uiPriority w:val="99"/>
    <w:rPr>
      <w:rFonts w:ascii="宋体"/>
      <w:sz w:val="18"/>
      <w:szCs w:val="18"/>
    </w:rPr>
  </w:style>
  <w:style w:type="paragraph" w:styleId="10">
    <w:name w:val="annotation text"/>
    <w:basedOn w:val="1"/>
    <w:link w:val="62"/>
    <w:unhideWhenUsed/>
    <w:qFormat/>
    <w:uiPriority w:val="99"/>
  </w:style>
  <w:style w:type="paragraph" w:styleId="11">
    <w:name w:val="Body Text"/>
    <w:basedOn w:val="1"/>
    <w:link w:val="59"/>
    <w:unhideWhenUsed/>
    <w:qFormat/>
    <w:uiPriority w:val="1"/>
    <w:pPr>
      <w:spacing w:after="120"/>
    </w:pPr>
  </w:style>
  <w:style w:type="paragraph" w:styleId="12">
    <w:name w:val="Body Text Indent"/>
    <w:basedOn w:val="1"/>
    <w:link w:val="49"/>
    <w:semiHidden/>
    <w:unhideWhenUsed/>
    <w:qFormat/>
    <w:uiPriority w:val="99"/>
    <w:pPr>
      <w:spacing w:after="120"/>
      <w:ind w:left="420" w:leftChars="200"/>
    </w:pPr>
  </w:style>
  <w:style w:type="paragraph" w:styleId="13">
    <w:name w:val="toc 3"/>
    <w:basedOn w:val="1"/>
    <w:next w:val="1"/>
    <w:unhideWhenUsed/>
    <w:qFormat/>
    <w:uiPriority w:val="39"/>
    <w:pPr>
      <w:spacing w:beforeLines="50" w:afterLines="50" w:line="240" w:lineRule="auto"/>
      <w:ind w:firstLine="300" w:firstLineChars="300"/>
    </w:pPr>
  </w:style>
  <w:style w:type="paragraph" w:styleId="14">
    <w:name w:val="Plain Text"/>
    <w:basedOn w:val="1"/>
    <w:link w:val="73"/>
    <w:qFormat/>
    <w:uiPriority w:val="0"/>
    <w:pPr>
      <w:spacing w:after="200" w:line="240" w:lineRule="auto"/>
      <w:ind w:firstLine="0" w:firstLineChars="0"/>
    </w:pPr>
    <w:rPr>
      <w:rFonts w:ascii="宋体" w:hAnsi="Courier New" w:cs="Courier New"/>
      <w:sz w:val="21"/>
      <w:szCs w:val="21"/>
    </w:rPr>
  </w:style>
  <w:style w:type="paragraph" w:styleId="15">
    <w:name w:val="Date"/>
    <w:basedOn w:val="1"/>
    <w:next w:val="1"/>
    <w:link w:val="76"/>
    <w:semiHidden/>
    <w:unhideWhenUsed/>
    <w:qFormat/>
    <w:uiPriority w:val="99"/>
    <w:pPr>
      <w:ind w:left="100" w:leftChars="2500"/>
    </w:pPr>
  </w:style>
  <w:style w:type="paragraph" w:styleId="16">
    <w:name w:val="Body Text Indent 2"/>
    <w:basedOn w:val="1"/>
    <w:link w:val="58"/>
    <w:semiHidden/>
    <w:unhideWhenUsed/>
    <w:qFormat/>
    <w:uiPriority w:val="99"/>
    <w:pPr>
      <w:spacing w:after="120" w:line="480" w:lineRule="auto"/>
      <w:ind w:left="420" w:leftChars="200"/>
    </w:pPr>
  </w:style>
  <w:style w:type="paragraph" w:styleId="17">
    <w:name w:val="Balloon Text"/>
    <w:basedOn w:val="1"/>
    <w:link w:val="37"/>
    <w:semiHidden/>
    <w:unhideWhenUsed/>
    <w:qFormat/>
    <w:uiPriority w:val="99"/>
    <w:pPr>
      <w:spacing w:line="240" w:lineRule="auto"/>
    </w:pPr>
    <w:rPr>
      <w:sz w:val="18"/>
      <w:szCs w:val="18"/>
    </w:rPr>
  </w:style>
  <w:style w:type="paragraph" w:styleId="18">
    <w:name w:val="footer"/>
    <w:basedOn w:val="1"/>
    <w:link w:val="32"/>
    <w:unhideWhenUsed/>
    <w:qFormat/>
    <w:uiPriority w:val="99"/>
    <w:pPr>
      <w:tabs>
        <w:tab w:val="center" w:pos="4153"/>
        <w:tab w:val="right" w:pos="8306"/>
      </w:tabs>
    </w:pPr>
    <w:rPr>
      <w:sz w:val="18"/>
      <w:szCs w:val="18"/>
    </w:rPr>
  </w:style>
  <w:style w:type="paragraph" w:styleId="19">
    <w:name w:val="header"/>
    <w:basedOn w:val="1"/>
    <w:link w:val="31"/>
    <w:unhideWhenUsed/>
    <w:qFormat/>
    <w:uiPriority w:val="99"/>
    <w:pPr>
      <w:pBdr>
        <w:bottom w:val="single" w:color="auto" w:sz="6" w:space="1"/>
      </w:pBdr>
      <w:tabs>
        <w:tab w:val="center" w:pos="4153"/>
        <w:tab w:val="right" w:pos="8306"/>
      </w:tabs>
      <w:jc w:val="center"/>
    </w:pPr>
    <w:rPr>
      <w:sz w:val="18"/>
      <w:szCs w:val="18"/>
    </w:rPr>
  </w:style>
  <w:style w:type="paragraph" w:styleId="20">
    <w:name w:val="toc 1"/>
    <w:basedOn w:val="1"/>
    <w:next w:val="1"/>
    <w:unhideWhenUsed/>
    <w:qFormat/>
    <w:uiPriority w:val="39"/>
    <w:pPr>
      <w:spacing w:beforeLines="100" w:afterLines="100" w:line="240" w:lineRule="auto"/>
      <w:ind w:firstLine="0" w:firstLineChars="0"/>
    </w:pPr>
    <w:rPr>
      <w:b/>
      <w:sz w:val="28"/>
    </w:rPr>
  </w:style>
  <w:style w:type="paragraph" w:styleId="21">
    <w:name w:val="toc 2"/>
    <w:basedOn w:val="1"/>
    <w:next w:val="1"/>
    <w:unhideWhenUsed/>
    <w:qFormat/>
    <w:uiPriority w:val="39"/>
    <w:pPr>
      <w:spacing w:beforeLines="50" w:afterLines="50" w:line="240" w:lineRule="auto"/>
    </w:pPr>
  </w:style>
  <w:style w:type="paragraph" w:styleId="22">
    <w:name w:val="Normal (Web)"/>
    <w:basedOn w:val="1"/>
    <w:link w:val="67"/>
    <w:qFormat/>
    <w:uiPriority w:val="0"/>
    <w:pPr>
      <w:adjustRightInd/>
      <w:snapToGrid/>
      <w:spacing w:before="100" w:beforeAutospacing="1" w:after="100" w:afterAutospacing="1" w:line="240" w:lineRule="auto"/>
      <w:ind w:firstLine="0" w:firstLineChars="0"/>
    </w:pPr>
    <w:rPr>
      <w:rFonts w:ascii="宋体" w:hAnsi="宋体" w:eastAsiaTheme="minorEastAsia"/>
      <w:kern w:val="2"/>
    </w:rPr>
  </w:style>
  <w:style w:type="paragraph" w:styleId="23">
    <w:name w:val="annotation subject"/>
    <w:basedOn w:val="10"/>
    <w:next w:val="10"/>
    <w:link w:val="63"/>
    <w:semiHidden/>
    <w:unhideWhenUsed/>
    <w:qFormat/>
    <w:uiPriority w:val="99"/>
    <w:rPr>
      <w:b/>
      <w:bCs/>
    </w:rPr>
  </w:style>
  <w:style w:type="paragraph" w:styleId="24">
    <w:name w:val="Body Text First Indent"/>
    <w:basedOn w:val="11"/>
    <w:link w:val="60"/>
    <w:semiHidden/>
    <w:unhideWhenUsed/>
    <w:qFormat/>
    <w:uiPriority w:val="99"/>
    <w:pPr>
      <w:ind w:firstLine="420" w:firstLineChars="100"/>
    </w:pPr>
  </w:style>
  <w:style w:type="paragraph" w:styleId="25">
    <w:name w:val="Body Text First Indent 2"/>
    <w:basedOn w:val="12"/>
    <w:next w:val="1"/>
    <w:link w:val="50"/>
    <w:qFormat/>
    <w:uiPriority w:val="0"/>
    <w:pPr>
      <w:adjustRightInd/>
      <w:snapToGrid/>
      <w:spacing w:line="240" w:lineRule="auto"/>
      <w:ind w:firstLine="420" w:firstLineChars="0"/>
    </w:pPr>
    <w:rPr>
      <w:rFonts w:cs="Times New Roman"/>
      <w:color w:val="000000"/>
      <w:spacing w:val="4"/>
      <w:sz w:val="20"/>
      <w:szCs w:val="20"/>
    </w:rPr>
  </w:style>
  <w:style w:type="table" w:styleId="27">
    <w:name w:val="Table Grid"/>
    <w:basedOn w:val="2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Hyperlink"/>
    <w:basedOn w:val="28"/>
    <w:unhideWhenUsed/>
    <w:qFormat/>
    <w:uiPriority w:val="99"/>
    <w:rPr>
      <w:color w:val="0000FF" w:themeColor="hyperlink"/>
      <w:u w:val="single"/>
      <w14:textFill>
        <w14:solidFill>
          <w14:schemeClr w14:val="hlink"/>
        </w14:solidFill>
      </w14:textFill>
    </w:rPr>
  </w:style>
  <w:style w:type="character" w:styleId="30">
    <w:name w:val="annotation reference"/>
    <w:basedOn w:val="28"/>
    <w:unhideWhenUsed/>
    <w:qFormat/>
    <w:uiPriority w:val="99"/>
    <w:rPr>
      <w:sz w:val="21"/>
      <w:szCs w:val="21"/>
    </w:rPr>
  </w:style>
  <w:style w:type="character" w:customStyle="1" w:styleId="31">
    <w:name w:val="页眉 字符"/>
    <w:basedOn w:val="28"/>
    <w:link w:val="19"/>
    <w:qFormat/>
    <w:uiPriority w:val="99"/>
    <w:rPr>
      <w:rFonts w:ascii="Tahoma" w:hAnsi="Tahoma"/>
      <w:sz w:val="18"/>
      <w:szCs w:val="18"/>
    </w:rPr>
  </w:style>
  <w:style w:type="character" w:customStyle="1" w:styleId="32">
    <w:name w:val="页脚 字符"/>
    <w:basedOn w:val="28"/>
    <w:link w:val="18"/>
    <w:qFormat/>
    <w:uiPriority w:val="99"/>
    <w:rPr>
      <w:rFonts w:ascii="Tahoma" w:hAnsi="Tahoma"/>
      <w:sz w:val="18"/>
      <w:szCs w:val="18"/>
    </w:rPr>
  </w:style>
  <w:style w:type="character" w:customStyle="1" w:styleId="33">
    <w:name w:val="标题 1 字符"/>
    <w:basedOn w:val="28"/>
    <w:link w:val="2"/>
    <w:qFormat/>
    <w:uiPriority w:val="9"/>
    <w:rPr>
      <w:rFonts w:ascii="Times New Roman" w:hAnsi="Times New Roman" w:eastAsia="宋体"/>
      <w:b/>
      <w:bCs/>
      <w:kern w:val="44"/>
      <w:sz w:val="32"/>
      <w:szCs w:val="44"/>
    </w:rPr>
  </w:style>
  <w:style w:type="character" w:customStyle="1" w:styleId="34">
    <w:name w:val="标题 2 字符"/>
    <w:basedOn w:val="28"/>
    <w:link w:val="3"/>
    <w:qFormat/>
    <w:uiPriority w:val="9"/>
    <w:rPr>
      <w:rFonts w:ascii="Times New Roman" w:hAnsi="Times New Roman" w:eastAsia="楷体" w:cstheme="majorBidi"/>
      <w:b/>
      <w:bCs/>
      <w:sz w:val="32"/>
      <w:szCs w:val="32"/>
    </w:rPr>
  </w:style>
  <w:style w:type="character" w:customStyle="1" w:styleId="35">
    <w:name w:val="页码1"/>
    <w:basedOn w:val="28"/>
    <w:qFormat/>
    <w:uiPriority w:val="0"/>
  </w:style>
  <w:style w:type="character" w:customStyle="1" w:styleId="36">
    <w:name w:val="文档结构图 字符"/>
    <w:basedOn w:val="28"/>
    <w:link w:val="9"/>
    <w:semiHidden/>
    <w:qFormat/>
    <w:uiPriority w:val="99"/>
    <w:rPr>
      <w:rFonts w:ascii="宋体" w:hAnsi="Times New Roman" w:eastAsia="宋体"/>
      <w:sz w:val="18"/>
      <w:szCs w:val="18"/>
    </w:rPr>
  </w:style>
  <w:style w:type="character" w:customStyle="1" w:styleId="37">
    <w:name w:val="批注框文本 字符"/>
    <w:basedOn w:val="28"/>
    <w:link w:val="17"/>
    <w:semiHidden/>
    <w:qFormat/>
    <w:uiPriority w:val="99"/>
    <w:rPr>
      <w:rFonts w:ascii="Times New Roman" w:hAnsi="Times New Roman" w:eastAsia="宋体"/>
      <w:sz w:val="18"/>
      <w:szCs w:val="18"/>
    </w:rPr>
  </w:style>
  <w:style w:type="paragraph" w:customStyle="1" w:styleId="38">
    <w:name w:val="验收图"/>
    <w:basedOn w:val="1"/>
    <w:qFormat/>
    <w:uiPriority w:val="0"/>
    <w:pPr>
      <w:spacing w:line="240" w:lineRule="auto"/>
      <w:ind w:firstLine="0" w:firstLineChars="0"/>
      <w:jc w:val="center"/>
    </w:pPr>
    <w:rPr>
      <w:b/>
    </w:rPr>
  </w:style>
  <w:style w:type="paragraph" w:customStyle="1" w:styleId="39">
    <w:name w:val="验收表格正文"/>
    <w:basedOn w:val="1"/>
    <w:qFormat/>
    <w:uiPriority w:val="0"/>
    <w:pPr>
      <w:widowControl w:val="0"/>
      <w:adjustRightInd/>
      <w:snapToGrid/>
      <w:spacing w:line="240" w:lineRule="auto"/>
      <w:ind w:firstLine="0" w:firstLineChars="0"/>
      <w:jc w:val="center"/>
    </w:pPr>
    <w:rPr>
      <w:rFonts w:cs="Times New Roman"/>
      <w:kern w:val="2"/>
      <w:sz w:val="21"/>
      <w:szCs w:val="20"/>
    </w:rPr>
  </w:style>
  <w:style w:type="paragraph" w:customStyle="1" w:styleId="40">
    <w:name w:val="验收表头"/>
    <w:basedOn w:val="39"/>
    <w:link w:val="41"/>
    <w:qFormat/>
    <w:uiPriority w:val="0"/>
    <w:pPr>
      <w:spacing w:beforeLines="50"/>
      <w:ind w:firstLine="492" w:firstLineChars="200"/>
      <w:jc w:val="left"/>
    </w:pPr>
    <w:rPr>
      <w:rFonts w:eastAsia="黑体"/>
      <w:spacing w:val="6"/>
      <w:position w:val="10"/>
      <w:sz w:val="24"/>
      <w:szCs w:val="24"/>
    </w:rPr>
  </w:style>
  <w:style w:type="character" w:customStyle="1" w:styleId="41">
    <w:name w:val="验收表头 Char"/>
    <w:basedOn w:val="28"/>
    <w:link w:val="40"/>
    <w:qFormat/>
    <w:uiPriority w:val="0"/>
    <w:rPr>
      <w:rFonts w:ascii="Times New Roman" w:hAnsi="Times New Roman" w:eastAsia="黑体" w:cs="Times New Roman"/>
      <w:spacing w:val="6"/>
      <w:kern w:val="2"/>
      <w:position w:val="10"/>
      <w:sz w:val="24"/>
      <w:szCs w:val="24"/>
    </w:rPr>
  </w:style>
  <w:style w:type="character" w:customStyle="1" w:styleId="42">
    <w:name w:val="标题 3 字符"/>
    <w:basedOn w:val="28"/>
    <w:link w:val="4"/>
    <w:qFormat/>
    <w:uiPriority w:val="9"/>
    <w:rPr>
      <w:rFonts w:ascii="Times New Roman" w:hAnsi="Times New Roman" w:eastAsia="宋体"/>
      <w:b/>
      <w:bCs/>
      <w:sz w:val="28"/>
      <w:szCs w:val="32"/>
    </w:rPr>
  </w:style>
  <w:style w:type="paragraph" w:customStyle="1" w:styleId="43">
    <w:name w:val="验收公式"/>
    <w:basedOn w:val="38"/>
    <w:qFormat/>
    <w:uiPriority w:val="0"/>
    <w:pPr>
      <w:spacing w:beforeLines="100" w:afterLines="100"/>
    </w:pPr>
  </w:style>
  <w:style w:type="character" w:customStyle="1" w:styleId="44">
    <w:name w:val="标题 4 字符"/>
    <w:basedOn w:val="28"/>
    <w:link w:val="5"/>
    <w:qFormat/>
    <w:uiPriority w:val="0"/>
    <w:rPr>
      <w:rFonts w:ascii="Times New Roman" w:hAnsi="Times New Roman" w:eastAsia="宋体" w:cstheme="majorBidi"/>
      <w:b/>
      <w:bCs/>
      <w:sz w:val="24"/>
      <w:szCs w:val="28"/>
    </w:rPr>
  </w:style>
  <w:style w:type="paragraph" w:customStyle="1" w:styleId="45">
    <w:name w:val="页眉2"/>
    <w:basedOn w:val="19"/>
    <w:qFormat/>
    <w:uiPriority w:val="0"/>
    <w:pPr>
      <w:ind w:firstLine="360"/>
    </w:pPr>
  </w:style>
  <w:style w:type="paragraph" w:customStyle="1" w:styleId="46">
    <w:name w:val="目录"/>
    <w:basedOn w:val="2"/>
    <w:qFormat/>
    <w:uiPriority w:val="0"/>
    <w:pPr>
      <w:ind w:firstLine="0" w:firstLineChars="0"/>
      <w:jc w:val="center"/>
      <w:outlineLvl w:val="9"/>
    </w:pPr>
    <w:rPr>
      <w:sz w:val="52"/>
    </w:rPr>
  </w:style>
  <w:style w:type="paragraph" w:customStyle="1" w:styleId="47">
    <w:name w:val="段落"/>
    <w:basedOn w:val="1"/>
    <w:link w:val="48"/>
    <w:qFormat/>
    <w:uiPriority w:val="0"/>
    <w:pPr>
      <w:widowControl w:val="0"/>
      <w:adjustRightInd/>
      <w:snapToGrid/>
      <w:spacing w:line="500" w:lineRule="exact"/>
      <w:jc w:val="both"/>
    </w:pPr>
    <w:rPr>
      <w:rFonts w:cs="Times New Roman"/>
      <w:kern w:val="2"/>
      <w:szCs w:val="20"/>
    </w:rPr>
  </w:style>
  <w:style w:type="character" w:customStyle="1" w:styleId="48">
    <w:name w:val="段落 Char"/>
    <w:basedOn w:val="28"/>
    <w:link w:val="47"/>
    <w:qFormat/>
    <w:uiPriority w:val="0"/>
    <w:rPr>
      <w:rFonts w:ascii="Times New Roman" w:hAnsi="Times New Roman" w:eastAsia="宋体" w:cs="Times New Roman"/>
      <w:kern w:val="2"/>
      <w:sz w:val="24"/>
      <w:szCs w:val="20"/>
    </w:rPr>
  </w:style>
  <w:style w:type="character" w:customStyle="1" w:styleId="49">
    <w:name w:val="正文文本缩进 字符"/>
    <w:basedOn w:val="28"/>
    <w:link w:val="12"/>
    <w:semiHidden/>
    <w:qFormat/>
    <w:uiPriority w:val="99"/>
    <w:rPr>
      <w:rFonts w:ascii="Times New Roman" w:hAnsi="Times New Roman" w:eastAsia="宋体"/>
      <w:sz w:val="24"/>
    </w:rPr>
  </w:style>
  <w:style w:type="character" w:customStyle="1" w:styleId="50">
    <w:name w:val="正文文本首行缩进 2 字符"/>
    <w:basedOn w:val="49"/>
    <w:link w:val="25"/>
    <w:qFormat/>
    <w:uiPriority w:val="0"/>
    <w:rPr>
      <w:rFonts w:ascii="Times New Roman" w:hAnsi="Times New Roman" w:eastAsia="宋体" w:cs="Times New Roman"/>
      <w:color w:val="000000"/>
      <w:spacing w:val="4"/>
      <w:sz w:val="20"/>
      <w:szCs w:val="20"/>
    </w:rPr>
  </w:style>
  <w:style w:type="paragraph" w:customStyle="1" w:styleId="51">
    <w:name w:val="表头"/>
    <w:basedOn w:val="1"/>
    <w:qFormat/>
    <w:uiPriority w:val="0"/>
    <w:pPr>
      <w:widowControl w:val="0"/>
      <w:adjustRightInd/>
      <w:snapToGrid/>
      <w:spacing w:line="240" w:lineRule="auto"/>
      <w:ind w:firstLine="504"/>
    </w:pPr>
    <w:rPr>
      <w:rFonts w:eastAsia="黑体" w:cs="Times New Roman"/>
      <w:spacing w:val="6"/>
      <w:kern w:val="2"/>
      <w:position w:val="10"/>
      <w:szCs w:val="24"/>
    </w:rPr>
  </w:style>
  <w:style w:type="paragraph" w:customStyle="1" w:styleId="52">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53">
    <w:name w:val="鸿达表格文字"/>
    <w:basedOn w:val="1"/>
    <w:link w:val="66"/>
    <w:qFormat/>
    <w:uiPriority w:val="0"/>
    <w:pPr>
      <w:widowControl w:val="0"/>
      <w:adjustRightInd/>
      <w:snapToGrid/>
      <w:spacing w:line="240" w:lineRule="auto"/>
      <w:ind w:firstLine="0" w:firstLineChars="0"/>
      <w:contextualSpacing/>
      <w:jc w:val="center"/>
      <w:textAlignment w:val="baseline"/>
    </w:pPr>
    <w:rPr>
      <w:rFonts w:cs="Times New Roman"/>
      <w:sz w:val="21"/>
      <w:szCs w:val="21"/>
    </w:rPr>
  </w:style>
  <w:style w:type="paragraph" w:customStyle="1" w:styleId="54">
    <w:name w:val="鸿达表格段落"/>
    <w:basedOn w:val="1"/>
    <w:qFormat/>
    <w:uiPriority w:val="0"/>
    <w:pPr>
      <w:widowControl w:val="0"/>
      <w:spacing w:line="240" w:lineRule="auto"/>
      <w:ind w:firstLine="100" w:firstLineChars="100"/>
    </w:pPr>
    <w:rPr>
      <w:rFonts w:cs="Times New Roman"/>
      <w:snapToGrid w:val="0"/>
      <w:sz w:val="21"/>
      <w:szCs w:val="24"/>
    </w:rPr>
  </w:style>
  <w:style w:type="paragraph" w:customStyle="1" w:styleId="55">
    <w:name w:val="鸿达表头"/>
    <w:basedOn w:val="1"/>
    <w:link w:val="56"/>
    <w:qFormat/>
    <w:uiPriority w:val="0"/>
    <w:pPr>
      <w:widowControl w:val="0"/>
      <w:adjustRightInd/>
      <w:snapToGrid/>
      <w:jc w:val="both"/>
    </w:pPr>
    <w:rPr>
      <w:rFonts w:cs="Times New Roman"/>
      <w:b/>
      <w:kern w:val="2"/>
      <w:szCs w:val="24"/>
    </w:rPr>
  </w:style>
  <w:style w:type="character" w:customStyle="1" w:styleId="56">
    <w:name w:val="鸿达表头 Char"/>
    <w:basedOn w:val="28"/>
    <w:link w:val="55"/>
    <w:qFormat/>
    <w:uiPriority w:val="0"/>
    <w:rPr>
      <w:b/>
      <w:kern w:val="2"/>
      <w:sz w:val="24"/>
      <w:szCs w:val="24"/>
    </w:rPr>
  </w:style>
  <w:style w:type="paragraph" w:customStyle="1" w:styleId="57">
    <w:name w:val="鸿达表加粗"/>
    <w:basedOn w:val="1"/>
    <w:qFormat/>
    <w:uiPriority w:val="0"/>
    <w:pPr>
      <w:widowControl w:val="0"/>
      <w:adjustRightInd/>
      <w:snapToGrid/>
      <w:spacing w:line="240" w:lineRule="auto"/>
      <w:ind w:firstLine="0" w:firstLineChars="0"/>
      <w:jc w:val="center"/>
    </w:pPr>
    <w:rPr>
      <w:rFonts w:cs="宋体"/>
      <w:b/>
      <w:color w:val="000000"/>
      <w:kern w:val="2"/>
      <w:sz w:val="21"/>
      <w:szCs w:val="20"/>
    </w:rPr>
  </w:style>
  <w:style w:type="character" w:customStyle="1" w:styleId="58">
    <w:name w:val="正文文本缩进 2 字符"/>
    <w:basedOn w:val="28"/>
    <w:link w:val="16"/>
    <w:semiHidden/>
    <w:qFormat/>
    <w:uiPriority w:val="99"/>
    <w:rPr>
      <w:rFonts w:cstheme="minorBidi"/>
      <w:sz w:val="24"/>
      <w:szCs w:val="22"/>
    </w:rPr>
  </w:style>
  <w:style w:type="character" w:customStyle="1" w:styleId="59">
    <w:name w:val="正文文本 字符"/>
    <w:basedOn w:val="28"/>
    <w:link w:val="11"/>
    <w:qFormat/>
    <w:uiPriority w:val="1"/>
    <w:rPr>
      <w:rFonts w:cstheme="minorBidi"/>
      <w:sz w:val="24"/>
      <w:szCs w:val="22"/>
    </w:rPr>
  </w:style>
  <w:style w:type="character" w:customStyle="1" w:styleId="60">
    <w:name w:val="正文文本首行缩进 字符"/>
    <w:basedOn w:val="59"/>
    <w:link w:val="24"/>
    <w:semiHidden/>
    <w:qFormat/>
    <w:uiPriority w:val="99"/>
    <w:rPr>
      <w:rFonts w:cstheme="minorBidi"/>
      <w:sz w:val="24"/>
      <w:szCs w:val="22"/>
    </w:rPr>
  </w:style>
  <w:style w:type="paragraph" w:styleId="61">
    <w:name w:val="List Paragraph"/>
    <w:basedOn w:val="1"/>
    <w:qFormat/>
    <w:uiPriority w:val="1"/>
    <w:pPr>
      <w:widowControl w:val="0"/>
      <w:ind w:firstLine="420"/>
      <w:jc w:val="both"/>
      <w:textAlignment w:val="baseline"/>
    </w:pPr>
    <w:rPr>
      <w:rFonts w:cs="Times New Roman"/>
      <w:szCs w:val="20"/>
    </w:rPr>
  </w:style>
  <w:style w:type="character" w:customStyle="1" w:styleId="62">
    <w:name w:val="批注文字 字符"/>
    <w:basedOn w:val="28"/>
    <w:link w:val="10"/>
    <w:qFormat/>
    <w:uiPriority w:val="99"/>
    <w:rPr>
      <w:rFonts w:cstheme="minorBidi"/>
      <w:sz w:val="24"/>
      <w:szCs w:val="22"/>
    </w:rPr>
  </w:style>
  <w:style w:type="character" w:customStyle="1" w:styleId="63">
    <w:name w:val="批注主题 字符"/>
    <w:basedOn w:val="62"/>
    <w:link w:val="23"/>
    <w:semiHidden/>
    <w:qFormat/>
    <w:uiPriority w:val="99"/>
    <w:rPr>
      <w:rFonts w:cstheme="minorBidi"/>
      <w:b/>
      <w:bCs/>
      <w:sz w:val="24"/>
      <w:szCs w:val="22"/>
    </w:rPr>
  </w:style>
  <w:style w:type="character" w:customStyle="1" w:styleId="64">
    <w:name w:val="font21"/>
    <w:basedOn w:val="28"/>
    <w:qFormat/>
    <w:uiPriority w:val="0"/>
    <w:rPr>
      <w:rFonts w:hint="default" w:ascii="Times New Roman" w:hAnsi="Times New Roman" w:cs="Times New Roman"/>
      <w:color w:val="000000"/>
      <w:sz w:val="21"/>
      <w:szCs w:val="21"/>
      <w:u w:val="none"/>
    </w:rPr>
  </w:style>
  <w:style w:type="character" w:customStyle="1" w:styleId="65">
    <w:name w:val="font71"/>
    <w:qFormat/>
    <w:uiPriority w:val="0"/>
    <w:rPr>
      <w:rFonts w:hint="eastAsia" w:ascii="宋体" w:hAnsi="宋体" w:eastAsia="宋体" w:cs="宋体"/>
      <w:color w:val="000000"/>
      <w:sz w:val="21"/>
      <w:szCs w:val="21"/>
      <w:u w:val="none"/>
    </w:rPr>
  </w:style>
  <w:style w:type="character" w:customStyle="1" w:styleId="66">
    <w:name w:val="鸿达表格文字 Char"/>
    <w:link w:val="53"/>
    <w:qFormat/>
    <w:locked/>
    <w:uiPriority w:val="0"/>
    <w:rPr>
      <w:sz w:val="21"/>
      <w:szCs w:val="21"/>
    </w:rPr>
  </w:style>
  <w:style w:type="character" w:customStyle="1" w:styleId="67">
    <w:name w:val="普通(网站) 字符"/>
    <w:link w:val="22"/>
    <w:qFormat/>
    <w:locked/>
    <w:uiPriority w:val="0"/>
    <w:rPr>
      <w:rFonts w:ascii="宋体" w:hAnsi="宋体" w:eastAsiaTheme="minorEastAsia" w:cstheme="minorBidi"/>
      <w:kern w:val="2"/>
      <w:sz w:val="24"/>
      <w:szCs w:val="22"/>
    </w:rPr>
  </w:style>
  <w:style w:type="paragraph" w:customStyle="1" w:styleId="68">
    <w:name w:val="鸿达图标"/>
    <w:basedOn w:val="1"/>
    <w:qFormat/>
    <w:uiPriority w:val="0"/>
    <w:pPr>
      <w:widowControl w:val="0"/>
      <w:adjustRightInd/>
      <w:snapToGrid/>
      <w:spacing w:line="240" w:lineRule="auto"/>
      <w:ind w:firstLine="0" w:firstLineChars="0"/>
      <w:jc w:val="center"/>
    </w:pPr>
    <w:rPr>
      <w:rFonts w:cs="Times New Roman"/>
      <w:b/>
      <w:kern w:val="2"/>
      <w:szCs w:val="20"/>
    </w:rPr>
  </w:style>
  <w:style w:type="paragraph" w:customStyle="1" w:styleId="69">
    <w:name w:val="1. 表格内容"/>
    <w:basedOn w:val="1"/>
    <w:link w:val="70"/>
    <w:qFormat/>
    <w:uiPriority w:val="0"/>
    <w:pPr>
      <w:widowControl w:val="0"/>
      <w:adjustRightInd/>
      <w:spacing w:line="240" w:lineRule="auto"/>
      <w:ind w:firstLine="0" w:firstLineChars="0"/>
      <w:jc w:val="center"/>
      <w:textAlignment w:val="baseline"/>
    </w:pPr>
    <w:rPr>
      <w:rFonts w:cs="Times New Roman"/>
      <w:kern w:val="2"/>
      <w:sz w:val="21"/>
      <w:szCs w:val="21"/>
      <w:lang w:val="zh-CN" w:eastAsia="zh-CN"/>
    </w:rPr>
  </w:style>
  <w:style w:type="character" w:customStyle="1" w:styleId="70">
    <w:name w:val="1. 表格内容 Char"/>
    <w:link w:val="69"/>
    <w:qFormat/>
    <w:uiPriority w:val="0"/>
    <w:rPr>
      <w:kern w:val="2"/>
      <w:sz w:val="21"/>
      <w:szCs w:val="21"/>
      <w:lang w:val="zh-CN" w:eastAsia="zh-CN"/>
    </w:rPr>
  </w:style>
  <w:style w:type="paragraph" w:customStyle="1" w:styleId="71">
    <w:name w:val="1.表头格式"/>
    <w:basedOn w:val="1"/>
    <w:next w:val="1"/>
    <w:link w:val="72"/>
    <w:qFormat/>
    <w:uiPriority w:val="0"/>
    <w:pPr>
      <w:widowControl w:val="0"/>
      <w:adjustRightInd/>
      <w:snapToGrid/>
      <w:ind w:firstLine="0" w:firstLineChars="0"/>
      <w:jc w:val="center"/>
    </w:pPr>
    <w:rPr>
      <w:rFonts w:eastAsia="黑体" w:cs="Times New Roman"/>
      <w:kern w:val="2"/>
      <w:szCs w:val="24"/>
      <w:lang w:val="zh-CN" w:eastAsia="zh-CN"/>
    </w:rPr>
  </w:style>
  <w:style w:type="character" w:customStyle="1" w:styleId="72">
    <w:name w:val="1.表头格式 Char"/>
    <w:link w:val="71"/>
    <w:qFormat/>
    <w:uiPriority w:val="0"/>
    <w:rPr>
      <w:rFonts w:eastAsia="黑体"/>
      <w:kern w:val="2"/>
      <w:sz w:val="24"/>
      <w:szCs w:val="24"/>
      <w:lang w:val="zh-CN" w:eastAsia="zh-CN"/>
    </w:rPr>
  </w:style>
  <w:style w:type="character" w:customStyle="1" w:styleId="73">
    <w:name w:val="纯文本 字符1"/>
    <w:link w:val="14"/>
    <w:qFormat/>
    <w:uiPriority w:val="0"/>
    <w:rPr>
      <w:rFonts w:ascii="宋体" w:hAnsi="Courier New" w:cs="Courier New"/>
      <w:sz w:val="21"/>
      <w:szCs w:val="21"/>
    </w:rPr>
  </w:style>
  <w:style w:type="paragraph" w:customStyle="1" w:styleId="74">
    <w:name w:val="五号表格"/>
    <w:basedOn w:val="1"/>
    <w:qFormat/>
    <w:uiPriority w:val="0"/>
    <w:pPr>
      <w:widowControl w:val="0"/>
      <w:adjustRightInd/>
      <w:snapToGrid/>
      <w:spacing w:line="240" w:lineRule="auto"/>
      <w:ind w:firstLine="0" w:firstLineChars="0"/>
      <w:jc w:val="center"/>
    </w:pPr>
    <w:rPr>
      <w:rFonts w:cs="宋体"/>
      <w:kern w:val="2"/>
      <w:sz w:val="21"/>
      <w:szCs w:val="21"/>
    </w:rPr>
  </w:style>
  <w:style w:type="character" w:customStyle="1" w:styleId="75">
    <w:name w:val="纯文本 字符"/>
    <w:basedOn w:val="28"/>
    <w:semiHidden/>
    <w:qFormat/>
    <w:uiPriority w:val="99"/>
    <w:rPr>
      <w:rFonts w:hAnsi="Courier New" w:cs="Courier New" w:asciiTheme="minorEastAsia" w:eastAsiaTheme="minorEastAsia"/>
      <w:sz w:val="24"/>
      <w:szCs w:val="22"/>
    </w:rPr>
  </w:style>
  <w:style w:type="character" w:customStyle="1" w:styleId="76">
    <w:name w:val="日期 字符"/>
    <w:basedOn w:val="28"/>
    <w:link w:val="15"/>
    <w:semiHidden/>
    <w:qFormat/>
    <w:uiPriority w:val="99"/>
    <w:rPr>
      <w:rFonts w:cstheme="minorBidi"/>
      <w:sz w:val="24"/>
      <w:szCs w:val="22"/>
    </w:rPr>
  </w:style>
  <w:style w:type="table" w:customStyle="1" w:styleId="77">
    <w:name w:val="Table Normal"/>
    <w:semiHidden/>
    <w:unhideWhenUsed/>
    <w:qFormat/>
    <w:uiPriority w:val="2"/>
    <w:rPr>
      <w:rFonts w:ascii="Arial" w:hAnsi="Arial" w:cs="Arial" w:eastAsiaTheme="minorEastAsia"/>
      <w:snapToGrid w:val="0"/>
      <w:color w:val="000000"/>
      <w:sz w:val="21"/>
      <w:szCs w:val="21"/>
    </w:rPr>
    <w:tblPr>
      <w:tblCellMar>
        <w:top w:w="0" w:type="dxa"/>
        <w:left w:w="0" w:type="dxa"/>
        <w:bottom w:w="0" w:type="dxa"/>
        <w:right w:w="0" w:type="dxa"/>
      </w:tblCellMar>
    </w:tblPr>
  </w:style>
  <w:style w:type="character" w:customStyle="1" w:styleId="78">
    <w:name w:val="正文缩进 字符"/>
    <w:link w:val="6"/>
    <w:qFormat/>
    <w:locked/>
    <w:uiPriority w:val="0"/>
    <w:rPr>
      <w:kern w:val="2"/>
      <w:sz w:val="21"/>
      <w:szCs w:val="24"/>
    </w:rPr>
  </w:style>
  <w:style w:type="paragraph" w:customStyle="1" w:styleId="79">
    <w:name w:val="表格文字"/>
    <w:basedOn w:val="1"/>
    <w:qFormat/>
    <w:uiPriority w:val="0"/>
    <w:pPr>
      <w:widowControl w:val="0"/>
      <w:adjustRightInd/>
      <w:snapToGrid/>
      <w:spacing w:line="240" w:lineRule="auto"/>
      <w:ind w:firstLine="0" w:firstLineChars="0"/>
      <w:contextualSpacing/>
      <w:jc w:val="center"/>
    </w:pPr>
    <w:rPr>
      <w:rFonts w:cs="Times New Roman"/>
      <w:sz w:val="21"/>
      <w:szCs w:val="21"/>
    </w:rPr>
  </w:style>
  <w:style w:type="paragraph" w:customStyle="1" w:styleId="80">
    <w:name w:val="Table Paragraph"/>
    <w:basedOn w:val="1"/>
    <w:qFormat/>
    <w:uiPriority w:val="1"/>
    <w:pPr>
      <w:widowControl w:val="0"/>
      <w:autoSpaceDE w:val="0"/>
      <w:autoSpaceDN w:val="0"/>
      <w:adjustRightInd/>
      <w:snapToGrid/>
      <w:spacing w:line="240" w:lineRule="auto"/>
      <w:ind w:firstLine="0" w:firstLineChars="0"/>
      <w:jc w:val="center"/>
    </w:pPr>
    <w:rPr>
      <w:rFonts w:eastAsia="Times New Roman" w:cs="Times New Roman"/>
      <w:sz w:val="22"/>
    </w:rPr>
  </w:style>
  <w:style w:type="table" w:customStyle="1" w:styleId="81">
    <w:name w:val="Table Normal1"/>
    <w:semiHidden/>
    <w:unhideWhenUsed/>
    <w:qFormat/>
    <w:uiPriority w:val="2"/>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table" w:customStyle="1" w:styleId="82">
    <w:name w:val="Table Normal2"/>
    <w:semiHidden/>
    <w:unhideWhenUsed/>
    <w:qFormat/>
    <w:uiPriority w:val="2"/>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table" w:customStyle="1" w:styleId="83">
    <w:name w:val="Table Normal3"/>
    <w:semiHidden/>
    <w:unhideWhenUsed/>
    <w:qFormat/>
    <w:uiPriority w:val="2"/>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paragraph" w:customStyle="1" w:styleId="84">
    <w:name w:val="段落 Char Char"/>
    <w:basedOn w:val="1"/>
    <w:qFormat/>
    <w:uiPriority w:val="0"/>
    <w:pPr>
      <w:widowControl w:val="0"/>
      <w:spacing w:line="500" w:lineRule="exact"/>
      <w:ind w:firstLine="600"/>
      <w:jc w:val="both"/>
      <w:textAlignment w:val="baseline"/>
    </w:pPr>
    <w:rPr>
      <w:rFonts w:ascii="宋体" w:hAnsi="宋体" w:cs="Times New Roman"/>
      <w:sz w:val="28"/>
      <w:szCs w:val="28"/>
    </w:rPr>
  </w:style>
  <w:style w:type="paragraph" w:customStyle="1" w:styleId="85">
    <w:name w:val="鸿达公式"/>
    <w:basedOn w:val="1"/>
    <w:qFormat/>
    <w:uiPriority w:val="0"/>
    <w:pPr>
      <w:widowControl w:val="0"/>
      <w:adjustRightInd/>
      <w:snapToGrid/>
      <w:spacing w:beforeLines="50" w:line="240" w:lineRule="auto"/>
      <w:ind w:firstLine="0" w:firstLineChars="0"/>
      <w:jc w:val="center"/>
    </w:pPr>
    <w:rPr>
      <w:rFonts w:cs="Times New Roman"/>
      <w:kern w:val="2"/>
      <w:position w:val="-24"/>
      <w:szCs w:val="28"/>
    </w:rPr>
  </w:style>
  <w:style w:type="character" w:customStyle="1" w:styleId="86">
    <w:name w:val="15"/>
    <w:basedOn w:val="28"/>
    <w:qFormat/>
    <w:uiPriority w:val="0"/>
    <w:rPr>
      <w:rFonts w:hint="eastAsia" w:ascii="宋体" w:hAnsi="宋体" w:eastAsia="宋体"/>
      <w:sz w:val="24"/>
      <w:szCs w:val="24"/>
    </w:rPr>
  </w:style>
  <w:style w:type="paragraph" w:customStyle="1" w:styleId="87">
    <w:name w:val="1.1章节后"/>
    <w:basedOn w:val="3"/>
    <w:autoRedefine/>
    <w:qFormat/>
    <w:uiPriority w:val="0"/>
    <w:pPr>
      <w:keepNext w:val="0"/>
      <w:keepLines w:val="0"/>
      <w:widowControl w:val="0"/>
      <w:tabs>
        <w:tab w:val="left" w:pos="-340"/>
        <w:tab w:val="left" w:pos="960"/>
        <w:tab w:val="left" w:pos="1200"/>
      </w:tabs>
      <w:adjustRightInd/>
      <w:snapToGrid/>
      <w:spacing w:before="240" w:after="240" w:line="500" w:lineRule="exact"/>
      <w:ind w:left="360" w:leftChars="150" w:firstLine="100" w:firstLineChars="100"/>
      <w:contextualSpacing/>
      <w:textAlignment w:val="baseline"/>
    </w:pPr>
    <w:rPr>
      <w:rFonts w:ascii="Arial" w:hAnsi="Arial" w:eastAsia="宋体" w:cs="宋体"/>
      <w:kern w:val="2"/>
      <w:sz w:val="30"/>
      <w:szCs w:val="20"/>
    </w:rPr>
  </w:style>
  <w:style w:type="paragraph" w:customStyle="1" w:styleId="88">
    <w:name w:val="Revision"/>
    <w:hidden/>
    <w:semiHidden/>
    <w:qFormat/>
    <w:uiPriority w:val="99"/>
    <w:rPr>
      <w:rFonts w:ascii="Times New Roman" w:hAnsi="Times New Roman" w:eastAsia="宋体" w:cstheme="minorBidi"/>
      <w:sz w:val="24"/>
      <w:szCs w:val="22"/>
      <w:lang w:val="en-US" w:eastAsia="zh-CN" w:bidi="ar-SA"/>
    </w:rPr>
  </w:style>
  <w:style w:type="character" w:customStyle="1" w:styleId="89">
    <w:name w:val="font41"/>
    <w:basedOn w:val="28"/>
    <w:qFormat/>
    <w:uiPriority w:val="0"/>
    <w:rPr>
      <w:rFonts w:hint="default" w:ascii="Times New Roman" w:hAnsi="Times New Roman" w:cs="Times New Roman"/>
      <w:b/>
      <w:bCs/>
      <w:color w:val="000000"/>
      <w:sz w:val="21"/>
      <w:szCs w:val="21"/>
      <w:u w:val="none"/>
    </w:rPr>
  </w:style>
  <w:style w:type="character" w:customStyle="1" w:styleId="90">
    <w:name w:val="font11"/>
    <w:basedOn w:val="28"/>
    <w:qFormat/>
    <w:uiPriority w:val="0"/>
    <w:rPr>
      <w:rFonts w:hint="eastAsia" w:ascii="宋体" w:hAnsi="宋体" w:eastAsia="宋体" w:cs="宋体"/>
      <w:b/>
      <w:bCs/>
      <w:color w:val="000000"/>
      <w:sz w:val="21"/>
      <w:szCs w:val="21"/>
      <w:u w:val="none"/>
    </w:rPr>
  </w:style>
  <w:style w:type="character" w:customStyle="1" w:styleId="91">
    <w:name w:val="font31"/>
    <w:basedOn w:val="28"/>
    <w:qFormat/>
    <w:uiPriority w:val="0"/>
    <w:rPr>
      <w:rFonts w:hint="eastAsia" w:ascii="宋体" w:hAnsi="宋体" w:eastAsia="宋体" w:cs="宋体"/>
      <w:color w:val="000000"/>
      <w:sz w:val="21"/>
      <w:szCs w:val="21"/>
      <w:u w:val="none"/>
    </w:rPr>
  </w:style>
  <w:style w:type="paragraph" w:customStyle="1" w:styleId="92">
    <w:name w:val="鸿达正文"/>
    <w:basedOn w:val="1"/>
    <w:qFormat/>
    <w:uiPriority w:val="0"/>
    <w:pPr>
      <w:ind w:firstLine="480"/>
    </w:pPr>
    <w:rPr>
      <w:rFonts w:cs="宋体"/>
    </w:rPr>
  </w:style>
  <w:style w:type="paragraph" w:customStyle="1" w:styleId="93">
    <w:name w:val="表格"/>
    <w:basedOn w:val="1"/>
    <w:qFormat/>
    <w:uiPriority w:val="0"/>
    <w:pPr>
      <w:keepNext/>
      <w:adjustRightInd w:val="0"/>
      <w:spacing w:line="312" w:lineRule="atLeast"/>
      <w:jc w:val="center"/>
      <w:textAlignment w:val="baseline"/>
    </w:pPr>
    <w:rPr>
      <w:color w:val="auto"/>
      <w:sz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4" Type="http://schemas.openxmlformats.org/officeDocument/2006/relationships/fontTable" Target="fontTable.xml"/><Relationship Id="rId43" Type="http://schemas.openxmlformats.org/officeDocument/2006/relationships/customXml" Target="../customXml/item1.xml"/><Relationship Id="rId42" Type="http://schemas.openxmlformats.org/officeDocument/2006/relationships/numbering" Target="numbering.xml"/><Relationship Id="rId41" Type="http://schemas.openxmlformats.org/officeDocument/2006/relationships/image" Target="media/image16.png"/><Relationship Id="rId40" Type="http://schemas.openxmlformats.org/officeDocument/2006/relationships/image" Target="media/image15.emf"/><Relationship Id="rId4" Type="http://schemas.openxmlformats.org/officeDocument/2006/relationships/endnotes" Target="endnotes.xml"/><Relationship Id="rId39" Type="http://schemas.openxmlformats.org/officeDocument/2006/relationships/package" Target="embeddings/Microsoft_Visio___2.vsdx"/><Relationship Id="rId38" Type="http://schemas.openxmlformats.org/officeDocument/2006/relationships/image" Target="media/image14.emf"/><Relationship Id="rId37" Type="http://schemas.openxmlformats.org/officeDocument/2006/relationships/package" Target="embeddings/Microsoft_Visio___1.vsdx"/><Relationship Id="rId36" Type="http://schemas.openxmlformats.org/officeDocument/2006/relationships/image" Target="media/image13.emf"/><Relationship Id="rId35" Type="http://schemas.openxmlformats.org/officeDocument/2006/relationships/oleObject" Target="embeddings/oleObject7.bin"/><Relationship Id="rId34" Type="http://schemas.openxmlformats.org/officeDocument/2006/relationships/image" Target="media/image12.emf"/><Relationship Id="rId33" Type="http://schemas.openxmlformats.org/officeDocument/2006/relationships/oleObject" Target="embeddings/oleObject6.bin"/><Relationship Id="rId32" Type="http://schemas.openxmlformats.org/officeDocument/2006/relationships/image" Target="media/image11.emf"/><Relationship Id="rId31" Type="http://schemas.openxmlformats.org/officeDocument/2006/relationships/oleObject" Target="embeddings/oleObject5.bin"/><Relationship Id="rId30" Type="http://schemas.openxmlformats.org/officeDocument/2006/relationships/image" Target="media/image10.emf"/><Relationship Id="rId3" Type="http://schemas.openxmlformats.org/officeDocument/2006/relationships/footnotes" Target="footnotes.xml"/><Relationship Id="rId29" Type="http://schemas.openxmlformats.org/officeDocument/2006/relationships/oleObject" Target="embeddings/oleObject4.bin"/><Relationship Id="rId28" Type="http://schemas.openxmlformats.org/officeDocument/2006/relationships/image" Target="media/image9.emf"/><Relationship Id="rId27" Type="http://schemas.openxmlformats.org/officeDocument/2006/relationships/oleObject" Target="embeddings/oleObject3.bin"/><Relationship Id="rId26" Type="http://schemas.openxmlformats.org/officeDocument/2006/relationships/image" Target="media/image8.emf"/><Relationship Id="rId25" Type="http://schemas.openxmlformats.org/officeDocument/2006/relationships/oleObject" Target="embeddings/oleObject2.bin"/><Relationship Id="rId24" Type="http://schemas.openxmlformats.org/officeDocument/2006/relationships/image" Target="media/image7.emf"/><Relationship Id="rId23" Type="http://schemas.openxmlformats.org/officeDocument/2006/relationships/oleObject" Target="embeddings/oleObject1.bin"/><Relationship Id="rId22" Type="http://schemas.openxmlformats.org/officeDocument/2006/relationships/image" Target="media/image6.png"/><Relationship Id="rId21" Type="http://schemas.openxmlformats.org/officeDocument/2006/relationships/image" Target="media/image5.png"/><Relationship Id="rId20" Type="http://schemas.openxmlformats.org/officeDocument/2006/relationships/image" Target="media/image4.png"/><Relationship Id="rId2" Type="http://schemas.openxmlformats.org/officeDocument/2006/relationships/settings" Target="settings.xml"/><Relationship Id="rId19" Type="http://schemas.openxmlformats.org/officeDocument/2006/relationships/image" Target="media/image3.png"/><Relationship Id="rId18" Type="http://schemas.openxmlformats.org/officeDocument/2006/relationships/image" Target="media/image2.png"/><Relationship Id="rId17" Type="http://schemas.openxmlformats.org/officeDocument/2006/relationships/image" Target="media/image1.png"/><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69C7764-3CF8-4440-9D7B-47C161DA8697}">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94</Pages>
  <Words>3303</Words>
  <Characters>3871</Characters>
  <Lines>308</Lines>
  <Paragraphs>86</Paragraphs>
  <TotalTime>0</TotalTime>
  <ScaleCrop>false</ScaleCrop>
  <LinksUpToDate>false</LinksUpToDate>
  <CharactersWithSpaces>4090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赵凤新</cp:lastModifiedBy>
  <cp:lastPrinted>2024-07-17T11:18:00Z</cp:lastPrinted>
  <dcterms:modified xsi:type="dcterms:W3CDTF">2026-09-04T06:41:58Z</dcterms:modified>
  <cp:revision>4667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eyJoZGlkIjoiOGZjNmI5M2JlNGRhODM5MTA2NjA4NWIxOGFmMjNhMDkiLCJ1c2VySWQiOiIxMDA2MjU0NDgzIn0=</vt:lpwstr>
  </property>
  <property fmtid="{D5CDD505-2E9C-101B-9397-08002B2CF9AE}" pid="4" name="ICV">
    <vt:lpwstr>8D3F153958574AD0A717F467549A37EF_12</vt:lpwstr>
  </property>
</Properties>
</file>